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M365 Power Platform Governance Guide</w:t>
      </w:r>
    </w:p>
    <w:p>
      <w:pPr>
        <w:jc w:val="center"/>
      </w:pPr>
      <w:r>
        <w:rPr>
          <w:color w:val="595959"/>
          <w:sz w:val="24"/>
        </w:rPr>
        <w:t>Recommended approach for opening Power Apps and Power Platform to an 800-user Microsoft 365 organisation</w:t>
      </w:r>
    </w:p>
    <w:p/>
    <w:tbl>
      <w:tblPr>
        <w:tblW w:type="auto" w:w="0"/>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224"/>
      </w:tblGrid>
      <w:tr>
        <w:tc>
          <w:tcPr>
            <w:tcW w:type="dxa" w:w="10224"/>
            <w:shd w:fill="DDEBF7"/>
          </w:tcPr>
          <w:p>
            <w:pPr/>
            <w:r/>
            <w:r>
              <w:rPr>
                <w:b/>
                <w:sz w:val="21"/>
              </w:rPr>
              <w:t>Executive summary: open Power Apps for everyone to consume approved apps, but only allow approved makers to build. Keep the Default environment restricted, use Entra security groups, apply DLP policies before launch, and use a Dev &gt; Test &gt; Prod model for real business apps.</w:t>
            </w:r>
          </w:p>
        </w:tc>
      </w:tr>
    </w:tbl>
    <w:p/>
    <w:p>
      <w:pPr>
        <w:pStyle w:val="Heading1"/>
      </w:pPr>
      <w:r>
        <w:t>1. Executive Summary</w:t>
      </w:r>
    </w:p>
    <w:p>
      <w:r>
        <w:t>The organisation has approximately 800 users in Microsoft Entra ID with Microsoft 365 accounts already using SharePoint Online, Teams and Outlook. The goal is to open up Power Apps and the broader Power Platform in a controlled but practical way.</w:t>
      </w:r>
    </w:p>
    <w:p>
      <w:r>
        <w:t>Microsoft’s current guidance is to avoid allowing everyone to build business-critical apps in the Default environment. The Default environment should be secured and treated as a restricted personal productivity area. Makers should be directed into controlled development environments, and production apps should be promoted through a defined lifecycle.</w:t>
      </w:r>
    </w:p>
    <w:tbl>
      <w:tblPr>
        <w:tblW w:type="auto" w:w="0"/>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224"/>
      </w:tblGrid>
      <w:tr>
        <w:tc>
          <w:tcPr>
            <w:tcW w:type="dxa" w:w="10224"/>
            <w:shd w:fill="E2F0D9"/>
          </w:tcPr>
          <w:p>
            <w:pPr/>
            <w:r/>
            <w:r>
              <w:rPr>
                <w:b/>
                <w:sz w:val="21"/>
              </w:rPr>
              <w:t>Recommended model: Consumers run approved apps. Approved makers build apps. IT/admins govern environments, security, DLP, licensing and production promotion.</w:t>
            </w:r>
          </w:p>
        </w:tc>
      </w:tr>
    </w:tbl>
    <w:p/>
    <w:p>
      <w:pPr>
        <w:pStyle w:val="Heading1"/>
      </w:pPr>
      <w:r>
        <w:t>2. Core Principles</w:t>
      </w:r>
    </w:p>
    <w:p>
      <w:pPr>
        <w:pStyle w:val="ListBullet"/>
      </w:pPr>
      <w:r>
        <w:rPr>
          <w:b/>
        </w:rPr>
        <w:t xml:space="preserve">Keep it simple: </w:t>
      </w:r>
      <w:r>
        <w:t>Do not over-engineer the first rollout. Start with clear groups, controlled environments and DLP.</w:t>
      </w:r>
    </w:p>
    <w:p>
      <w:pPr>
        <w:pStyle w:val="ListBullet"/>
      </w:pPr>
      <w:r>
        <w:rPr>
          <w:b/>
        </w:rPr>
        <w:t xml:space="preserve">Govern before launch: </w:t>
      </w:r>
      <w:r>
        <w:t>Apply environment creation controls and DLP policies before encouraging makers to build.</w:t>
      </w:r>
    </w:p>
    <w:p>
      <w:pPr>
        <w:pStyle w:val="ListBullet"/>
      </w:pPr>
      <w:r>
        <w:rPr>
          <w:b/>
        </w:rPr>
        <w:t xml:space="preserve">Use security groups: </w:t>
      </w:r>
      <w:r>
        <w:t>Share apps and control access through Microsoft Entra security groups, not individual users.</w:t>
      </w:r>
    </w:p>
    <w:p>
      <w:pPr>
        <w:pStyle w:val="ListBullet"/>
      </w:pPr>
      <w:r>
        <w:rPr>
          <w:b/>
        </w:rPr>
        <w:t xml:space="preserve">Protect the Default environment: </w:t>
      </w:r>
      <w:r>
        <w:t>Use it only for low-risk Microsoft 365 productivity scenarios.</w:t>
      </w:r>
    </w:p>
    <w:p>
      <w:pPr>
        <w:pStyle w:val="ListBullet"/>
      </w:pPr>
      <w:r>
        <w:rPr>
          <w:b/>
        </w:rPr>
        <w:t xml:space="preserve">Separate build from production: </w:t>
      </w:r>
      <w:r>
        <w:t>Use Dev, Test/UAT and Production environments for real business apps.</w:t>
      </w:r>
    </w:p>
    <w:p>
      <w:pPr>
        <w:pStyle w:val="ListBullet"/>
      </w:pPr>
      <w:r>
        <w:rPr>
          <w:b/>
        </w:rPr>
        <w:t xml:space="preserve">Control premium licensing: </w:t>
      </w:r>
      <w:r>
        <w:t>Do not assume every Microsoft 365 user can run every type of Power App.</w:t>
      </w:r>
    </w:p>
    <w:p>
      <w:pPr>
        <w:pStyle w:val="Heading1"/>
      </w:pPr>
      <w:r>
        <w:t>3. Recommended User Model</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2592"/>
            <w:shd w:fill="1F4E79"/>
            <w:vAlign w:val="center"/>
          </w:tcPr>
          <w:p>
            <w:r>
              <w:rPr>
                <w:b/>
                <w:color w:val="FFFFFF"/>
              </w:rPr>
              <w:t>Group</w:t>
            </w:r>
          </w:p>
        </w:tc>
        <w:tc>
          <w:tcPr>
            <w:tcW w:type="dxa" w:w="3600"/>
            <w:shd w:fill="1F4E79"/>
            <w:vAlign w:val="center"/>
          </w:tcPr>
          <w:p>
            <w:r>
              <w:rPr>
                <w:b/>
                <w:color w:val="FFFFFF"/>
              </w:rPr>
              <w:t>Who</w:t>
            </w:r>
          </w:p>
        </w:tc>
        <w:tc>
          <w:tcPr>
            <w:tcW w:type="dxa" w:w="4320"/>
            <w:shd w:fill="1F4E79"/>
            <w:vAlign w:val="center"/>
          </w:tcPr>
          <w:p>
            <w:r>
              <w:rPr>
                <w:b/>
                <w:color w:val="FFFFFF"/>
              </w:rPr>
              <w:t>What they can do</w:t>
            </w:r>
          </w:p>
        </w:tc>
      </w:tr>
      <w:tr>
        <w:tc>
          <w:tcPr>
            <w:tcW w:type="dxa" w:w="2592"/>
            <w:vAlign w:val="top"/>
          </w:tcPr>
          <w:p>
            <w:r>
              <w:t>Power Apps Users / Consumers</w:t>
            </w:r>
          </w:p>
        </w:tc>
        <w:tc>
          <w:tcPr>
            <w:tcW w:type="dxa" w:w="3600"/>
            <w:vAlign w:val="top"/>
          </w:tcPr>
          <w:p>
            <w:r>
              <w:t>Most staff</w:t>
            </w:r>
          </w:p>
        </w:tc>
        <w:tc>
          <w:tcPr>
            <w:tcW w:type="dxa" w:w="4320"/>
            <w:vAlign w:val="top"/>
          </w:tcPr>
          <w:p>
            <w:r>
              <w:t>Run approved apps shared with them.</w:t>
            </w:r>
          </w:p>
        </w:tc>
      </w:tr>
      <w:tr>
        <w:tc>
          <w:tcPr>
            <w:tcW w:type="dxa" w:w="2592"/>
            <w:vAlign w:val="top"/>
            <w:shd w:fill="F3F6FA"/>
          </w:tcPr>
          <w:p>
            <w:r>
              <w:t>Power Apps Makers / Developers</w:t>
            </w:r>
          </w:p>
        </w:tc>
        <w:tc>
          <w:tcPr>
            <w:tcW w:type="dxa" w:w="3600"/>
            <w:vAlign w:val="top"/>
            <w:shd w:fill="F3F6FA"/>
          </w:tcPr>
          <w:p>
            <w:r>
              <w:t>Approved business builders and IT developers</w:t>
            </w:r>
          </w:p>
        </w:tc>
        <w:tc>
          <w:tcPr>
            <w:tcW w:type="dxa" w:w="4320"/>
            <w:vAlign w:val="top"/>
            <w:shd w:fill="F3F6FA"/>
          </w:tcPr>
          <w:p>
            <w:r>
              <w:t>Build apps and flows in approved development environments.</w:t>
            </w:r>
          </w:p>
        </w:tc>
      </w:tr>
      <w:tr>
        <w:tc>
          <w:tcPr>
            <w:tcW w:type="dxa" w:w="2592"/>
            <w:vAlign w:val="top"/>
          </w:tcPr>
          <w:p>
            <w:r>
              <w:t>Power Platform Admins</w:t>
            </w:r>
          </w:p>
        </w:tc>
        <w:tc>
          <w:tcPr>
            <w:tcW w:type="dxa" w:w="3600"/>
            <w:vAlign w:val="top"/>
          </w:tcPr>
          <w:p>
            <w:r>
              <w:t>IT/admin team</w:t>
            </w:r>
          </w:p>
        </w:tc>
        <w:tc>
          <w:tcPr>
            <w:tcW w:type="dxa" w:w="4320"/>
            <w:vAlign w:val="top"/>
          </w:tcPr>
          <w:p>
            <w:r>
              <w:t>Manage environments, policies, licensing, security and governance.</w:t>
            </w:r>
          </w:p>
        </w:tc>
      </w:tr>
    </w:tbl>
    <w:p/>
    <w:p>
      <w:pPr>
        <w:pStyle w:val="Heading1"/>
      </w:pPr>
      <w:r>
        <w:t>4. Microsoft Entra Security Groups</w:t>
      </w:r>
    </w:p>
    <w:p>
      <w:r>
        <w:t>Create a small set of standard Microsoft Entra security groups and use them consistently. Avoid direct user assignment wherever possible.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3456"/>
            <w:shd w:fill="1F4E79"/>
            <w:vAlign w:val="center"/>
          </w:tcPr>
          <w:p>
            <w:r>
              <w:rPr>
                <w:b/>
                <w:color w:val="FFFFFF"/>
              </w:rPr>
              <w:t>Group name</w:t>
            </w:r>
          </w:p>
        </w:tc>
        <w:tc>
          <w:tcPr>
            <w:tcW w:type="dxa" w:w="6912"/>
            <w:shd w:fill="1F4E79"/>
            <w:vAlign w:val="center"/>
          </w:tcPr>
          <w:p>
            <w:r>
              <w:rPr>
                <w:b/>
                <w:color w:val="FFFFFF"/>
              </w:rPr>
              <w:t>Purpose</w:t>
            </w:r>
          </w:p>
        </w:tc>
      </w:tr>
      <w:tr>
        <w:tc>
          <w:tcPr>
            <w:tcW w:type="dxa" w:w="3456"/>
            <w:vAlign w:val="top"/>
          </w:tcPr>
          <w:p>
            <w:r>
              <w:t>PP-Users-All</w:t>
            </w:r>
          </w:p>
        </w:tc>
        <w:tc>
          <w:tcPr>
            <w:tcW w:type="dxa" w:w="6912"/>
            <w:vAlign w:val="top"/>
          </w:tcPr>
          <w:p>
            <w:r>
              <w:t>All users who can run approved Power Apps.</w:t>
            </w:r>
          </w:p>
        </w:tc>
      </w:tr>
      <w:tr>
        <w:tc>
          <w:tcPr>
            <w:tcW w:type="dxa" w:w="3456"/>
            <w:vAlign w:val="top"/>
            <w:shd w:fill="F3F6FA"/>
          </w:tcPr>
          <w:p>
            <w:r>
              <w:t>PP-Makers-Approved</w:t>
            </w:r>
          </w:p>
        </w:tc>
        <w:tc>
          <w:tcPr>
            <w:tcW w:type="dxa" w:w="6912"/>
            <w:vAlign w:val="top"/>
            <w:shd w:fill="F3F6FA"/>
          </w:tcPr>
          <w:p>
            <w:r>
              <w:t>Users approved to create Power Apps and Power Automate flows.</w:t>
            </w:r>
          </w:p>
        </w:tc>
      </w:tr>
      <w:tr>
        <w:tc>
          <w:tcPr>
            <w:tcW w:type="dxa" w:w="3456"/>
            <w:vAlign w:val="top"/>
          </w:tcPr>
          <w:p>
            <w:r>
              <w:t>PP-Admins</w:t>
            </w:r>
          </w:p>
        </w:tc>
        <w:tc>
          <w:tcPr>
            <w:tcW w:type="dxa" w:w="6912"/>
            <w:vAlign w:val="top"/>
          </w:tcPr>
          <w:p>
            <w:r>
              <w:t>IT administrators managing Power Platform.</w:t>
            </w:r>
          </w:p>
        </w:tc>
      </w:tr>
      <w:tr>
        <w:tc>
          <w:tcPr>
            <w:tcW w:type="dxa" w:w="3456"/>
            <w:vAlign w:val="top"/>
            <w:shd w:fill="F3F6FA"/>
          </w:tcPr>
          <w:p>
            <w:r>
              <w:t>PP-App-&lt;AppName&gt;-Users</w:t>
            </w:r>
          </w:p>
        </w:tc>
        <w:tc>
          <w:tcPr>
            <w:tcW w:type="dxa" w:w="6912"/>
            <w:vAlign w:val="top"/>
            <w:shd w:fill="F3F6FA"/>
          </w:tcPr>
          <w:p>
            <w:r>
              <w:t>Users allowed to run a specific app.</w:t>
            </w:r>
          </w:p>
        </w:tc>
      </w:tr>
      <w:tr>
        <w:tc>
          <w:tcPr>
            <w:tcW w:type="dxa" w:w="3456"/>
            <w:vAlign w:val="top"/>
          </w:tcPr>
          <w:p>
            <w:r>
              <w:t>PP-App-&lt;AppName&gt;-Owners</w:t>
            </w:r>
          </w:p>
        </w:tc>
        <w:tc>
          <w:tcPr>
            <w:tcW w:type="dxa" w:w="6912"/>
            <w:vAlign w:val="top"/>
          </w:tcPr>
          <w:p>
            <w:r>
              <w:t>Business/technical owners for a specific app.</w:t>
            </w:r>
          </w:p>
        </w:tc>
      </w:tr>
      <w:tr>
        <w:tc>
          <w:tcPr>
            <w:tcW w:type="dxa" w:w="3456"/>
            <w:vAlign w:val="top"/>
            <w:shd w:fill="F3F6FA"/>
          </w:tcPr>
          <w:p>
            <w:r>
              <w:t>PP-Environment-Dev-Makers</w:t>
            </w:r>
          </w:p>
        </w:tc>
        <w:tc>
          <w:tcPr>
            <w:tcW w:type="dxa" w:w="6912"/>
            <w:vAlign w:val="top"/>
            <w:shd w:fill="F3F6FA"/>
          </w:tcPr>
          <w:p>
            <w:r>
              <w:t>Makers allowed into shared development environments.</w:t>
            </w:r>
          </w:p>
        </w:tc>
      </w:tr>
      <w:tr>
        <w:tc>
          <w:tcPr>
            <w:tcW w:type="dxa" w:w="3456"/>
            <w:vAlign w:val="top"/>
          </w:tcPr>
          <w:p>
            <w:r>
              <w:t>PP-Environment-Prod-Users</w:t>
            </w:r>
          </w:p>
        </w:tc>
        <w:tc>
          <w:tcPr>
            <w:tcW w:type="dxa" w:w="6912"/>
            <w:vAlign w:val="top"/>
          </w:tcPr>
          <w:p>
            <w:r>
              <w:t>Users allowed into production app environments.</w:t>
            </w:r>
          </w:p>
        </w:tc>
      </w:tr>
    </w:tbl>
    <w:p/>
    <w:tbl>
      <w:tblPr>
        <w:tblW w:type="auto" w:w="0"/>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224"/>
      </w:tblGrid>
      <w:tr>
        <w:tc>
          <w:tcPr>
            <w:tcW w:type="dxa" w:w="10224"/>
            <w:shd w:fill="FFF2CC"/>
          </w:tcPr>
          <w:p>
            <w:pPr/>
            <w:r/>
            <w:r>
              <w:rPr>
                <w:b/>
                <w:sz w:val="21"/>
              </w:rPr>
              <w:t>Access rule: apps should be shared to Entra security groups, not to individual users. Group membership decides who can run what.</w:t>
            </w:r>
          </w:p>
        </w:tc>
      </w:tr>
    </w:tbl>
    <w:p/>
    <w:p>
      <w:pPr>
        <w:pStyle w:val="Heading1"/>
      </w:pPr>
      <w:r>
        <w:t>5. Default Environment Strategy</w:t>
      </w:r>
    </w:p>
    <w:p>
      <w:r>
        <w:t>Rename the Default environment to make its purpose obvious. A suggested name is:</w:t>
      </w:r>
    </w:p>
    <w:tbl>
      <w:tblPr>
        <w:tblW w:type="auto" w:w="0"/>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224"/>
      </w:tblGrid>
      <w:tr>
        <w:tc>
          <w:tcPr>
            <w:tcW w:type="dxa" w:w="10224"/>
            <w:shd w:fill="FCE4D6"/>
          </w:tcPr>
          <w:p>
            <w:pPr/>
            <w:r/>
            <w:r>
              <w:rPr>
                <w:b/>
                <w:sz w:val="21"/>
              </w:rPr>
              <w:t>Personal Productivity - Restricted</w:t>
            </w:r>
          </w:p>
        </w:tc>
      </w:tr>
    </w:tbl>
    <w:p/>
    <w:p>
      <w:r>
        <w:t>The Default environment should be used only for low-risk, Microsoft 365 productivity customisations. It should not be used for important business apps, broad department apps or apps that need premium connectors, Dataverse, custom APIs or external data.</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4320"/>
            <w:shd w:fill="1F4E79"/>
            <w:vAlign w:val="center"/>
          </w:tcPr>
          <w:p>
            <w:r>
              <w:rPr>
                <w:b/>
                <w:color w:val="FFFFFF"/>
              </w:rPr>
              <w:t>Allow in Default</w:t>
            </w:r>
          </w:p>
        </w:tc>
        <w:tc>
          <w:tcPr>
            <w:tcW w:type="dxa" w:w="6048"/>
            <w:shd w:fill="1F4E79"/>
            <w:vAlign w:val="center"/>
          </w:tcPr>
          <w:p>
            <w:r>
              <w:rPr>
                <w:b/>
                <w:color w:val="FFFFFF"/>
              </w:rPr>
              <w:t>Avoid or block in Default</w:t>
            </w:r>
          </w:p>
        </w:tc>
      </w:tr>
      <w:tr>
        <w:tc>
          <w:tcPr>
            <w:tcW w:type="dxa" w:w="4320"/>
            <w:vAlign w:val="top"/>
          </w:tcPr>
          <w:p>
            <w:r>
              <w:t>Small personal productivity apps</w:t>
            </w:r>
          </w:p>
        </w:tc>
        <w:tc>
          <w:tcPr>
            <w:tcW w:type="dxa" w:w="6048"/>
            <w:vAlign w:val="top"/>
          </w:tcPr>
          <w:p>
            <w:r>
              <w:t>Business-critical apps</w:t>
            </w:r>
          </w:p>
        </w:tc>
      </w:tr>
      <w:tr>
        <w:tc>
          <w:tcPr>
            <w:tcW w:type="dxa" w:w="4320"/>
            <w:vAlign w:val="top"/>
            <w:shd w:fill="F3F6FA"/>
          </w:tcPr>
          <w:p>
            <w:r>
              <w:t>SharePoint/Outlook/Teams-based scenarios</w:t>
            </w:r>
          </w:p>
        </w:tc>
        <w:tc>
          <w:tcPr>
            <w:tcW w:type="dxa" w:w="6048"/>
            <w:vAlign w:val="top"/>
            <w:shd w:fill="F3F6FA"/>
          </w:tcPr>
          <w:p>
            <w:r>
              <w:t>Apps shared widely across departments</w:t>
            </w:r>
          </w:p>
        </w:tc>
      </w:tr>
      <w:tr>
        <w:tc>
          <w:tcPr>
            <w:tcW w:type="dxa" w:w="4320"/>
            <w:vAlign w:val="top"/>
          </w:tcPr>
          <w:p>
            <w:r>
              <w:t>Low-risk internal Microsoft 365 data</w:t>
            </w:r>
          </w:p>
        </w:tc>
        <w:tc>
          <w:tcPr>
            <w:tcW w:type="dxa" w:w="6048"/>
            <w:vAlign w:val="top"/>
          </w:tcPr>
          <w:p>
            <w:r>
              <w:t>Premium connectors, SQL, custom connectors, HTTP APIs</w:t>
            </w:r>
          </w:p>
        </w:tc>
      </w:tr>
      <w:tr>
        <w:tc>
          <w:tcPr>
            <w:tcW w:type="dxa" w:w="4320"/>
            <w:vAlign w:val="top"/>
            <w:shd w:fill="F3F6FA"/>
          </w:tcPr>
          <w:p>
            <w:r>
              <w:t>Short-lived experiments</w:t>
            </w:r>
          </w:p>
        </w:tc>
        <w:tc>
          <w:tcPr>
            <w:tcW w:type="dxa" w:w="6048"/>
            <w:vAlign w:val="top"/>
            <w:shd w:fill="F3F6FA"/>
          </w:tcPr>
          <w:p>
            <w:r>
              <w:t>Apps requiring formal support or lifecycle management</w:t>
            </w:r>
          </w:p>
        </w:tc>
      </w:tr>
    </w:tbl>
    <w:p/>
    <w:p>
      <w:pPr>
        <w:pStyle w:val="Heading1"/>
      </w:pPr>
      <w:r>
        <w:t>6. Environment Creation Controls</w:t>
      </w:r>
    </w:p>
    <w:p>
      <w:r>
        <w:t>Restrict who can create environments. This avoids uncontrolled environment sprawl and makes governance manageable.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3744"/>
            <w:shd w:fill="1F4E79"/>
            <w:vAlign w:val="center"/>
          </w:tcPr>
          <w:p>
            <w:r>
              <w:rPr>
                <w:b/>
                <w:color w:val="FFFFFF"/>
              </w:rPr>
              <w:t>Setting</w:t>
            </w:r>
          </w:p>
        </w:tc>
        <w:tc>
          <w:tcPr>
            <w:tcW w:type="dxa" w:w="6624"/>
            <w:shd w:fill="1F4E79"/>
            <w:vAlign w:val="center"/>
          </w:tcPr>
          <w:p>
            <w:r>
              <w:rPr>
                <w:b/>
                <w:color w:val="FFFFFF"/>
              </w:rPr>
              <w:t>Recommendation</w:t>
            </w:r>
          </w:p>
        </w:tc>
      </w:tr>
      <w:tr>
        <w:tc>
          <w:tcPr>
            <w:tcW w:type="dxa" w:w="3744"/>
            <w:vAlign w:val="top"/>
          </w:tcPr>
          <w:p>
            <w:r>
              <w:t>Production environment creation</w:t>
            </w:r>
          </w:p>
        </w:tc>
        <w:tc>
          <w:tcPr>
            <w:tcW w:type="dxa" w:w="6624"/>
            <w:vAlign w:val="top"/>
          </w:tcPr>
          <w:p>
            <w:r>
              <w:t>Admins only</w:t>
            </w:r>
          </w:p>
        </w:tc>
      </w:tr>
      <w:tr>
        <w:tc>
          <w:tcPr>
            <w:tcW w:type="dxa" w:w="3744"/>
            <w:vAlign w:val="top"/>
            <w:shd w:fill="F3F6FA"/>
          </w:tcPr>
          <w:p>
            <w:r>
              <w:t>Sandbox environment creation</w:t>
            </w:r>
          </w:p>
        </w:tc>
        <w:tc>
          <w:tcPr>
            <w:tcW w:type="dxa" w:w="6624"/>
            <w:vAlign w:val="top"/>
            <w:shd w:fill="F3F6FA"/>
          </w:tcPr>
          <w:p>
            <w:r>
              <w:t>Admins only</w:t>
            </w:r>
          </w:p>
        </w:tc>
      </w:tr>
      <w:tr>
        <w:tc>
          <w:tcPr>
            <w:tcW w:type="dxa" w:w="3744"/>
            <w:vAlign w:val="top"/>
          </w:tcPr>
          <w:p>
            <w:r>
              <w:t>Trial environment creation</w:t>
            </w:r>
          </w:p>
        </w:tc>
        <w:tc>
          <w:tcPr>
            <w:tcW w:type="dxa" w:w="6624"/>
            <w:vAlign w:val="top"/>
          </w:tcPr>
          <w:p>
            <w:r>
              <w:t>Admins only or tightly restricted</w:t>
            </w:r>
          </w:p>
        </w:tc>
      </w:tr>
      <w:tr>
        <w:tc>
          <w:tcPr>
            <w:tcW w:type="dxa" w:w="3744"/>
            <w:vAlign w:val="top"/>
            <w:shd w:fill="F3F6FA"/>
          </w:tcPr>
          <w:p>
            <w:r>
              <w:t>Developer environment creation</w:t>
            </w:r>
          </w:p>
        </w:tc>
        <w:tc>
          <w:tcPr>
            <w:tcW w:type="dxa" w:w="6624"/>
            <w:vAlign w:val="top"/>
            <w:shd w:fill="F3F6FA"/>
          </w:tcPr>
          <w:p>
            <w:r>
              <w:t>Approved makers only, ideally using routing/security groups</w:t>
            </w:r>
          </w:p>
        </w:tc>
      </w:tr>
      <w:tr>
        <w:tc>
          <w:tcPr>
            <w:tcW w:type="dxa" w:w="3744"/>
            <w:vAlign w:val="top"/>
          </w:tcPr>
          <w:p>
            <w:r>
              <w:t>Self-service trials</w:t>
            </w:r>
          </w:p>
        </w:tc>
        <w:tc>
          <w:tcPr>
            <w:tcW w:type="dxa" w:w="6624"/>
            <w:vAlign w:val="top"/>
          </w:tcPr>
          <w:p>
            <w:r>
              <w:t>Review and restrict where appropriate</w:t>
            </w:r>
          </w:p>
        </w:tc>
      </w:tr>
    </w:tbl>
    <w:p/>
    <w:p>
      <w:pPr>
        <w:pStyle w:val="Heading1"/>
      </w:pPr>
      <w:r>
        <w:t>7. Recommended Environment Structure</w:t>
      </w:r>
    </w:p>
    <w:p>
      <w:r>
        <w:t>Start with a simple structure. Add department-specific environments later only when there is a real need.</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3312"/>
            <w:shd w:fill="1F4E79"/>
            <w:vAlign w:val="center"/>
          </w:tcPr>
          <w:p>
            <w:r>
              <w:rPr>
                <w:b/>
                <w:color w:val="FFFFFF"/>
              </w:rPr>
              <w:t>Environment</w:t>
            </w:r>
          </w:p>
        </w:tc>
        <w:tc>
          <w:tcPr>
            <w:tcW w:type="dxa" w:w="3888"/>
            <w:shd w:fill="1F4E79"/>
            <w:vAlign w:val="center"/>
          </w:tcPr>
          <w:p>
            <w:r>
              <w:rPr>
                <w:b/>
                <w:color w:val="FFFFFF"/>
              </w:rPr>
              <w:t>Purpose</w:t>
            </w:r>
          </w:p>
        </w:tc>
        <w:tc>
          <w:tcPr>
            <w:tcW w:type="dxa" w:w="3312"/>
            <w:shd w:fill="1F4E79"/>
            <w:vAlign w:val="center"/>
          </w:tcPr>
          <w:p>
            <w:r>
              <w:rPr>
                <w:b/>
                <w:color w:val="FFFFFF"/>
              </w:rPr>
              <w:t>Who has access</w:t>
            </w:r>
          </w:p>
        </w:tc>
      </w:tr>
      <w:tr>
        <w:tc>
          <w:tcPr>
            <w:tcW w:type="dxa" w:w="3312"/>
            <w:vAlign w:val="top"/>
          </w:tcPr>
          <w:p>
            <w:r>
              <w:t>Default / Personal Productivity - Restricted</w:t>
            </w:r>
          </w:p>
        </w:tc>
        <w:tc>
          <w:tcPr>
            <w:tcW w:type="dxa" w:w="3888"/>
            <w:vAlign w:val="top"/>
          </w:tcPr>
          <w:p>
            <w:r>
              <w:t>Tiny Microsoft 365 productivity apps only</w:t>
            </w:r>
          </w:p>
        </w:tc>
        <w:tc>
          <w:tcPr>
            <w:tcW w:type="dxa" w:w="3312"/>
            <w:vAlign w:val="top"/>
          </w:tcPr>
          <w:p>
            <w:r>
              <w:t>Everyone, but heavily restricted</w:t>
            </w:r>
          </w:p>
        </w:tc>
      </w:tr>
      <w:tr>
        <w:tc>
          <w:tcPr>
            <w:tcW w:type="dxa" w:w="3312"/>
            <w:vAlign w:val="top"/>
            <w:shd w:fill="F3F6FA"/>
          </w:tcPr>
          <w:p>
            <w:r>
              <w:t>PP-Dev</w:t>
            </w:r>
          </w:p>
        </w:tc>
        <w:tc>
          <w:tcPr>
            <w:tcW w:type="dxa" w:w="3888"/>
            <w:vAlign w:val="top"/>
            <w:shd w:fill="F3F6FA"/>
          </w:tcPr>
          <w:p>
            <w:r>
              <w:t>Shared development for approved makers</w:t>
            </w:r>
          </w:p>
        </w:tc>
        <w:tc>
          <w:tcPr>
            <w:tcW w:type="dxa" w:w="3312"/>
            <w:vAlign w:val="top"/>
            <w:shd w:fill="F3F6FA"/>
          </w:tcPr>
          <w:p>
            <w:r>
              <w:t>PP-Makers-Approved / PP-Environment-Dev-Makers</w:t>
            </w:r>
          </w:p>
        </w:tc>
      </w:tr>
      <w:tr>
        <w:tc>
          <w:tcPr>
            <w:tcW w:type="dxa" w:w="3312"/>
            <w:vAlign w:val="top"/>
          </w:tcPr>
          <w:p>
            <w:r>
              <w:t>PP-Test / UAT</w:t>
            </w:r>
          </w:p>
        </w:tc>
        <w:tc>
          <w:tcPr>
            <w:tcW w:type="dxa" w:w="3888"/>
            <w:vAlign w:val="top"/>
          </w:tcPr>
          <w:p>
            <w:r>
              <w:t>Testing before production</w:t>
            </w:r>
          </w:p>
        </w:tc>
        <w:tc>
          <w:tcPr>
            <w:tcW w:type="dxa" w:w="3312"/>
            <w:vAlign w:val="top"/>
          </w:tcPr>
          <w:p>
            <w:r>
              <w:t>Makers, testers and app owners</w:t>
            </w:r>
          </w:p>
        </w:tc>
      </w:tr>
      <w:tr>
        <w:tc>
          <w:tcPr>
            <w:tcW w:type="dxa" w:w="3312"/>
            <w:vAlign w:val="top"/>
            <w:shd w:fill="F3F6FA"/>
          </w:tcPr>
          <w:p>
            <w:r>
              <w:t>PP-Prod</w:t>
            </w:r>
          </w:p>
        </w:tc>
        <w:tc>
          <w:tcPr>
            <w:tcW w:type="dxa" w:w="3888"/>
            <w:vAlign w:val="top"/>
            <w:shd w:fill="F3F6FA"/>
          </w:tcPr>
          <w:p>
            <w:r>
              <w:t>Approved production apps</w:t>
            </w:r>
          </w:p>
        </w:tc>
        <w:tc>
          <w:tcPr>
            <w:tcW w:type="dxa" w:w="3312"/>
            <w:vAlign w:val="top"/>
            <w:shd w:fill="F3F6FA"/>
          </w:tcPr>
          <w:p>
            <w:r>
              <w:t>App-specific user groups</w:t>
            </w:r>
          </w:p>
        </w:tc>
      </w:tr>
      <w:tr>
        <w:tc>
          <w:tcPr>
            <w:tcW w:type="dxa" w:w="3312"/>
            <w:vAlign w:val="top"/>
          </w:tcPr>
          <w:p>
            <w:r>
              <w:t>Optional department dev environments</w:t>
            </w:r>
          </w:p>
        </w:tc>
        <w:tc>
          <w:tcPr>
            <w:tcW w:type="dxa" w:w="3888"/>
            <w:vAlign w:val="top"/>
          </w:tcPr>
          <w:p>
            <w:r>
              <w:t>HR, Finance, Operations or other department-specific development</w:t>
            </w:r>
          </w:p>
        </w:tc>
        <w:tc>
          <w:tcPr>
            <w:tcW w:type="dxa" w:w="3312"/>
            <w:vAlign w:val="top"/>
          </w:tcPr>
          <w:p>
            <w:r>
              <w:t>Department makers only</w:t>
            </w:r>
          </w:p>
        </w:tc>
      </w:tr>
    </w:tbl>
    <w:p/>
    <w:p>
      <w:pPr>
        <w:pStyle w:val="Heading1"/>
      </w:pPr>
      <w:r>
        <w:t>8. Environment Routing for Makers</w:t>
      </w:r>
    </w:p>
    <w:p>
      <w:r>
        <w:t>Use environment routing so approved makers are directed away from the Default environment and into controlled developer environments. Where possible, limit routing to the approved makers security group.</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3168"/>
            <w:shd w:fill="1F4E79"/>
            <w:vAlign w:val="center"/>
          </w:tcPr>
          <w:p>
            <w:r>
              <w:rPr>
                <w:b/>
                <w:color w:val="FFFFFF"/>
              </w:rPr>
              <w:t>User type</w:t>
            </w:r>
          </w:p>
        </w:tc>
        <w:tc>
          <w:tcPr>
            <w:tcW w:type="dxa" w:w="7200"/>
            <w:shd w:fill="1F4E79"/>
            <w:vAlign w:val="center"/>
          </w:tcPr>
          <w:p>
            <w:r>
              <w:rPr>
                <w:b/>
                <w:color w:val="FFFFFF"/>
              </w:rPr>
              <w:t>Routing / access</w:t>
            </w:r>
          </w:p>
        </w:tc>
      </w:tr>
      <w:tr>
        <w:tc>
          <w:tcPr>
            <w:tcW w:type="dxa" w:w="3168"/>
            <w:vAlign w:val="top"/>
          </w:tcPr>
          <w:p>
            <w:r>
              <w:t>Normal users</w:t>
            </w:r>
          </w:p>
        </w:tc>
        <w:tc>
          <w:tcPr>
            <w:tcW w:type="dxa" w:w="7200"/>
            <w:vAlign w:val="top"/>
          </w:tcPr>
          <w:p>
            <w:r>
              <w:t>Consumers only. They run approved apps shared to them.</w:t>
            </w:r>
          </w:p>
        </w:tc>
      </w:tr>
      <w:tr>
        <w:tc>
          <w:tcPr>
            <w:tcW w:type="dxa" w:w="3168"/>
            <w:vAlign w:val="top"/>
            <w:shd w:fill="F3F6FA"/>
          </w:tcPr>
          <w:p>
            <w:r>
              <w:t>Approved makers</w:t>
            </w:r>
          </w:p>
        </w:tc>
        <w:tc>
          <w:tcPr>
            <w:tcW w:type="dxa" w:w="7200"/>
            <w:vAlign w:val="top"/>
            <w:shd w:fill="F3F6FA"/>
          </w:tcPr>
          <w:p>
            <w:r>
              <w:t>Routed to controlled developer environments.</w:t>
            </w:r>
          </w:p>
        </w:tc>
      </w:tr>
      <w:tr>
        <w:tc>
          <w:tcPr>
            <w:tcW w:type="dxa" w:w="3168"/>
            <w:vAlign w:val="top"/>
          </w:tcPr>
          <w:p>
            <w:r>
              <w:t>IT developers</w:t>
            </w:r>
          </w:p>
        </w:tc>
        <w:tc>
          <w:tcPr>
            <w:tcW w:type="dxa" w:w="7200"/>
            <w:vAlign w:val="top"/>
          </w:tcPr>
          <w:p>
            <w:r>
              <w:t>Use shared Dev/Test/Prod environments and solution-based ALM.</w:t>
            </w:r>
          </w:p>
        </w:tc>
      </w:tr>
      <w:tr>
        <w:tc>
          <w:tcPr>
            <w:tcW w:type="dxa" w:w="3168"/>
            <w:vAlign w:val="top"/>
            <w:shd w:fill="F3F6FA"/>
          </w:tcPr>
          <w:p>
            <w:r>
              <w:t>Admins</w:t>
            </w:r>
          </w:p>
        </w:tc>
        <w:tc>
          <w:tcPr>
            <w:tcW w:type="dxa" w:w="7200"/>
            <w:vAlign w:val="top"/>
            <w:shd w:fill="F3F6FA"/>
          </w:tcPr>
          <w:p>
            <w:r>
              <w:t>Manage all environments, policies and promotion paths.</w:t>
            </w:r>
          </w:p>
        </w:tc>
      </w:tr>
    </w:tbl>
    <w:p/>
    <w:p>
      <w:pPr>
        <w:pStyle w:val="Heading1"/>
      </w:pPr>
      <w:r>
        <w:t>9. Managed Environments</w:t>
      </w:r>
    </w:p>
    <w:p>
      <w:r>
        <w:t>Use Managed Environments where licensing allows, especially for Dev, Test and Production. Managed Environments provide governance features such as sharing limits, maker welcome content, usage insights, solution checker and administrative recommendations.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3600"/>
            <w:shd w:fill="1F4E79"/>
            <w:vAlign w:val="center"/>
          </w:tcPr>
          <w:p>
            <w:r>
              <w:rPr>
                <w:b/>
                <w:color w:val="FFFFFF"/>
              </w:rPr>
              <w:t>Environment</w:t>
            </w:r>
          </w:p>
        </w:tc>
        <w:tc>
          <w:tcPr>
            <w:tcW w:type="dxa" w:w="6768"/>
            <w:shd w:fill="1F4E79"/>
            <w:vAlign w:val="center"/>
          </w:tcPr>
          <w:p>
            <w:r>
              <w:rPr>
                <w:b/>
                <w:color w:val="FFFFFF"/>
              </w:rPr>
              <w:t>Managed Environment recommendation</w:t>
            </w:r>
          </w:p>
        </w:tc>
      </w:tr>
      <w:tr>
        <w:tc>
          <w:tcPr>
            <w:tcW w:type="dxa" w:w="3600"/>
            <w:vAlign w:val="top"/>
          </w:tcPr>
          <w:p>
            <w:r>
              <w:t>Default</w:t>
            </w:r>
          </w:p>
        </w:tc>
        <w:tc>
          <w:tcPr>
            <w:tcW w:type="dxa" w:w="6768"/>
            <w:vAlign w:val="top"/>
          </w:tcPr>
          <w:p>
            <w:r>
              <w:t>Recommended if licensing allows</w:t>
            </w:r>
          </w:p>
        </w:tc>
      </w:tr>
      <w:tr>
        <w:tc>
          <w:tcPr>
            <w:tcW w:type="dxa" w:w="3600"/>
            <w:vAlign w:val="top"/>
            <w:shd w:fill="F3F6FA"/>
          </w:tcPr>
          <w:p>
            <w:r>
              <w:t>Dev</w:t>
            </w:r>
          </w:p>
        </w:tc>
        <w:tc>
          <w:tcPr>
            <w:tcW w:type="dxa" w:w="6768"/>
            <w:vAlign w:val="top"/>
            <w:shd w:fill="F3F6FA"/>
          </w:tcPr>
          <w:p>
            <w:r>
              <w:t>Recommended</w:t>
            </w:r>
          </w:p>
        </w:tc>
      </w:tr>
      <w:tr>
        <w:tc>
          <w:tcPr>
            <w:tcW w:type="dxa" w:w="3600"/>
            <w:vAlign w:val="top"/>
          </w:tcPr>
          <w:p>
            <w:r>
              <w:t>Test / UAT</w:t>
            </w:r>
          </w:p>
        </w:tc>
        <w:tc>
          <w:tcPr>
            <w:tcW w:type="dxa" w:w="6768"/>
            <w:vAlign w:val="top"/>
          </w:tcPr>
          <w:p>
            <w:r>
              <w:t>Recommended</w:t>
            </w:r>
          </w:p>
        </w:tc>
      </w:tr>
      <w:tr>
        <w:tc>
          <w:tcPr>
            <w:tcW w:type="dxa" w:w="3600"/>
            <w:vAlign w:val="top"/>
            <w:shd w:fill="F3F6FA"/>
          </w:tcPr>
          <w:p>
            <w:r>
              <w:t>Production</w:t>
            </w:r>
          </w:p>
        </w:tc>
        <w:tc>
          <w:tcPr>
            <w:tcW w:type="dxa" w:w="6768"/>
            <w:vAlign w:val="top"/>
            <w:shd w:fill="F3F6FA"/>
          </w:tcPr>
          <w:p>
            <w:r>
              <w:t>Strongly recommended</w:t>
            </w:r>
          </w:p>
        </w:tc>
      </w:tr>
    </w:tbl>
    <w:p/>
    <w:p>
      <w:pPr>
        <w:pStyle w:val="Heading1"/>
      </w:pPr>
      <w:r>
        <w:t>10. Data Loss Prevention Policy Design</w:t>
      </w:r>
    </w:p>
    <w:p>
      <w:r>
        <w:t>DLP policies should be in place before the platform is widely opened. Classify connectors into Business, Non-Business and Blocked groups.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2448"/>
            <w:shd w:fill="1F4E79"/>
            <w:vAlign w:val="center"/>
          </w:tcPr>
          <w:p>
            <w:r>
              <w:rPr>
                <w:b/>
                <w:color w:val="FFFFFF"/>
              </w:rPr>
              <w:t>Policy</w:t>
            </w:r>
          </w:p>
        </w:tc>
        <w:tc>
          <w:tcPr>
            <w:tcW w:type="dxa" w:w="2880"/>
            <w:shd w:fill="1F4E79"/>
            <w:vAlign w:val="center"/>
          </w:tcPr>
          <w:p>
            <w:r>
              <w:rPr>
                <w:b/>
                <w:color w:val="FFFFFF"/>
              </w:rPr>
              <w:t>Environment scope</w:t>
            </w:r>
          </w:p>
        </w:tc>
        <w:tc>
          <w:tcPr>
            <w:tcW w:type="dxa" w:w="5040"/>
            <w:shd w:fill="1F4E79"/>
            <w:vAlign w:val="center"/>
          </w:tcPr>
          <w:p>
            <w:r>
              <w:rPr>
                <w:b/>
                <w:color w:val="FFFFFF"/>
              </w:rPr>
              <w:t>Recommended approach</w:t>
            </w:r>
          </w:p>
        </w:tc>
      </w:tr>
      <w:tr>
        <w:tc>
          <w:tcPr>
            <w:tcW w:type="dxa" w:w="2448"/>
            <w:vAlign w:val="top"/>
          </w:tcPr>
          <w:p>
            <w:r>
              <w:t>Default - Strict</w:t>
            </w:r>
          </w:p>
        </w:tc>
        <w:tc>
          <w:tcPr>
            <w:tcW w:type="dxa" w:w="2880"/>
            <w:vAlign w:val="top"/>
          </w:tcPr>
          <w:p>
            <w:r>
              <w:t>Default / Personal Productivity</w:t>
            </w:r>
          </w:p>
        </w:tc>
        <w:tc>
          <w:tcPr>
            <w:tcW w:type="dxa" w:w="5040"/>
            <w:vAlign w:val="top"/>
          </w:tcPr>
          <w:p>
            <w:r>
              <w:t>Allow Microsoft 365 connectors only. Block premium, custom, HTTP, SQL and consumer/social connectors.</w:t>
            </w:r>
          </w:p>
        </w:tc>
      </w:tr>
      <w:tr>
        <w:tc>
          <w:tcPr>
            <w:tcW w:type="dxa" w:w="2448"/>
            <w:vAlign w:val="top"/>
            <w:shd w:fill="F3F6FA"/>
          </w:tcPr>
          <w:p>
            <w:r>
              <w:t>Dev/Test - Controlled</w:t>
            </w:r>
          </w:p>
        </w:tc>
        <w:tc>
          <w:tcPr>
            <w:tcW w:type="dxa" w:w="2880"/>
            <w:vAlign w:val="top"/>
            <w:shd w:fill="F3F6FA"/>
          </w:tcPr>
          <w:p>
            <w:r>
              <w:t>Development and UAT</w:t>
            </w:r>
          </w:p>
        </w:tc>
        <w:tc>
          <w:tcPr>
            <w:tcW w:type="dxa" w:w="5040"/>
            <w:vAlign w:val="top"/>
            <w:shd w:fill="F3F6FA"/>
          </w:tcPr>
          <w:p>
            <w:r>
              <w:t>Allow M365, Dataverse and approved premium connectors. Exceptions require review.</w:t>
            </w:r>
          </w:p>
        </w:tc>
      </w:tr>
      <w:tr>
        <w:tc>
          <w:tcPr>
            <w:tcW w:type="dxa" w:w="2448"/>
            <w:vAlign w:val="top"/>
          </w:tcPr>
          <w:p>
            <w:r>
              <w:t>Production - App-aware</w:t>
            </w:r>
          </w:p>
        </w:tc>
        <w:tc>
          <w:tcPr>
            <w:tcW w:type="dxa" w:w="2880"/>
            <w:vAlign w:val="top"/>
          </w:tcPr>
          <w:p>
            <w:r>
              <w:t>Production</w:t>
            </w:r>
          </w:p>
        </w:tc>
        <w:tc>
          <w:tcPr>
            <w:tcW w:type="dxa" w:w="5040"/>
            <w:vAlign w:val="top"/>
          </w:tcPr>
          <w:p>
            <w:r>
              <w:t>Allow only connectors required by approved production apps. Block or restrict everything else.</w:t>
            </w:r>
          </w:p>
        </w:tc>
      </w:tr>
    </w:tbl>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6768"/>
            <w:shd w:fill="1F4E79"/>
            <w:vAlign w:val="center"/>
          </w:tcPr>
          <w:p>
            <w:r>
              <w:rPr>
                <w:b/>
                <w:color w:val="FFFFFF"/>
              </w:rPr>
              <w:t>Connector examples</w:t>
            </w:r>
          </w:p>
        </w:tc>
        <w:tc>
          <w:tcPr>
            <w:tcW w:type="dxa" w:w="3600"/>
            <w:shd w:fill="1F4E79"/>
            <w:vAlign w:val="center"/>
          </w:tcPr>
          <w:p>
            <w:r>
              <w:rPr>
                <w:b/>
                <w:color w:val="FFFFFF"/>
              </w:rPr>
              <w:t>Suggested classification</w:t>
            </w:r>
          </w:p>
        </w:tc>
      </w:tr>
      <w:tr>
        <w:tc>
          <w:tcPr>
            <w:tcW w:type="dxa" w:w="6768"/>
            <w:vAlign w:val="top"/>
          </w:tcPr>
          <w:p>
            <w:r>
              <w:t>SharePoint, Office 365 Outlook, Office 365 Users, Teams, OneDrive for Business, Excel Online Business</w:t>
            </w:r>
          </w:p>
        </w:tc>
        <w:tc>
          <w:tcPr>
            <w:tcW w:type="dxa" w:w="3600"/>
            <w:vAlign w:val="top"/>
          </w:tcPr>
          <w:p>
            <w:r>
              <w:t>Business in approved environments</w:t>
            </w:r>
          </w:p>
        </w:tc>
      </w:tr>
      <w:tr>
        <w:tc>
          <w:tcPr>
            <w:tcW w:type="dxa" w:w="6768"/>
            <w:vAlign w:val="top"/>
            <w:shd w:fill="F3F6FA"/>
          </w:tcPr>
          <w:p>
            <w:r>
              <w:t>Dataverse</w:t>
            </w:r>
          </w:p>
        </w:tc>
        <w:tc>
          <w:tcPr>
            <w:tcW w:type="dxa" w:w="3600"/>
            <w:vAlign w:val="top"/>
            <w:shd w:fill="F3F6FA"/>
          </w:tcPr>
          <w:p>
            <w:r>
              <w:t>Business where apps require it</w:t>
            </w:r>
          </w:p>
        </w:tc>
      </w:tr>
      <w:tr>
        <w:tc>
          <w:tcPr>
            <w:tcW w:type="dxa" w:w="6768"/>
            <w:vAlign w:val="top"/>
          </w:tcPr>
          <w:p>
            <w:r>
              <w:t>SQL, ServiceNow, Salesforce, custom connectors, HTTP</w:t>
            </w:r>
          </w:p>
        </w:tc>
        <w:tc>
          <w:tcPr>
            <w:tcW w:type="dxa" w:w="3600"/>
            <w:vAlign w:val="top"/>
          </w:tcPr>
          <w:p>
            <w:r>
              <w:t>By exception / approved environments only</w:t>
            </w:r>
          </w:p>
        </w:tc>
      </w:tr>
      <w:tr>
        <w:tc>
          <w:tcPr>
            <w:tcW w:type="dxa" w:w="6768"/>
            <w:vAlign w:val="top"/>
            <w:shd w:fill="F3F6FA"/>
          </w:tcPr>
          <w:p>
            <w:r>
              <w:t>Consumer cloud storage, social media, non-approved external services</w:t>
            </w:r>
          </w:p>
        </w:tc>
        <w:tc>
          <w:tcPr>
            <w:tcW w:type="dxa" w:w="3600"/>
            <w:vAlign w:val="top"/>
            <w:shd w:fill="F3F6FA"/>
          </w:tcPr>
          <w:p>
            <w:r>
              <w:t>Blocked</w:t>
            </w:r>
          </w:p>
        </w:tc>
      </w:tr>
    </w:tbl>
    <w:p/>
    <w:p>
      <w:pPr>
        <w:pStyle w:val="Heading1"/>
      </w:pPr>
      <w:r>
        <w:t>11. Application Lifecycle Model</w:t>
      </w:r>
    </w:p>
    <w:p>
      <w:r>
        <w:t>Any app that is more than a small personal productivity app should follow a simple lifecycle.</w:t>
      </w:r>
    </w:p>
    <w:tbl>
      <w:tblPr>
        <w:tblW w:type="auto" w:w="0"/>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224"/>
      </w:tblGrid>
      <w:tr>
        <w:tc>
          <w:tcPr>
            <w:tcW w:type="dxa" w:w="10224"/>
            <w:shd w:fill="E2F0D9"/>
          </w:tcPr>
          <w:p>
            <w:pPr/>
            <w:r/>
            <w:r>
              <w:rPr>
                <w:b/>
                <w:sz w:val="21"/>
              </w:rPr>
              <w:t>Build in Dev  &gt;  Package as Solution  &gt;  Test in UAT  &gt;  Promote to Production  &gt;  Share via Entra security group</w:t>
            </w:r>
          </w:p>
        </w:tc>
      </w:tr>
    </w:tbl>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3744"/>
            <w:shd w:fill="1F4E79"/>
            <w:vAlign w:val="center"/>
          </w:tcPr>
          <w:p>
            <w:r>
              <w:rPr>
                <w:b/>
                <w:color w:val="FFFFFF"/>
              </w:rPr>
              <w:t>App type</w:t>
            </w:r>
          </w:p>
        </w:tc>
        <w:tc>
          <w:tcPr>
            <w:tcW w:type="dxa" w:w="6624"/>
            <w:shd w:fill="1F4E79"/>
            <w:vAlign w:val="center"/>
          </w:tcPr>
          <w:p>
            <w:r>
              <w:rPr>
                <w:b/>
                <w:color w:val="FFFFFF"/>
              </w:rPr>
              <w:t>Allowed location / process</w:t>
            </w:r>
          </w:p>
        </w:tc>
      </w:tr>
      <w:tr>
        <w:tc>
          <w:tcPr>
            <w:tcW w:type="dxa" w:w="3744"/>
            <w:vAlign w:val="top"/>
          </w:tcPr>
          <w:p>
            <w:r>
              <w:t>Personal productivity app</w:t>
            </w:r>
          </w:p>
        </w:tc>
        <w:tc>
          <w:tcPr>
            <w:tcW w:type="dxa" w:w="6624"/>
            <w:vAlign w:val="top"/>
          </w:tcPr>
          <w:p>
            <w:r>
              <w:t>Default or personal developer environment, restricted sharing</w:t>
            </w:r>
          </w:p>
        </w:tc>
      </w:tr>
      <w:tr>
        <w:tc>
          <w:tcPr>
            <w:tcW w:type="dxa" w:w="3744"/>
            <w:vAlign w:val="top"/>
            <w:shd w:fill="F3F6FA"/>
          </w:tcPr>
          <w:p>
            <w:r>
              <w:t>Team app</w:t>
            </w:r>
          </w:p>
        </w:tc>
        <w:tc>
          <w:tcPr>
            <w:tcW w:type="dxa" w:w="6624"/>
            <w:vAlign w:val="top"/>
            <w:shd w:fill="F3F6FA"/>
          </w:tcPr>
          <w:p>
            <w:r>
              <w:t>Dev &gt; Test &gt; Production</w:t>
            </w:r>
          </w:p>
        </w:tc>
      </w:tr>
      <w:tr>
        <w:tc>
          <w:tcPr>
            <w:tcW w:type="dxa" w:w="3744"/>
            <w:vAlign w:val="top"/>
          </w:tcPr>
          <w:p>
            <w:r>
              <w:t>Business-critical app</w:t>
            </w:r>
          </w:p>
        </w:tc>
        <w:tc>
          <w:tcPr>
            <w:tcW w:type="dxa" w:w="6624"/>
            <w:vAlign w:val="top"/>
          </w:tcPr>
          <w:p>
            <w:r>
              <w:t>Dedicated or controlled Dev/Test/Prod with owner, support path and review cycle</w:t>
            </w:r>
          </w:p>
        </w:tc>
      </w:tr>
      <w:tr>
        <w:tc>
          <w:tcPr>
            <w:tcW w:type="dxa" w:w="3744"/>
            <w:vAlign w:val="top"/>
            <w:shd w:fill="F3F6FA"/>
          </w:tcPr>
          <w:p>
            <w:r>
              <w:t>App used by many users</w:t>
            </w:r>
          </w:p>
        </w:tc>
        <w:tc>
          <w:tcPr>
            <w:tcW w:type="dxa" w:w="6624"/>
            <w:vAlign w:val="top"/>
            <w:shd w:fill="F3F6FA"/>
          </w:tcPr>
          <w:p>
            <w:r>
              <w:t>Move out of Default into a managed production environment</w:t>
            </w:r>
          </w:p>
        </w:tc>
      </w:tr>
    </w:tbl>
    <w:p/>
    <w:p>
      <w:pPr>
        <w:pStyle w:val="Heading1"/>
      </w:pPr>
      <w:r>
        <w:t>12. Licensing Guidance</w:t>
      </w:r>
    </w:p>
    <w:p>
      <w:r>
        <w:t>Microsoft 365 licensing usually allows users to build and run Power Apps that use Microsoft 365 data and standard connectors such as SharePoint, Outlook and Teams. Premium licensing is needed when apps use premium connectors, Dataverse for custom apps, model-driven apps, custom/on-premises connectors or other premium capabilities.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040"/>
            <w:shd w:fill="1F4E79"/>
            <w:vAlign w:val="center"/>
          </w:tcPr>
          <w:p>
            <w:r>
              <w:rPr>
                <w:b/>
                <w:color w:val="FFFFFF"/>
              </w:rPr>
              <w:t>User/app scenario</w:t>
            </w:r>
          </w:p>
        </w:tc>
        <w:tc>
          <w:tcPr>
            <w:tcW w:type="dxa" w:w="5328"/>
            <w:shd w:fill="1F4E79"/>
            <w:vAlign w:val="center"/>
          </w:tcPr>
          <w:p>
            <w:r>
              <w:rPr>
                <w:b/>
                <w:color w:val="FFFFFF"/>
              </w:rPr>
              <w:t>Likely licensing approach</w:t>
            </w:r>
          </w:p>
        </w:tc>
      </w:tr>
      <w:tr>
        <w:tc>
          <w:tcPr>
            <w:tcW w:type="dxa" w:w="5040"/>
            <w:vAlign w:val="top"/>
          </w:tcPr>
          <w:p>
            <w:r>
              <w:t>Users running SharePoint/Teams/Outlook-based apps</w:t>
            </w:r>
          </w:p>
        </w:tc>
        <w:tc>
          <w:tcPr>
            <w:tcW w:type="dxa" w:w="5328"/>
            <w:vAlign w:val="top"/>
          </w:tcPr>
          <w:p>
            <w:r>
              <w:t>Existing Microsoft 365 licensing may be sufficient</w:t>
            </w:r>
          </w:p>
        </w:tc>
      </w:tr>
      <w:tr>
        <w:tc>
          <w:tcPr>
            <w:tcW w:type="dxa" w:w="5040"/>
            <w:vAlign w:val="top"/>
            <w:shd w:fill="F3F6FA"/>
          </w:tcPr>
          <w:p>
            <w:r>
              <w:t>Makers building standard Microsoft 365 apps</w:t>
            </w:r>
          </w:p>
        </w:tc>
        <w:tc>
          <w:tcPr>
            <w:tcW w:type="dxa" w:w="5328"/>
            <w:vAlign w:val="top"/>
            <w:shd w:fill="F3F6FA"/>
          </w:tcPr>
          <w:p>
            <w:r>
              <w:t>Existing Microsoft 365 licensing may be sufficient</w:t>
            </w:r>
          </w:p>
        </w:tc>
      </w:tr>
      <w:tr>
        <w:tc>
          <w:tcPr>
            <w:tcW w:type="dxa" w:w="5040"/>
            <w:vAlign w:val="top"/>
          </w:tcPr>
          <w:p>
            <w:r>
              <w:t>Makers building premium/Dataverse apps</w:t>
            </w:r>
          </w:p>
        </w:tc>
        <w:tc>
          <w:tcPr>
            <w:tcW w:type="dxa" w:w="5328"/>
            <w:vAlign w:val="top"/>
          </w:tcPr>
          <w:p>
            <w:r>
              <w:t>Power Apps Premium likely required</w:t>
            </w:r>
          </w:p>
        </w:tc>
      </w:tr>
      <w:tr>
        <w:tc>
          <w:tcPr>
            <w:tcW w:type="dxa" w:w="5040"/>
            <w:vAlign w:val="top"/>
            <w:shd w:fill="F3F6FA"/>
          </w:tcPr>
          <w:p>
            <w:r>
              <w:t>Users running premium/Dataverse apps</w:t>
            </w:r>
          </w:p>
        </w:tc>
        <w:tc>
          <w:tcPr>
            <w:tcW w:type="dxa" w:w="5328"/>
            <w:vAlign w:val="top"/>
            <w:shd w:fill="F3F6FA"/>
          </w:tcPr>
          <w:p>
            <w:r>
              <w:t>Power Apps Premium or appropriate paid app licensing model required</w:t>
            </w:r>
          </w:p>
        </w:tc>
      </w:tr>
      <w:tr>
        <w:tc>
          <w:tcPr>
            <w:tcW w:type="dxa" w:w="5040"/>
            <w:vAlign w:val="top"/>
          </w:tcPr>
          <w:p>
            <w:r>
              <w:t>Admins</w:t>
            </w:r>
          </w:p>
        </w:tc>
        <w:tc>
          <w:tcPr>
            <w:tcW w:type="dxa" w:w="5328"/>
            <w:vAlign w:val="top"/>
          </w:tcPr>
          <w:p>
            <w:r>
              <w:t>Admin role plus any required licences for apps they build/run</w:t>
            </w:r>
          </w:p>
        </w:tc>
      </w:tr>
    </w:tbl>
    <w:p/>
    <w:tbl>
      <w:tblPr>
        <w:tblW w:type="auto" w:w="0"/>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224"/>
      </w:tblGrid>
      <w:tr>
        <w:tc>
          <w:tcPr>
            <w:tcW w:type="dxa" w:w="10224"/>
            <w:shd w:fill="FFF2CC"/>
          </w:tcPr>
          <w:p>
            <w:pPr/>
            <w:r/>
            <w:r>
              <w:rPr>
                <w:b/>
                <w:sz w:val="21"/>
              </w:rPr>
              <w:t>Important: Microsoft 365 covers standard connector scenarios only. Premium connectors, Dataverse and model-driven apps usually need separate licensing.</w:t>
            </w:r>
          </w:p>
        </w:tc>
      </w:tr>
    </w:tbl>
    <w:p/>
    <w:p>
      <w:pPr>
        <w:pStyle w:val="Heading1"/>
      </w:pPr>
      <w:r>
        <w:t>13. Governance Roles and Responsibilities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3168"/>
            <w:shd w:fill="1F4E79"/>
            <w:vAlign w:val="center"/>
          </w:tcPr>
          <w:p>
            <w:r>
              <w:rPr>
                <w:b/>
                <w:color w:val="FFFFFF"/>
              </w:rPr>
              <w:t>Role</w:t>
            </w:r>
          </w:p>
        </w:tc>
        <w:tc>
          <w:tcPr>
            <w:tcW w:type="dxa" w:w="7200"/>
            <w:shd w:fill="1F4E79"/>
            <w:vAlign w:val="center"/>
          </w:tcPr>
          <w:p>
            <w:r>
              <w:rPr>
                <w:b/>
                <w:color w:val="FFFFFF"/>
              </w:rPr>
              <w:t>Responsibilities</w:t>
            </w:r>
          </w:p>
        </w:tc>
      </w:tr>
      <w:tr>
        <w:tc>
          <w:tcPr>
            <w:tcW w:type="dxa" w:w="3168"/>
            <w:vAlign w:val="top"/>
          </w:tcPr>
          <w:p>
            <w:r>
              <w:t>IT / Power Platform Admins</w:t>
            </w:r>
          </w:p>
        </w:tc>
        <w:tc>
          <w:tcPr>
            <w:tcW w:type="dxa" w:w="7200"/>
            <w:vAlign w:val="top"/>
          </w:tcPr>
          <w:p>
            <w:r>
              <w:t>Create and manage environments, DLP policies, security model, licensing, monitoring, ALM, production promotion and support model.</w:t>
            </w:r>
          </w:p>
        </w:tc>
      </w:tr>
      <w:tr>
        <w:tc>
          <w:tcPr>
            <w:tcW w:type="dxa" w:w="3168"/>
            <w:vAlign w:val="top"/>
            <w:shd w:fill="F3F6FA"/>
          </w:tcPr>
          <w:p>
            <w:r>
              <w:t>Makers / Developers</w:t>
            </w:r>
          </w:p>
        </w:tc>
        <w:tc>
          <w:tcPr>
            <w:tcW w:type="dxa" w:w="7200"/>
            <w:vAlign w:val="top"/>
            <w:shd w:fill="F3F6FA"/>
          </w:tcPr>
          <w:p>
            <w:r>
              <w:t>Build in approved environments, follow connector policy, document app purpose, test changes and hand over support details.</w:t>
            </w:r>
          </w:p>
        </w:tc>
      </w:tr>
      <w:tr>
        <w:tc>
          <w:tcPr>
            <w:tcW w:type="dxa" w:w="3168"/>
            <w:vAlign w:val="top"/>
          </w:tcPr>
          <w:p>
            <w:r>
              <w:t>Business Owners</w:t>
            </w:r>
          </w:p>
        </w:tc>
        <w:tc>
          <w:tcPr>
            <w:tcW w:type="dxa" w:w="7200"/>
            <w:vAlign w:val="top"/>
          </w:tcPr>
          <w:p>
            <w:r>
              <w:t>Own the process, approve access, confirm data ownership, complete UAT sign-off and confirm ongoing need.</w:t>
            </w:r>
          </w:p>
        </w:tc>
      </w:tr>
    </w:tbl>
    <w:p/>
    <w:p>
      <w:pPr>
        <w:pStyle w:val="Heading1"/>
      </w:pPr>
      <w:r>
        <w:t>14. Center of Excellence Starter Kit</w:t>
      </w:r>
    </w:p>
    <w:p>
      <w:r>
        <w:t>Do not make the CoE Starter Kit the first blocker unless you already have a mature team ready to operate it. Start with admin center controls, Managed Environments and tenant-level analytics. Add the CoE Starter Kit when adoption grows and you need deeper inventory, cleanup, permission management and maker engagement.</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2880"/>
            <w:shd w:fill="1F4E79"/>
            <w:vAlign w:val="center"/>
          </w:tcPr>
          <w:p>
            <w:r>
              <w:rPr>
                <w:b/>
                <w:color w:val="FFFFFF"/>
              </w:rPr>
              <w:t>Phase</w:t>
            </w:r>
          </w:p>
        </w:tc>
        <w:tc>
          <w:tcPr>
            <w:tcW w:type="dxa" w:w="7488"/>
            <w:shd w:fill="1F4E79"/>
            <w:vAlign w:val="center"/>
          </w:tcPr>
          <w:p>
            <w:r>
              <w:rPr>
                <w:b/>
                <w:color w:val="FFFFFF"/>
              </w:rPr>
              <w:t>Recommendation</w:t>
            </w:r>
          </w:p>
        </w:tc>
      </w:tr>
      <w:tr>
        <w:tc>
          <w:tcPr>
            <w:tcW w:type="dxa" w:w="2880"/>
            <w:vAlign w:val="top"/>
          </w:tcPr>
          <w:p>
            <w:r>
              <w:t>First rollout</w:t>
            </w:r>
          </w:p>
        </w:tc>
        <w:tc>
          <w:tcPr>
            <w:tcW w:type="dxa" w:w="7488"/>
            <w:vAlign w:val="top"/>
          </w:tcPr>
          <w:p>
            <w:r>
              <w:t>Use admin center controls, DLP, Entra groups and simple Dev/Test/Prod environments.</w:t>
            </w:r>
          </w:p>
        </w:tc>
      </w:tr>
      <w:tr>
        <w:tc>
          <w:tcPr>
            <w:tcW w:type="dxa" w:w="2880"/>
            <w:vAlign w:val="top"/>
            <w:shd w:fill="F3F6FA"/>
          </w:tcPr>
          <w:p>
            <w:r>
              <w:t>Early adoption</w:t>
            </w:r>
          </w:p>
        </w:tc>
        <w:tc>
          <w:tcPr>
            <w:tcW w:type="dxa" w:w="7488"/>
            <w:vAlign w:val="top"/>
            <w:shd w:fill="F3F6FA"/>
          </w:tcPr>
          <w:p>
            <w:r>
              <w:t>Enable tenant analytics and Managed Environments where licensed.</w:t>
            </w:r>
          </w:p>
        </w:tc>
      </w:tr>
      <w:tr>
        <w:tc>
          <w:tcPr>
            <w:tcW w:type="dxa" w:w="2880"/>
            <w:vAlign w:val="top"/>
          </w:tcPr>
          <w:p>
            <w:r>
              <w:t>Growth phase</w:t>
            </w:r>
          </w:p>
        </w:tc>
        <w:tc>
          <w:tcPr>
            <w:tcW w:type="dxa" w:w="7488"/>
            <w:vAlign w:val="top"/>
          </w:tcPr>
          <w:p>
            <w:r>
              <w:t>Deploy CoE Starter Kit for richer reporting, cleanup, maker communication and governance workflows.</w:t>
            </w:r>
          </w:p>
        </w:tc>
      </w:tr>
      <w:tr>
        <w:tc>
          <w:tcPr>
            <w:tcW w:type="dxa" w:w="2880"/>
            <w:vAlign w:val="top"/>
            <w:shd w:fill="F3F6FA"/>
          </w:tcPr>
          <w:p>
            <w:r>
              <w:t>Mature phase</w:t>
            </w:r>
          </w:p>
        </w:tc>
        <w:tc>
          <w:tcPr>
            <w:tcW w:type="dxa" w:w="7488"/>
            <w:vAlign w:val="top"/>
            <w:shd w:fill="F3F6FA"/>
          </w:tcPr>
          <w:p>
            <w:r>
              <w:t>Introduce app intake, maker community, app catalogue, support tiers and recurring app reviews.</w:t>
            </w:r>
          </w:p>
        </w:tc>
      </w:tr>
    </w:tbl>
    <w:p/>
    <w:p>
      <w:pPr>
        <w:pStyle w:val="Heading1"/>
      </w:pPr>
      <w:r>
        <w:t>15. Practical Rollout Plan</w:t>
      </w:r>
    </w:p>
    <w:p>
      <w:pPr>
        <w:pStyle w:val="Heading2"/>
      </w:pPr>
      <w:r>
        <w:t>Phase 1 - Foundation</w:t>
      </w:r>
    </w:p>
    <w:p>
      <w:pPr>
        <w:pStyle w:val="ListBullet"/>
      </w:pPr>
      <w:r>
        <w:t>Create Entra groups: PP-Users-All, PP-Makers-Approved, PP-Admins and app-specific groups.</w:t>
      </w:r>
    </w:p>
    <w:p>
      <w:pPr>
        <w:pStyle w:val="ListBullet"/>
      </w:pPr>
      <w:r>
        <w:t>Restrict environment creation to admins or approved makers only.</w:t>
      </w:r>
    </w:p>
    <w:p>
      <w:pPr>
        <w:pStyle w:val="ListBullet"/>
      </w:pPr>
      <w:r>
        <w:t>Rename the Default environment to Personal Productivity - Restricted.</w:t>
      </w:r>
    </w:p>
    <w:p>
      <w:pPr>
        <w:pStyle w:val="ListBullet"/>
      </w:pPr>
      <w:r>
        <w:t>Apply a strict DLP policy to the Default environment.</w:t>
      </w:r>
    </w:p>
    <w:p>
      <w:pPr>
        <w:pStyle w:val="ListBullet"/>
      </w:pPr>
      <w:r>
        <w:t>Create Dev, Test/UAT and Production environments.</w:t>
      </w:r>
    </w:p>
    <w:p>
      <w:pPr>
        <w:pStyle w:val="ListBullet"/>
      </w:pPr>
      <w:r>
        <w:t>Confirm who belongs in PP-Makers-Approved.</w:t>
      </w:r>
    </w:p>
    <w:p>
      <w:pPr>
        <w:pStyle w:val="ListBullet"/>
      </w:pPr>
      <w:r>
        <w:t>Document the app sharing rule: security groups only.</w:t>
      </w:r>
    </w:p>
    <w:p>
      <w:pPr>
        <w:pStyle w:val="Heading2"/>
      </w:pPr>
      <w:r>
        <w:t>Phase 2 - Maker Rollout</w:t>
      </w:r>
    </w:p>
    <w:p>
      <w:pPr>
        <w:pStyle w:val="ListBullet"/>
      </w:pPr>
      <w:r>
        <w:t>Publish a simple internal guide explaining where makers should build.</w:t>
      </w:r>
    </w:p>
    <w:p>
      <w:pPr>
        <w:pStyle w:val="ListBullet"/>
      </w:pPr>
      <w:r>
        <w:t>Provide maker welcome content in Managed Environments if available.</w:t>
      </w:r>
    </w:p>
    <w:p>
      <w:pPr>
        <w:pStyle w:val="ListBullet"/>
      </w:pPr>
      <w:r>
        <w:t>Explain connector rules and how to request exceptions.</w:t>
      </w:r>
    </w:p>
    <w:p>
      <w:pPr>
        <w:pStyle w:val="ListBullet"/>
      </w:pPr>
      <w:r>
        <w:t>Explain when an app must move from personal productivity into Dev/Test/Prod.</w:t>
      </w:r>
    </w:p>
    <w:p>
      <w:pPr>
        <w:pStyle w:val="Heading2"/>
      </w:pPr>
      <w:r>
        <w:t>Phase 3 - Production Process</w:t>
      </w:r>
    </w:p>
    <w:p>
      <w:pPr>
        <w:pStyle w:val="ListBullet"/>
      </w:pPr>
      <w:r>
        <w:t>Require a business owner and technical owner for every production app.</w:t>
      </w:r>
    </w:p>
    <w:p>
      <w:pPr>
        <w:pStyle w:val="ListBullet"/>
      </w:pPr>
      <w:r>
        <w:t>Require app-specific user and owner security groups.</w:t>
      </w:r>
    </w:p>
    <w:p>
      <w:pPr>
        <w:pStyle w:val="ListBullet"/>
      </w:pPr>
      <w:r>
        <w:t>Require a data source and connector review.</w:t>
      </w:r>
    </w:p>
    <w:p>
      <w:pPr>
        <w:pStyle w:val="ListBullet"/>
      </w:pPr>
      <w:r>
        <w:t>Require UAT sign-off before production release.</w:t>
      </w:r>
    </w:p>
    <w:p>
      <w:pPr>
        <w:pStyle w:val="ListBullet"/>
      </w:pPr>
      <w:r>
        <w:t>Review production apps every 6 or 12 months.</w:t>
      </w:r>
    </w:p>
    <w:p>
      <w:pPr>
        <w:pStyle w:val="Heading1"/>
      </w:pPr>
      <w:r>
        <w:t>16. Production App Checklist</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3312"/>
            <w:shd w:fill="1F4E79"/>
            <w:vAlign w:val="center"/>
          </w:tcPr>
          <w:p>
            <w:r>
              <w:rPr>
                <w:b/>
                <w:color w:val="FFFFFF"/>
              </w:rPr>
              <w:t>Item</w:t>
            </w:r>
          </w:p>
        </w:tc>
        <w:tc>
          <w:tcPr>
            <w:tcW w:type="dxa" w:w="7056"/>
            <w:shd w:fill="1F4E79"/>
            <w:vAlign w:val="center"/>
          </w:tcPr>
          <w:p>
            <w:r>
              <w:rPr>
                <w:b/>
                <w:color w:val="FFFFFF"/>
              </w:rPr>
              <w:t>Required detail</w:t>
            </w:r>
          </w:p>
        </w:tc>
      </w:tr>
      <w:tr>
        <w:tc>
          <w:tcPr>
            <w:tcW w:type="dxa" w:w="3312"/>
            <w:vAlign w:val="top"/>
          </w:tcPr>
          <w:p>
            <w:r>
              <w:t>Business owner</w:t>
            </w:r>
          </w:p>
        </w:tc>
        <w:tc>
          <w:tcPr>
            <w:tcW w:type="dxa" w:w="7056"/>
            <w:vAlign w:val="top"/>
          </w:tcPr>
          <w:p>
            <w:r>
              <w:t>Named business owner accountable for the process</w:t>
            </w:r>
          </w:p>
        </w:tc>
      </w:tr>
      <w:tr>
        <w:tc>
          <w:tcPr>
            <w:tcW w:type="dxa" w:w="3312"/>
            <w:vAlign w:val="top"/>
            <w:shd w:fill="F3F6FA"/>
          </w:tcPr>
          <w:p>
            <w:r>
              <w:t>Technical owner</w:t>
            </w:r>
          </w:p>
        </w:tc>
        <w:tc>
          <w:tcPr>
            <w:tcW w:type="dxa" w:w="7056"/>
            <w:vAlign w:val="top"/>
            <w:shd w:fill="F3F6FA"/>
          </w:tcPr>
          <w:p>
            <w:r>
              <w:t>Named technical owner or support team</w:t>
            </w:r>
          </w:p>
        </w:tc>
      </w:tr>
      <w:tr>
        <w:tc>
          <w:tcPr>
            <w:tcW w:type="dxa" w:w="3312"/>
            <w:vAlign w:val="top"/>
          </w:tcPr>
          <w:p>
            <w:r>
              <w:t>Environment</w:t>
            </w:r>
          </w:p>
        </w:tc>
        <w:tc>
          <w:tcPr>
            <w:tcW w:type="dxa" w:w="7056"/>
            <w:vAlign w:val="top"/>
          </w:tcPr>
          <w:p>
            <w:r>
              <w:t>Production environment name</w:t>
            </w:r>
          </w:p>
        </w:tc>
      </w:tr>
      <w:tr>
        <w:tc>
          <w:tcPr>
            <w:tcW w:type="dxa" w:w="3312"/>
            <w:vAlign w:val="top"/>
            <w:shd w:fill="F3F6FA"/>
          </w:tcPr>
          <w:p>
            <w:r>
              <w:t>User group</w:t>
            </w:r>
          </w:p>
        </w:tc>
        <w:tc>
          <w:tcPr>
            <w:tcW w:type="dxa" w:w="7056"/>
            <w:vAlign w:val="top"/>
            <w:shd w:fill="F3F6FA"/>
          </w:tcPr>
          <w:p>
            <w:r>
              <w:t>PP-App-&lt;AppName&gt;-Users</w:t>
            </w:r>
          </w:p>
        </w:tc>
      </w:tr>
      <w:tr>
        <w:tc>
          <w:tcPr>
            <w:tcW w:type="dxa" w:w="3312"/>
            <w:vAlign w:val="top"/>
          </w:tcPr>
          <w:p>
            <w:r>
              <w:t>Owner group</w:t>
            </w:r>
          </w:p>
        </w:tc>
        <w:tc>
          <w:tcPr>
            <w:tcW w:type="dxa" w:w="7056"/>
            <w:vAlign w:val="top"/>
          </w:tcPr>
          <w:p>
            <w:r>
              <w:t>PP-App-&lt;AppName&gt;-Owners</w:t>
            </w:r>
          </w:p>
        </w:tc>
      </w:tr>
      <w:tr>
        <w:tc>
          <w:tcPr>
            <w:tcW w:type="dxa" w:w="3312"/>
            <w:vAlign w:val="top"/>
            <w:shd w:fill="F3F6FA"/>
          </w:tcPr>
          <w:p>
            <w:r>
              <w:t>Data source</w:t>
            </w:r>
          </w:p>
        </w:tc>
        <w:tc>
          <w:tcPr>
            <w:tcW w:type="dxa" w:w="7056"/>
            <w:vAlign w:val="top"/>
            <w:shd w:fill="F3F6FA"/>
          </w:tcPr>
          <w:p>
            <w:r>
              <w:t>SharePoint, Dataverse, SQL or other source</w:t>
            </w:r>
          </w:p>
        </w:tc>
      </w:tr>
      <w:tr>
        <w:tc>
          <w:tcPr>
            <w:tcW w:type="dxa" w:w="3312"/>
            <w:vAlign w:val="top"/>
          </w:tcPr>
          <w:p>
            <w:r>
              <w:t>Connectors</w:t>
            </w:r>
          </w:p>
        </w:tc>
        <w:tc>
          <w:tcPr>
            <w:tcW w:type="dxa" w:w="7056"/>
            <w:vAlign w:val="top"/>
          </w:tcPr>
          <w:p>
            <w:r>
              <w:t>Approved connector list</w:t>
            </w:r>
          </w:p>
        </w:tc>
      </w:tr>
      <w:tr>
        <w:tc>
          <w:tcPr>
            <w:tcW w:type="dxa" w:w="3312"/>
            <w:vAlign w:val="top"/>
            <w:shd w:fill="F3F6FA"/>
          </w:tcPr>
          <w:p>
            <w:r>
              <w:t>Support path</w:t>
            </w:r>
          </w:p>
        </w:tc>
        <w:tc>
          <w:tcPr>
            <w:tcW w:type="dxa" w:w="7056"/>
            <w:vAlign w:val="top"/>
            <w:shd w:fill="F3F6FA"/>
          </w:tcPr>
          <w:p>
            <w:r>
              <w:t>Service desk, app owner or support mailbox</w:t>
            </w:r>
          </w:p>
        </w:tc>
      </w:tr>
      <w:tr>
        <w:tc>
          <w:tcPr>
            <w:tcW w:type="dxa" w:w="3312"/>
            <w:vAlign w:val="top"/>
          </w:tcPr>
          <w:p>
            <w:r>
              <w:t>Review date</w:t>
            </w:r>
          </w:p>
        </w:tc>
        <w:tc>
          <w:tcPr>
            <w:tcW w:type="dxa" w:w="7056"/>
            <w:vAlign w:val="top"/>
          </w:tcPr>
          <w:p>
            <w:r>
              <w:t>6-month or 12-month review cycle</w:t>
            </w:r>
          </w:p>
        </w:tc>
      </w:tr>
    </w:tbl>
    <w:p/>
    <w:p>
      <w:pPr>
        <w:pStyle w:val="Heading1"/>
      </w:pPr>
      <w:r>
        <w:t>17. Final Recommended Design</w:t>
      </w:r>
    </w:p>
    <w:tbl>
      <w:tblPr>
        <w:tblW w:type="auto" w:w="0"/>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224"/>
      </w:tblGrid>
      <w:tr>
        <w:tc>
          <w:tcPr>
            <w:tcW w:type="dxa" w:w="10224"/>
            <w:shd w:fill="DDEBF7"/>
          </w:tcPr>
          <w:p>
            <w:pPr/>
            <w:r/>
            <w:r>
              <w:rPr>
                <w:b/>
                <w:sz w:val="21"/>
              </w:rPr>
              <w:t>All 800 staff can run approved apps. Approved makers can build in controlled environments. IT admins manage environments, DLP, licensing and production promotion. Default is restricted. Real apps follow Dev &gt; Test &gt; Prod. Access is controlled using Entra security groups.</w:t>
            </w:r>
          </w:p>
        </w:tc>
      </w:tr>
    </w:tbl>
    <w:p/>
    <w:p>
      <w:pPr>
        <w:pStyle w:val="ListBullet"/>
      </w:pPr>
      <w:r>
        <w:t>Everyone can consume approved apps.</w:t>
      </w:r>
    </w:p>
    <w:p>
      <w:pPr>
        <w:pStyle w:val="ListBullet"/>
      </w:pPr>
      <w:r>
        <w:t>Only approved makers can build apps and flows.</w:t>
      </w:r>
    </w:p>
    <w:p>
      <w:pPr>
        <w:pStyle w:val="ListBullet"/>
      </w:pPr>
      <w:r>
        <w:t>The Default environment is restricted to low-risk Microsoft 365 productivity scenarios.</w:t>
      </w:r>
    </w:p>
    <w:p>
      <w:pPr>
        <w:pStyle w:val="ListBullet"/>
      </w:pPr>
      <w:r>
        <w:t>Real business apps use Dev, Test/UAT and Production environments.</w:t>
      </w:r>
    </w:p>
    <w:p>
      <w:pPr>
        <w:pStyle w:val="ListBullet"/>
      </w:pPr>
      <w:r>
        <w:t>Apps are shared through Microsoft Entra security groups only.</w:t>
      </w:r>
    </w:p>
    <w:p>
      <w:pPr>
        <w:pStyle w:val="ListBullet"/>
      </w:pPr>
      <w:r>
        <w:t>DLP policies are configured before launch.</w:t>
      </w:r>
    </w:p>
    <w:p>
      <w:pPr>
        <w:pStyle w:val="ListBullet"/>
      </w:pPr>
      <w:r>
        <w:t>Premium licensing is controlled and assigned only where needed.</w:t>
      </w:r>
    </w:p>
    <w:p>
      <w:pPr>
        <w:pStyle w:val="ListBullet"/>
      </w:pPr>
      <w:r>
        <w:t>Managed Environments are used where licensing allows.</w:t>
      </w:r>
    </w:p>
    <w:p>
      <w:pPr>
        <w:pStyle w:val="ListBullet"/>
      </w:pPr>
      <w:r>
        <w:t>CoE Starter Kit is introduced later as adoption grows.</w:t>
      </w:r>
    </w:p>
    <w:p>
      <w:pPr>
        <w:pStyle w:val="Heading1"/>
      </w:pPr>
      <w:r>
        <w:t>18. Microsoft References Used</w:t>
      </w:r>
    </w:p>
    <w:p>
      <w:r>
        <w:t>The following Microsoft sources informed this guide:</w:t>
      </w:r>
    </w:p>
    <w:p>
      <w:pPr>
        <w:pStyle w:val="ListBullet"/>
      </w:pPr>
      <w:r>
        <w:rPr>
          <w:b/>
        </w:rPr>
        <w:t xml:space="preserve">Power Platform environment strategy: </w:t>
      </w:r>
      <w:r>
        <w:t>https://learn.microsoft.com/en-us/power-platform/guidance/adoption/environment-strategy</w:t>
      </w:r>
    </w:p>
    <w:p>
      <w:pPr>
        <w:pStyle w:val="ListBullet"/>
      </w:pPr>
      <w:r>
        <w:rPr>
          <w:b/>
        </w:rPr>
        <w:t xml:space="preserve">Power Platform governance overview and strategy: </w:t>
      </w:r>
      <w:r>
        <w:t>https://learn.microsoft.com/en-us/power-platform/guidance/adoption/admin-best-practices</w:t>
      </w:r>
    </w:p>
    <w:p>
      <w:pPr>
        <w:pStyle w:val="ListBullet"/>
      </w:pPr>
      <w:r>
        <w:rPr>
          <w:b/>
        </w:rPr>
        <w:t xml:space="preserve">Manage and govern the default Power Platform environment: </w:t>
      </w:r>
      <w:r>
        <w:t>https://learn.microsoft.com/en-us/power-platform/guidance/adoption/manage-default-environment</w:t>
      </w:r>
    </w:p>
    <w:p>
      <w:pPr>
        <w:pStyle w:val="ListBullet"/>
      </w:pPr>
      <w:r>
        <w:rPr>
          <w:b/>
        </w:rPr>
        <w:t xml:space="preserve">Control environment creation and management: </w:t>
      </w:r>
      <w:r>
        <w:t>https://learn.microsoft.com/en-us/power-platform/admin/control-environment-creation</w:t>
      </w:r>
    </w:p>
    <w:p>
      <w:pPr>
        <w:pStyle w:val="ListBullet"/>
      </w:pPr>
      <w:r>
        <w:rPr>
          <w:b/>
        </w:rPr>
        <w:t xml:space="preserve">Add users to an environment / security group access: </w:t>
      </w:r>
      <w:r>
        <w:t>https://learn.microsoft.com/en-us/power-platform/admin/add-users-to-environment</w:t>
      </w:r>
    </w:p>
    <w:p>
      <w:pPr>
        <w:pStyle w:val="ListBullet"/>
      </w:pPr>
      <w:r>
        <w:rPr>
          <w:b/>
        </w:rPr>
        <w:t xml:space="preserve">Managed Environments overview: </w:t>
      </w:r>
      <w:r>
        <w:t>https://learn.microsoft.com/en-us/power-platform/admin/managed-environment-overview</w:t>
      </w:r>
    </w:p>
    <w:p>
      <w:pPr>
        <w:pStyle w:val="ListBullet"/>
      </w:pPr>
      <w:r>
        <w:rPr>
          <w:b/>
        </w:rPr>
        <w:t xml:space="preserve">Data policies / DLP overview: </w:t>
      </w:r>
      <w:r>
        <w:t>https://learn.microsoft.com/en-us/power-platform/admin/wp-data-loss-prevention</w:t>
      </w:r>
    </w:p>
    <w:p>
      <w:pPr>
        <w:pStyle w:val="ListBullet"/>
      </w:pPr>
      <w:r>
        <w:rPr>
          <w:b/>
        </w:rPr>
        <w:t xml:space="preserve">Manage data policies: </w:t>
      </w:r>
      <w:r>
        <w:t>https://learn.microsoft.com/en-us/power-platform/admin/prevent-data-loss</w:t>
      </w:r>
    </w:p>
    <w:p>
      <w:pPr>
        <w:pStyle w:val="ListBullet"/>
      </w:pPr>
      <w:r>
        <w:rPr>
          <w:b/>
        </w:rPr>
        <w:t xml:space="preserve">Power Apps app sharing: </w:t>
      </w:r>
      <w:r>
        <w:t>https://learn.microsoft.com/en-us/power-apps/maker/canvas-apps/share-app</w:t>
      </w:r>
    </w:p>
    <w:p>
      <w:pPr>
        <w:pStyle w:val="ListBullet"/>
      </w:pPr>
      <w:r>
        <w:rPr>
          <w:b/>
        </w:rPr>
        <w:t xml:space="preserve">Power Platform licensing overview: </w:t>
      </w:r>
      <w:r>
        <w:t>https://learn.microsoft.com/en-us/power-platform/admin/pricing-billing-skus</w:t>
      </w:r>
    </w:p>
    <w:p>
      <w:pPr>
        <w:pStyle w:val="ListBullet"/>
      </w:pPr>
      <w:r>
        <w:rPr>
          <w:b/>
        </w:rPr>
        <w:t xml:space="preserve">Power Apps pricing - Australia: </w:t>
      </w:r>
      <w:r>
        <w:t>https://www.microsoft.com/en-au/power-platform/products/power-apps/pricing</w:t>
      </w:r>
    </w:p>
    <w:p>
      <w:pPr>
        <w:pStyle w:val="ListBullet"/>
      </w:pPr>
      <w:r>
        <w:rPr>
          <w:b/>
        </w:rPr>
        <w:t xml:space="preserve">Power Platform CoE Starter Kit overview: </w:t>
      </w:r>
      <w:r>
        <w:t>https://learn.microsoft.com/en-us/power-platform/guidance/coe/overview</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for internal planning | Microsoft 365 / Power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M365 Power Platform Governance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