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rtl w:val="0"/>
        </w:rPr>
      </w:r>
    </w:p>
    <w:p w:rsidR="00000000" w:rsidDel="00000000" w:rsidP="00000000" w:rsidRDefault="00000000" w:rsidRPr="00000000" w14:paraId="00000002">
      <w:pPr>
        <w:spacing w:before="1200" w:lineRule="auto"/>
        <w:jc w:val="center"/>
        <w:rPr/>
      </w:pPr>
      <w:r w:rsidDel="00000000" w:rsidR="00000000" w:rsidRPr="00000000">
        <w:rPr>
          <w:rtl w:val="0"/>
        </w:rPr>
        <w:t xml:space="preserve">RESPONSABLE | PÁGINA DE SERVICIO</w:t>
      </w:r>
    </w:p>
    <w:p w:rsidR="00000000" w:rsidDel="00000000" w:rsidP="00000000" w:rsidRDefault="00000000" w:rsidRPr="00000000" w14:paraId="00000003">
      <w:pPr>
        <w:pStyle w:val="Title"/>
        <w:spacing w:before="500" w:lineRule="auto"/>
        <w:jc w:val="center"/>
        <w:rPr/>
      </w:pPr>
      <w:r w:rsidDel="00000000" w:rsidR="00000000" w:rsidRPr="00000000">
        <w:rPr>
          <w:rtl w:val="0"/>
        </w:rPr>
        <w:t xml:space="preserve">Diagnóstico ISO 26000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lay" w:cs="Play" w:eastAsia="Play" w:hAnsi="Play"/>
          <w:b w:val="1"/>
          <w:bCs w:val="1"/>
          <w:i w:val="0"/>
          <w:iCs w:val="0"/>
          <w:smallCaps w:val="0"/>
          <w:strike w:val="0"/>
          <w:color w:val="16a6a1"/>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16a6a1"/>
          <w:sz w:val="32"/>
          <w:szCs w:val="32"/>
          <w:u w:val="none"/>
          <w:shd w:fill="auto" w:val="clear"/>
          <w:vertAlign w:val="baseline"/>
          <w:rtl w:val="0"/>
        </w:rPr>
        <w:t xml:space="preserve">Una visión integral para saber qué fortalecer</w:t>
      </w:r>
    </w:p>
    <w:p w:rsidR="00000000" w:rsidDel="00000000" w:rsidP="00000000" w:rsidRDefault="00000000" w:rsidRPr="00000000" w14:paraId="00000005">
      <w:pPr>
        <w:ind w:left="936" w:right="936" w:firstLine="0"/>
        <w:jc w:val="center"/>
        <w:rPr/>
      </w:pPr>
      <w:r w:rsidDel="00000000" w:rsidR="00000000" w:rsidRPr="00000000">
        <w:rPr>
          <w:rtl w:val="0"/>
        </w:rPr>
        <w:t xml:space="preserve">Una evaluación integral para identificar fortalezas, brechas y prioridades claras de mejora.</w:t>
      </w:r>
    </w:p>
    <w:p w:rsidR="00000000" w:rsidDel="00000000" w:rsidP="00000000" w:rsidRDefault="00000000" w:rsidRPr="00000000" w14:paraId="00000006">
      <w:pPr>
        <w:ind w:left="936" w:right="936" w:firstLine="0"/>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LINK: </w:t>
      </w:r>
      <w:hyperlink r:id="rId7">
        <w:r w:rsidDel="00000000" w:rsidR="00000000" w:rsidRPr="00000000">
          <w:rPr>
            <w:color w:val="1155cc"/>
            <w:u w:val="single"/>
            <w:rtl w:val="0"/>
          </w:rPr>
          <w:t xml:space="preserve">https://responsable.net/servicio/iso-26000/</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Aptos" w:cs="Aptos" w:eastAsia="Aptos" w:hAnsi="Aptos"/>
          <w:b w:val="1"/>
          <w:bCs w:val="1"/>
          <w:i w:val="0"/>
          <w:iCs w:val="0"/>
          <w:smallCaps w:val="0"/>
          <w:strike w:val="0"/>
          <w:color w:val="d7196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71967"/>
          <w:sz w:val="18"/>
          <w:szCs w:val="18"/>
          <w:u w:val="none"/>
          <w:shd w:fill="auto" w:val="clear"/>
          <w:vertAlign w:val="baseline"/>
          <w:rtl w:val="0"/>
        </w:rPr>
        <w:t xml:space="preserve">Hero</w:t>
      </w:r>
    </w:p>
    <w:p w:rsidR="00000000" w:rsidDel="00000000" w:rsidP="00000000" w:rsidRDefault="00000000" w:rsidRPr="00000000" w14:paraId="0000000A">
      <w:pPr>
        <w:pStyle w:val="Heading1"/>
        <w:rPr/>
      </w:pPr>
      <w:r w:rsidDel="00000000" w:rsidR="00000000" w:rsidRPr="00000000">
        <w:rPr>
          <w:rtl w:val="0"/>
        </w:rPr>
        <w:t xml:space="preserve">Diagnóstico ISO 26000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lay" w:cs="Play" w:eastAsia="Play" w:hAnsi="Play"/>
          <w:b w:val="1"/>
          <w:bCs w:val="1"/>
          <w:i w:val="0"/>
          <w:iCs w:val="0"/>
          <w:smallCaps w:val="0"/>
          <w:strike w:val="0"/>
          <w:color w:val="16a6a1"/>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16a6a1"/>
          <w:sz w:val="32"/>
          <w:szCs w:val="32"/>
          <w:u w:val="none"/>
          <w:shd w:fill="auto" w:val="clear"/>
          <w:vertAlign w:val="baseline"/>
          <w:rtl w:val="0"/>
        </w:rPr>
        <w:t xml:space="preserve">Una visión integral para saber qué fortalecer</w:t>
      </w:r>
    </w:p>
    <w:p w:rsidR="00000000" w:rsidDel="00000000" w:rsidP="00000000" w:rsidRDefault="00000000" w:rsidRPr="00000000" w14:paraId="0000000C">
      <w:pPr>
        <w:rPr/>
      </w:pPr>
      <w:r w:rsidDel="00000000" w:rsidR="00000000" w:rsidRPr="00000000">
        <w:rPr>
          <w:rtl w:val="0"/>
        </w:rPr>
        <w:t xml:space="preserve">La norma ISO 26000 permite evaluar la responsabilidad social de forma integral. En ResponSable adaptamos sus siete materias fundamentales a tu negocio y analizamos qué está definido, documentado, aplicado, medido y comunicado. Así, tu empresa identifica fortalezas, brechas y prioridades claras para mejorar su gestión.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Evalúa las siete materias fundamentales de ISO 26000</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Analiza qué está definido, documentado, aplicado, medido y comunicado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Detecta políticas o prácticas que las áreas todavía no conocen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Convierte fortalezas y brechas en prioridades de mejora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ptos" w:cs="Aptos" w:eastAsia="Aptos" w:hAnsi="Aptos"/>
          <w:b w:val="1"/>
          <w:bCs w:val="1"/>
          <w:i w:val="0"/>
          <w:iCs w:val="0"/>
          <w:smallCaps w:val="0"/>
          <w:strike w:val="0"/>
          <w:color w:val="d7196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ptos" w:cs="Aptos" w:eastAsia="Aptos" w:hAnsi="Aptos"/>
          <w:b w:val="1"/>
          <w:bCs w:val="1"/>
          <w:i w:val="0"/>
          <w:iCs w:val="0"/>
          <w:smallCaps w:val="0"/>
          <w:strike w:val="0"/>
          <w:color w:val="d7196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71967"/>
          <w:sz w:val="18"/>
          <w:szCs w:val="18"/>
          <w:u w:val="none"/>
          <w:shd w:fill="auto" w:val="clear"/>
          <w:vertAlign w:val="baseline"/>
          <w:rtl w:val="0"/>
        </w:rPr>
        <w:t xml:space="preserve">¿Para qué sirve?</w:t>
      </w:r>
    </w:p>
    <w:p w:rsidR="00000000" w:rsidDel="00000000" w:rsidP="00000000" w:rsidRDefault="00000000" w:rsidRPr="00000000" w14:paraId="00000013">
      <w:pPr>
        <w:pStyle w:val="Heading2"/>
        <w:rPr/>
      </w:pPr>
      <w:r w:rsidDel="00000000" w:rsidR="00000000" w:rsidRPr="00000000">
        <w:rPr>
          <w:rtl w:val="0"/>
        </w:rPr>
        <w:t xml:space="preserve">De políticas a prácticas consistentes</w:t>
      </w:r>
    </w:p>
    <w:p w:rsidR="00000000" w:rsidDel="00000000" w:rsidP="00000000" w:rsidRDefault="00000000" w:rsidRPr="00000000" w14:paraId="00000014">
      <w:pPr>
        <w:pStyle w:val="Heading3"/>
        <w:rPr/>
      </w:pPr>
      <w:r w:rsidDel="00000000" w:rsidR="00000000" w:rsidRPr="00000000">
        <w:rPr>
          <w:rtl w:val="0"/>
        </w:rPr>
        <w:t xml:space="preserve">Para saber qué tan integrada está la responsabilidad social</w:t>
      </w:r>
    </w:p>
    <w:p w:rsidR="00000000" w:rsidDel="00000000" w:rsidP="00000000" w:rsidRDefault="00000000" w:rsidRPr="00000000" w14:paraId="00000015">
      <w:pPr>
        <w:rPr/>
      </w:pPr>
      <w:r w:rsidDel="00000000" w:rsidR="00000000" w:rsidRPr="00000000">
        <w:rPr>
          <w:rtl w:val="0"/>
        </w:rPr>
        <w:t xml:space="preserve">Una empresa puede contar con políticas, procesos e iniciativas y, aun así, gestionar cada tema de forma aislada. Una política puede existir, pero no ser conocida por quienes deben aplicarla. Una práctica puede funcionar en un área, pero no estar documentada, medida o compartida con el resto de la organización.</w:t>
      </w:r>
    </w:p>
    <w:p w:rsidR="00000000" w:rsidDel="00000000" w:rsidP="00000000" w:rsidRDefault="00000000" w:rsidRPr="00000000" w14:paraId="00000016">
      <w:pPr>
        <w:rPr/>
      </w:pPr>
      <w:r w:rsidDel="00000000" w:rsidR="00000000" w:rsidRPr="00000000">
        <w:rPr>
          <w:rtl w:val="0"/>
        </w:rPr>
        <w:t xml:space="preserve">El diagnóstico ISO 26000 permite entender dónde la gestión pierde consistencia y qué necesita cada área para avanzar. Con esa lectura, Dirección y el equipo de sostenibilidad pueden alinear responsabilidades, cerrar vacíos entre lo definido, lo aplicado y lo comunicado, reducir riesgos, potenciar fortalezas y tomar decisiones con mayor solidez.</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ptos" w:cs="Aptos" w:eastAsia="Aptos" w:hAnsi="Aptos"/>
          <w:b w:val="1"/>
          <w:bCs w:val="1"/>
          <w:i w:val="0"/>
          <w:iCs w:val="0"/>
          <w:smallCaps w:val="0"/>
          <w:strike w:val="0"/>
          <w:color w:val="d7196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ptos" w:cs="Aptos" w:eastAsia="Aptos" w:hAnsi="Aptos"/>
          <w:b w:val="1"/>
          <w:bCs w:val="1"/>
          <w:i w:val="0"/>
          <w:iCs w:val="0"/>
          <w:smallCaps w:val="0"/>
          <w:strike w:val="0"/>
          <w:color w:val="d7196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71967"/>
          <w:sz w:val="18"/>
          <w:szCs w:val="18"/>
          <w:u w:val="none"/>
          <w:shd w:fill="auto" w:val="clear"/>
          <w:vertAlign w:val="baseline"/>
          <w:rtl w:val="0"/>
        </w:rPr>
        <w:t xml:space="preserve">Beneficios del servicio</w:t>
      </w:r>
    </w:p>
    <w:p w:rsidR="00000000" w:rsidDel="00000000" w:rsidP="00000000" w:rsidRDefault="00000000" w:rsidRPr="00000000" w14:paraId="00000019">
      <w:pPr>
        <w:pStyle w:val="Heading2"/>
        <w:rPr/>
      </w:pPr>
      <w:r w:rsidDel="00000000" w:rsidR="00000000" w:rsidRPr="00000000">
        <w:rPr>
          <w:rtl w:val="0"/>
        </w:rPr>
        <w:t xml:space="preserve">Lo que funciona. Lo que falta. Lo que sigue.</w:t>
      </w:r>
    </w:p>
    <w:p w:rsidR="00000000" w:rsidDel="00000000" w:rsidP="00000000" w:rsidRDefault="00000000" w:rsidRPr="00000000" w14:paraId="0000001A">
      <w:pPr>
        <w:pStyle w:val="Heading3"/>
        <w:rPr/>
      </w:pPr>
      <w:r w:rsidDel="00000000" w:rsidR="00000000" w:rsidRPr="00000000">
        <w:rPr>
          <w:rtl w:val="0"/>
        </w:rPr>
        <w:t xml:space="preserve">Una lectura integral para fortalecer la gestión</w:t>
      </w:r>
    </w:p>
    <w:p w:rsidR="00000000" w:rsidDel="00000000" w:rsidP="00000000" w:rsidRDefault="00000000" w:rsidRPr="00000000" w14:paraId="0000001B">
      <w:pPr>
        <w:rPr/>
      </w:pPr>
      <w:r w:rsidDel="00000000" w:rsidR="00000000" w:rsidRPr="00000000">
        <w:rPr>
          <w:rtl w:val="0"/>
        </w:rPr>
        <w:t xml:space="preserve">La empresa obtiene mucho más que una calificación. Comprende por qué se encuentra en determinado nivel de madurez y distingue qué prácticas están formalizadas, cuáles se aplican de forma consistente y cuáles todavía no son conocidas por las personas que deben implementarlas.</w:t>
      </w:r>
    </w:p>
    <w:p w:rsidR="00000000" w:rsidDel="00000000" w:rsidP="00000000" w:rsidRDefault="00000000" w:rsidRPr="00000000" w14:paraId="0000001C">
      <w:pPr>
        <w:rPr/>
      </w:pPr>
      <w:r w:rsidDel="00000000" w:rsidR="00000000" w:rsidRPr="00000000">
        <w:rPr>
          <w:rtl w:val="0"/>
        </w:rPr>
        <w:t xml:space="preserve">No aplicamos ISO 26000 como un cuestionario genérico. Adaptamos la evaluación al negocio, validamos la información con las áreas y analizamos tanto la gestión como su nivel de conocimiento y comunicación. Los hallazgos muestran qué buenas prácticas conviene potenciar, dónde existen riesgos o vacíos y qué acciones pueden fortalecer la coordinación interna y la toma de decisiones.</w:t>
        <w:br w:type="textWrapping"/>
        <w:br w:type="textWrapping"/>
        <w:t xml:space="preserve">ResponSable, a través de nuestra Dirección General, participó en las negociaciones internacionales de ISO 26000. Esta experiencia aporta conocimiento directo sobre la lógica de la guía y permite aplicarla con rigor, sin reducirla a una lista de requisitos.</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ptos" w:cs="Aptos" w:eastAsia="Aptos" w:hAnsi="Aptos"/>
          <w:b w:val="1"/>
          <w:bCs w:val="1"/>
          <w:i w:val="0"/>
          <w:iCs w:val="0"/>
          <w:smallCaps w:val="0"/>
          <w:strike w:val="0"/>
          <w:color w:val="d7196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71967"/>
          <w:sz w:val="18"/>
          <w:szCs w:val="18"/>
          <w:u w:val="none"/>
          <w:shd w:fill="auto" w:val="clear"/>
          <w:vertAlign w:val="baseline"/>
          <w:rtl w:val="0"/>
        </w:rPr>
        <w:t xml:space="preserve">Proceso</w:t>
      </w:r>
    </w:p>
    <w:p w:rsidR="00000000" w:rsidDel="00000000" w:rsidP="00000000" w:rsidRDefault="00000000" w:rsidRPr="00000000" w14:paraId="0000001E">
      <w:pPr>
        <w:pStyle w:val="Heading2"/>
        <w:rPr/>
      </w:pPr>
      <w:r w:rsidDel="00000000" w:rsidR="00000000" w:rsidRPr="00000000">
        <w:rPr>
          <w:rtl w:val="0"/>
        </w:rPr>
        <w:t xml:space="preserve">De la guía a las prioridades</w:t>
      </w:r>
    </w:p>
    <w:p w:rsidR="00000000" w:rsidDel="00000000" w:rsidP="00000000" w:rsidRDefault="00000000" w:rsidRPr="00000000" w14:paraId="0000001F">
      <w:pPr>
        <w:rPr/>
      </w:pPr>
      <w:r w:rsidDel="00000000" w:rsidR="00000000" w:rsidRPr="00000000">
        <w:rPr>
          <w:rtl w:val="0"/>
        </w:rPr>
        <w:t xml:space="preserve">Adaptamos ISO 26000 al negocio y evaluamos qué se define, documenta, aplica, conoce, mide y comunica para convertir los hallazgos en prioridades claras de mejora.</w:t>
      </w:r>
    </w:p>
    <w:tbl>
      <w:tblPr>
        <w:tblStyle w:val="Table1"/>
        <w:tblW w:w="9864.0" w:type="dxa"/>
        <w:jc w:val="center"/>
        <w:tblLayout w:type="fixed"/>
        <w:tblLook w:val="0400"/>
      </w:tblPr>
      <w:tblGrid>
        <w:gridCol w:w="2520"/>
        <w:gridCol w:w="2520"/>
        <w:gridCol w:w="4824"/>
        <w:tblGridChange w:id="0">
          <w:tblGrid>
            <w:gridCol w:w="2520"/>
            <w:gridCol w:w="2520"/>
            <w:gridCol w:w="4824"/>
          </w:tblGrid>
        </w:tblGridChange>
      </w:tblGrid>
      <w:tr>
        <w:trPr>
          <w:cantSplit w:val="0"/>
          <w:tblHeader w:val="1"/>
        </w:trPr>
        <w:tc>
          <w:tcPr>
            <w:shd w:fill="24355b" w:val="clear"/>
            <w:tcMar>
              <w:top w:w="80.0" w:type="dxa"/>
              <w:left w:w="80.0" w:type="dxa"/>
              <w:bottom w:w="80.0" w:type="dxa"/>
              <w:right w:w="80.0" w:type="dxa"/>
            </w:tcMar>
            <w:vAlign w:val="center"/>
          </w:tcPr>
          <w:p w:rsidR="00000000" w:rsidDel="00000000" w:rsidP="00000000" w:rsidRDefault="00000000" w:rsidRPr="00000000" w14:paraId="00000020">
            <w:pPr>
              <w:spacing w:after="0" w:lineRule="auto"/>
              <w:jc w:val="center"/>
              <w:rPr/>
            </w:pPr>
            <w:r w:rsidDel="00000000" w:rsidR="00000000" w:rsidRPr="00000000">
              <w:rPr>
                <w:b w:val="1"/>
                <w:bCs w:val="1"/>
                <w:rtl w:val="0"/>
              </w:rPr>
              <w:t xml:space="preserve">Paso</w:t>
            </w:r>
            <w:r w:rsidDel="00000000" w:rsidR="00000000" w:rsidRPr="00000000">
              <w:rPr>
                <w:rtl w:val="0"/>
              </w:rPr>
            </w:r>
          </w:p>
        </w:tc>
        <w:tc>
          <w:tcPr>
            <w:shd w:fill="24355b" w:val="clear"/>
            <w:tcMar>
              <w:top w:w="80.0" w:type="dxa"/>
              <w:left w:w="80.0" w:type="dxa"/>
              <w:bottom w:w="80.0" w:type="dxa"/>
              <w:right w:w="80.0" w:type="dxa"/>
            </w:tcMar>
            <w:vAlign w:val="center"/>
          </w:tcPr>
          <w:p w:rsidR="00000000" w:rsidDel="00000000" w:rsidP="00000000" w:rsidRDefault="00000000" w:rsidRPr="00000000" w14:paraId="00000021">
            <w:pPr>
              <w:spacing w:after="0" w:lineRule="auto"/>
              <w:jc w:val="center"/>
              <w:rPr/>
            </w:pPr>
            <w:r w:rsidDel="00000000" w:rsidR="00000000" w:rsidRPr="00000000">
              <w:rPr>
                <w:b w:val="1"/>
                <w:bCs w:val="1"/>
                <w:rtl w:val="0"/>
              </w:rPr>
              <w:t xml:space="preserve">Título del paso</w:t>
            </w:r>
            <w:r w:rsidDel="00000000" w:rsidR="00000000" w:rsidRPr="00000000">
              <w:rPr>
                <w:rtl w:val="0"/>
              </w:rPr>
            </w:r>
          </w:p>
        </w:tc>
        <w:tc>
          <w:tcPr>
            <w:shd w:fill="24355b" w:val="clear"/>
            <w:tcMar>
              <w:top w:w="80.0" w:type="dxa"/>
              <w:left w:w="80.0" w:type="dxa"/>
              <w:bottom w:w="80.0" w:type="dxa"/>
              <w:right w:w="80.0" w:type="dxa"/>
            </w:tcMar>
            <w:vAlign w:val="center"/>
          </w:tcPr>
          <w:p w:rsidR="00000000" w:rsidDel="00000000" w:rsidP="00000000" w:rsidRDefault="00000000" w:rsidRPr="00000000" w14:paraId="00000022">
            <w:pPr>
              <w:spacing w:after="0" w:lineRule="auto"/>
              <w:jc w:val="center"/>
              <w:rPr/>
            </w:pPr>
            <w:r w:rsidDel="00000000" w:rsidR="00000000" w:rsidRPr="00000000">
              <w:rPr>
                <w:b w:val="1"/>
                <w:bCs w:val="1"/>
                <w:rtl w:val="0"/>
              </w:rPr>
              <w:t xml:space="preserve">Descriptivo</w:t>
            </w:r>
            <w:r w:rsidDel="00000000" w:rsidR="00000000" w:rsidRPr="00000000">
              <w:rPr>
                <w:rtl w:val="0"/>
              </w:rPr>
            </w:r>
          </w:p>
        </w:tc>
      </w:tr>
      <w:tr>
        <w:trPr>
          <w:cantSplit w:val="1"/>
          <w:tblHeader w:val="0"/>
        </w:trPr>
        <w:tc>
          <w:tcPr>
            <w:shd w:fill="f3f6f8" w:val="clear"/>
            <w:tcMar>
              <w:top w:w="80.0" w:type="dxa"/>
              <w:left w:w="80.0" w:type="dxa"/>
              <w:bottom w:w="80.0" w:type="dxa"/>
              <w:right w:w="80.0" w:type="dxa"/>
            </w:tcMar>
            <w:vAlign w:val="center"/>
          </w:tcPr>
          <w:p w:rsidR="00000000" w:rsidDel="00000000" w:rsidP="00000000" w:rsidRDefault="00000000" w:rsidRPr="00000000" w14:paraId="00000023">
            <w:pPr>
              <w:spacing w:after="0" w:lineRule="auto"/>
              <w:rPr/>
            </w:pPr>
            <w:r w:rsidDel="00000000" w:rsidR="00000000" w:rsidRPr="00000000">
              <w:rPr>
                <w:rtl w:val="0"/>
              </w:rPr>
              <w:t xml:space="preserve">Paso 1</w:t>
            </w:r>
          </w:p>
        </w:tc>
        <w:tc>
          <w:tcPr>
            <w:shd w:fill="f3f6f8" w:val="clear"/>
            <w:tcMar>
              <w:top w:w="80.0" w:type="dxa"/>
              <w:left w:w="80.0" w:type="dxa"/>
              <w:bottom w:w="80.0" w:type="dxa"/>
              <w:right w:w="80.0" w:type="dxa"/>
            </w:tcMar>
            <w:vAlign w:val="center"/>
          </w:tcPr>
          <w:p w:rsidR="00000000" w:rsidDel="00000000" w:rsidP="00000000" w:rsidRDefault="00000000" w:rsidRPr="00000000" w14:paraId="00000024">
            <w:pPr>
              <w:spacing w:after="0" w:lineRule="auto"/>
              <w:rPr/>
            </w:pPr>
            <w:r w:rsidDel="00000000" w:rsidR="00000000" w:rsidRPr="00000000">
              <w:rPr>
                <w:rtl w:val="0"/>
              </w:rPr>
              <w:t xml:space="preserve">Adaptar alcance</w:t>
            </w:r>
          </w:p>
        </w:tc>
        <w:tc>
          <w:tcPr>
            <w:shd w:fill="f3f6f8" w:val="clear"/>
            <w:tcMar>
              <w:top w:w="80.0" w:type="dxa"/>
              <w:left w:w="80.0" w:type="dxa"/>
              <w:bottom w:w="80.0" w:type="dxa"/>
              <w:right w:w="8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Ajustamos la herramienta al sector, la operación, las unidades participantes y los objetivos del diagnóstico, conservando la visión integral de ISO 26000.</w:t>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26">
            <w:pPr>
              <w:spacing w:after="0" w:lineRule="auto"/>
              <w:rPr/>
            </w:pPr>
            <w:r w:rsidDel="00000000" w:rsidR="00000000" w:rsidRPr="00000000">
              <w:rPr>
                <w:rtl w:val="0"/>
              </w:rPr>
              <w:t xml:space="preserve">Paso 2</w:t>
            </w:r>
          </w:p>
        </w:tc>
        <w:tc>
          <w:tcPr>
            <w:tcMar>
              <w:top w:w="80.0" w:type="dxa"/>
              <w:left w:w="80.0" w:type="dxa"/>
              <w:bottom w:w="80.0" w:type="dxa"/>
              <w:right w:w="8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Analizar evidencia</w:t>
            </w:r>
          </w:p>
        </w:tc>
        <w:tc>
          <w:tcPr>
            <w:tcMar>
              <w:top w:w="80.0" w:type="dxa"/>
              <w:left w:w="80.0" w:type="dxa"/>
              <w:bottom w:w="80.0" w:type="dxa"/>
              <w:right w:w="80.0" w:type="dxa"/>
            </w:tcMar>
            <w:vAlign w:val="center"/>
          </w:tcPr>
          <w:p w:rsidR="00000000" w:rsidDel="00000000" w:rsidP="00000000" w:rsidRDefault="00000000" w:rsidRPr="00000000" w14:paraId="00000028">
            <w:pPr>
              <w:spacing w:after="0" w:lineRule="auto"/>
              <w:rPr/>
            </w:pPr>
            <w:r w:rsidDel="00000000" w:rsidR="00000000" w:rsidRPr="00000000">
              <w:rPr>
                <w:rtl w:val="0"/>
              </w:rPr>
              <w:t xml:space="preserve">Revisamos políticas, procesos, iniciativas, indicadores, responsables y materiales de comunicación para conocer qué existe y cómo se gestiona.</w:t>
            </w:r>
          </w:p>
        </w:tc>
      </w:tr>
      <w:tr>
        <w:trPr>
          <w:cantSplit w:val="1"/>
          <w:tblHeader w:val="0"/>
        </w:trPr>
        <w:tc>
          <w:tcPr>
            <w:shd w:fill="f3f6f8" w:val="clear"/>
            <w:tcMar>
              <w:top w:w="80.0" w:type="dxa"/>
              <w:left w:w="80.0" w:type="dxa"/>
              <w:bottom w:w="80.0" w:type="dxa"/>
              <w:right w:w="80.0" w:type="dxa"/>
            </w:tcMar>
            <w:vAlign w:val="center"/>
          </w:tcPr>
          <w:p w:rsidR="00000000" w:rsidDel="00000000" w:rsidP="00000000" w:rsidRDefault="00000000" w:rsidRPr="00000000" w14:paraId="00000029">
            <w:pPr>
              <w:spacing w:after="0" w:lineRule="auto"/>
              <w:rPr/>
            </w:pPr>
            <w:r w:rsidDel="00000000" w:rsidR="00000000" w:rsidRPr="00000000">
              <w:rPr>
                <w:rtl w:val="0"/>
              </w:rPr>
              <w:t xml:space="preserve">Paso 3</w:t>
            </w:r>
          </w:p>
        </w:tc>
        <w:tc>
          <w:tcPr>
            <w:shd w:fill="f3f6f8" w:val="clear"/>
            <w:tcMar>
              <w:top w:w="80.0" w:type="dxa"/>
              <w:left w:w="80.0" w:type="dxa"/>
              <w:bottom w:w="80.0" w:type="dxa"/>
              <w:right w:w="80.0" w:type="dxa"/>
            </w:tcMar>
            <w:vAlign w:val="center"/>
          </w:tcPr>
          <w:p w:rsidR="00000000" w:rsidDel="00000000" w:rsidP="00000000" w:rsidRDefault="00000000" w:rsidRPr="00000000" w14:paraId="0000002A">
            <w:pPr>
              <w:spacing w:after="0" w:lineRule="auto"/>
              <w:rPr/>
            </w:pPr>
            <w:r w:rsidDel="00000000" w:rsidR="00000000" w:rsidRPr="00000000">
              <w:rPr>
                <w:rtl w:val="0"/>
              </w:rPr>
              <w:t xml:space="preserve">Evaluar gestión</w:t>
            </w:r>
          </w:p>
        </w:tc>
        <w:tc>
          <w:tcPr>
            <w:shd w:fill="f3f6f8" w:val="clear"/>
            <w:tcMar>
              <w:top w:w="80.0" w:type="dxa"/>
              <w:left w:w="80.0" w:type="dxa"/>
              <w:bottom w:w="80.0" w:type="dxa"/>
              <w:right w:w="80.0" w:type="dxa"/>
            </w:tcMar>
            <w:vAlign w:val="center"/>
          </w:tcPr>
          <w:p w:rsidR="00000000" w:rsidDel="00000000" w:rsidP="00000000" w:rsidRDefault="00000000" w:rsidRPr="00000000" w14:paraId="0000002B">
            <w:pPr>
              <w:spacing w:after="0" w:lineRule="auto"/>
              <w:rPr/>
            </w:pPr>
            <w:r w:rsidDel="00000000" w:rsidR="00000000" w:rsidRPr="00000000">
              <w:rPr>
                <w:rtl w:val="0"/>
              </w:rPr>
              <w:t xml:space="preserve">Realizamos sesiones e entrevistas para validar qué se aplica, quién lo conoce, cómo se mide y qué tan consistente es su implementación entre áreas.</w:t>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Paso 4</w:t>
            </w:r>
          </w:p>
        </w:tc>
        <w:tc>
          <w:tcPr>
            <w:tcMar>
              <w:top w:w="80.0" w:type="dxa"/>
              <w:left w:w="80.0" w:type="dxa"/>
              <w:bottom w:w="80.0" w:type="dxa"/>
              <w:right w:w="80.0" w:type="dxa"/>
            </w:tcMar>
            <w:vAlign w:val="center"/>
          </w:tcPr>
          <w:p w:rsidR="00000000" w:rsidDel="00000000" w:rsidP="00000000" w:rsidRDefault="00000000" w:rsidRPr="00000000" w14:paraId="0000002D">
            <w:pPr>
              <w:spacing w:after="0" w:lineRule="auto"/>
              <w:rPr/>
            </w:pPr>
            <w:r w:rsidDel="00000000" w:rsidR="00000000" w:rsidRPr="00000000">
              <w:rPr>
                <w:rtl w:val="0"/>
              </w:rPr>
              <w:t xml:space="preserve">Comparar sector</w:t>
            </w:r>
          </w:p>
        </w:tc>
        <w:tc>
          <w:tcPr>
            <w:tcMar>
              <w:top w:w="80.0" w:type="dxa"/>
              <w:left w:w="80.0" w:type="dxa"/>
              <w:bottom w:w="80.0" w:type="dxa"/>
              <w:right w:w="80.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Analizamos empresas del sector y otros marcos pertinentes para identificar tendencias, buenas prácticas y oportunidades de mejora.</w:t>
            </w:r>
          </w:p>
        </w:tc>
      </w:tr>
      <w:tr>
        <w:trPr>
          <w:cantSplit w:val="1"/>
          <w:tblHeader w:val="0"/>
        </w:trPr>
        <w:tc>
          <w:tcPr>
            <w:shd w:fill="f3f6f8" w:val="clear"/>
            <w:tcMar>
              <w:top w:w="80.0" w:type="dxa"/>
              <w:left w:w="80.0" w:type="dxa"/>
              <w:bottom w:w="80.0" w:type="dxa"/>
              <w:right w:w="8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Paso 5</w:t>
            </w:r>
          </w:p>
        </w:tc>
        <w:tc>
          <w:tcPr>
            <w:shd w:fill="f3f6f8" w:val="clear"/>
            <w:tcMar>
              <w:top w:w="80.0" w:type="dxa"/>
              <w:left w:w="80.0" w:type="dxa"/>
              <w:bottom w:w="80.0" w:type="dxa"/>
              <w:right w:w="80.0" w:type="dxa"/>
            </w:tcMar>
            <w:vAlign w:val="center"/>
          </w:tcPr>
          <w:p w:rsidR="00000000" w:rsidDel="00000000" w:rsidP="00000000" w:rsidRDefault="00000000" w:rsidRPr="00000000" w14:paraId="00000030">
            <w:pPr>
              <w:spacing w:after="0" w:lineRule="auto"/>
              <w:rPr/>
            </w:pPr>
            <w:r w:rsidDel="00000000" w:rsidR="00000000" w:rsidRPr="00000000">
              <w:rPr>
                <w:rtl w:val="0"/>
              </w:rPr>
              <w:t xml:space="preserve">Definir mejoras</w:t>
            </w:r>
          </w:p>
        </w:tc>
        <w:tc>
          <w:tcPr>
            <w:shd w:fill="f3f6f8" w:val="clear"/>
            <w:tcMar>
              <w:top w:w="80.0" w:type="dxa"/>
              <w:left w:w="80.0" w:type="dxa"/>
              <w:bottom w:w="80.0" w:type="dxa"/>
              <w:right w:w="8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Integramos evidencia, entrevistas y benchmark para establecer el nivel de madurez, las fortalezas, las brechas y las recomendaciones por materia, área o unidad.</w:t>
            </w:r>
          </w:p>
        </w:tc>
      </w:tr>
    </w:tbl>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ptos" w:cs="Aptos" w:eastAsia="Aptos" w:hAnsi="Aptos"/>
          <w:b w:val="1"/>
          <w:bCs w:val="1"/>
          <w:i w:val="0"/>
          <w:iCs w:val="0"/>
          <w:smallCaps w:val="0"/>
          <w:strike w:val="0"/>
          <w:color w:val="d7196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71967"/>
          <w:sz w:val="18"/>
          <w:szCs w:val="18"/>
          <w:u w:val="none"/>
          <w:shd w:fill="auto" w:val="clear"/>
          <w:vertAlign w:val="baseline"/>
          <w:rtl w:val="0"/>
        </w:rPr>
        <w:t xml:space="preserve">Preguntas frecuentes</w:t>
      </w:r>
    </w:p>
    <w:p w:rsidR="00000000" w:rsidDel="00000000" w:rsidP="00000000" w:rsidRDefault="00000000" w:rsidRPr="00000000" w14:paraId="00000033">
      <w:pPr>
        <w:pStyle w:val="Heading2"/>
        <w:rPr/>
      </w:pPr>
      <w:r w:rsidDel="00000000" w:rsidR="00000000" w:rsidRPr="00000000">
        <w:rPr>
          <w:rtl w:val="0"/>
        </w:rPr>
        <w:t xml:space="preserve">Preguntas frecuentes</w:t>
      </w:r>
    </w:p>
    <w:tbl>
      <w:tblPr>
        <w:tblStyle w:val="Table2"/>
        <w:tblW w:w="10076.0" w:type="dxa"/>
        <w:jc w:val="center"/>
        <w:tblLayout w:type="fixed"/>
        <w:tblLook w:val="0400"/>
      </w:tblPr>
      <w:tblGrid>
        <w:gridCol w:w="812"/>
        <w:gridCol w:w="3360"/>
        <w:gridCol w:w="5904"/>
        <w:tblGridChange w:id="0">
          <w:tblGrid>
            <w:gridCol w:w="812"/>
            <w:gridCol w:w="3360"/>
            <w:gridCol w:w="5904"/>
          </w:tblGrid>
        </w:tblGridChange>
      </w:tblGrid>
      <w:tr>
        <w:trPr>
          <w:cantSplit w:val="0"/>
          <w:tblHeader w:val="1"/>
        </w:trPr>
        <w:tc>
          <w:tcPr>
            <w:shd w:fill="16a6a1" w:val="clear"/>
            <w:tcMar>
              <w:top w:w="80.0" w:type="dxa"/>
              <w:left w:w="80.0" w:type="dxa"/>
              <w:bottom w:w="80.0" w:type="dxa"/>
              <w:right w:w="80.0" w:type="dxa"/>
            </w:tcMar>
            <w:vAlign w:val="center"/>
          </w:tcPr>
          <w:p w:rsidR="00000000" w:rsidDel="00000000" w:rsidP="00000000" w:rsidRDefault="00000000" w:rsidRPr="00000000" w14:paraId="00000034">
            <w:pPr>
              <w:spacing w:after="0" w:lineRule="auto"/>
              <w:jc w:val="center"/>
              <w:rPr/>
            </w:pPr>
            <w:r w:rsidDel="00000000" w:rsidR="00000000" w:rsidRPr="00000000">
              <w:rPr>
                <w:b w:val="1"/>
                <w:bCs w:val="1"/>
                <w:rtl w:val="0"/>
              </w:rPr>
              <w:t xml:space="preserve">#</w:t>
            </w:r>
            <w:r w:rsidDel="00000000" w:rsidR="00000000" w:rsidRPr="00000000">
              <w:rPr>
                <w:rtl w:val="0"/>
              </w:rPr>
            </w:r>
          </w:p>
        </w:tc>
        <w:tc>
          <w:tcPr>
            <w:shd w:fill="16a6a1" w:val="clear"/>
            <w:tcMar>
              <w:top w:w="80.0" w:type="dxa"/>
              <w:left w:w="80.0" w:type="dxa"/>
              <w:bottom w:w="80.0" w:type="dxa"/>
              <w:right w:w="80.0" w:type="dxa"/>
            </w:tcMar>
            <w:vAlign w:val="center"/>
          </w:tcPr>
          <w:p w:rsidR="00000000" w:rsidDel="00000000" w:rsidP="00000000" w:rsidRDefault="00000000" w:rsidRPr="00000000" w14:paraId="00000035">
            <w:pPr>
              <w:spacing w:after="0" w:lineRule="auto"/>
              <w:jc w:val="center"/>
              <w:rPr/>
            </w:pPr>
            <w:r w:rsidDel="00000000" w:rsidR="00000000" w:rsidRPr="00000000">
              <w:rPr>
                <w:b w:val="1"/>
                <w:bCs w:val="1"/>
                <w:rtl w:val="0"/>
              </w:rPr>
              <w:t xml:space="preserve">Pregunta</w:t>
            </w:r>
            <w:r w:rsidDel="00000000" w:rsidR="00000000" w:rsidRPr="00000000">
              <w:rPr>
                <w:rtl w:val="0"/>
              </w:rPr>
            </w:r>
          </w:p>
        </w:tc>
        <w:tc>
          <w:tcPr>
            <w:shd w:fill="16a6a1" w:val="clear"/>
            <w:tcMar>
              <w:top w:w="80.0" w:type="dxa"/>
              <w:left w:w="80.0" w:type="dxa"/>
              <w:bottom w:w="80.0" w:type="dxa"/>
              <w:right w:w="80.0" w:type="dxa"/>
            </w:tcMar>
            <w:vAlign w:val="center"/>
          </w:tcPr>
          <w:p w:rsidR="00000000" w:rsidDel="00000000" w:rsidP="00000000" w:rsidRDefault="00000000" w:rsidRPr="00000000" w14:paraId="00000036">
            <w:pPr>
              <w:spacing w:after="0" w:lineRule="auto"/>
              <w:jc w:val="center"/>
              <w:rPr/>
            </w:pPr>
            <w:r w:rsidDel="00000000" w:rsidR="00000000" w:rsidRPr="00000000">
              <w:rPr>
                <w:b w:val="1"/>
                <w:bCs w:val="1"/>
                <w:rtl w:val="0"/>
              </w:rPr>
              <w:t xml:space="preserve">Respuesta</w:t>
            </w:r>
            <w:r w:rsidDel="00000000" w:rsidR="00000000" w:rsidRPr="00000000">
              <w:rPr>
                <w:rtl w:val="0"/>
              </w:rPr>
            </w:r>
          </w:p>
        </w:tc>
      </w:tr>
      <w:tr>
        <w:trPr>
          <w:cantSplit w:val="1"/>
          <w:tblHeader w:val="0"/>
        </w:trPr>
        <w:tc>
          <w:tcPr>
            <w:shd w:fill="f3f6f8" w:val="clear"/>
            <w:tcMar>
              <w:top w:w="80.0" w:type="dxa"/>
              <w:left w:w="80.0" w:type="dxa"/>
              <w:bottom w:w="80.0" w:type="dxa"/>
              <w:right w:w="80.0" w:type="dxa"/>
            </w:tcMar>
            <w:vAlign w:val="center"/>
          </w:tcPr>
          <w:p w:rsidR="00000000" w:rsidDel="00000000" w:rsidP="00000000" w:rsidRDefault="00000000" w:rsidRPr="00000000" w14:paraId="00000037">
            <w:pPr>
              <w:spacing w:after="0" w:lineRule="auto"/>
              <w:rPr/>
            </w:pPr>
            <w:r w:rsidDel="00000000" w:rsidR="00000000" w:rsidRPr="00000000">
              <w:rPr>
                <w:rtl w:val="0"/>
              </w:rPr>
              <w:t xml:space="preserve">PF1</w:t>
            </w:r>
          </w:p>
        </w:tc>
        <w:tc>
          <w:tcPr>
            <w:shd w:fill="f3f6f8" w:val="clear"/>
            <w:tcMar>
              <w:top w:w="80.0" w:type="dxa"/>
              <w:left w:w="80.0" w:type="dxa"/>
              <w:bottom w:w="80.0" w:type="dxa"/>
              <w:right w:w="80.0" w:type="dxa"/>
            </w:tcMar>
            <w:vAlign w:val="center"/>
          </w:tcPr>
          <w:p w:rsidR="00000000" w:rsidDel="00000000" w:rsidP="00000000" w:rsidRDefault="00000000" w:rsidRPr="00000000" w14:paraId="00000038">
            <w:pPr>
              <w:spacing w:after="0" w:lineRule="auto"/>
              <w:rPr/>
            </w:pPr>
            <w:r w:rsidDel="00000000" w:rsidR="00000000" w:rsidRPr="00000000">
              <w:rPr>
                <w:rtl w:val="0"/>
              </w:rPr>
              <w:t xml:space="preserve">¿Qué es la norma ISO 26000?</w:t>
            </w:r>
          </w:p>
        </w:tc>
        <w:tc>
          <w:tcPr>
            <w:shd w:fill="f3f6f8" w:val="clear"/>
            <w:tcMar>
              <w:top w:w="80.0" w:type="dxa"/>
              <w:left w:w="80.0" w:type="dxa"/>
              <w:bottom w:w="80.0" w:type="dxa"/>
              <w:right w:w="80.0" w:type="dxa"/>
            </w:tcMar>
            <w:vAlign w:val="center"/>
          </w:tcPr>
          <w:p w:rsidR="00000000" w:rsidDel="00000000" w:rsidP="00000000" w:rsidRDefault="00000000" w:rsidRPr="00000000" w14:paraId="00000039">
            <w:pPr>
              <w:spacing w:after="0" w:lineRule="auto"/>
              <w:rPr/>
            </w:pPr>
            <w:r w:rsidDel="00000000" w:rsidR="00000000" w:rsidRPr="00000000">
              <w:rPr>
                <w:rtl w:val="0"/>
              </w:rPr>
              <w:t xml:space="preserve">Es una guía internacional que ayuda a integrar la responsabilidad social en las decisiones, los procesos y las relaciones de una organización mediante siete materias fundamentales.</w:t>
            </w:r>
          </w:p>
          <w:p w:rsidR="00000000" w:rsidDel="00000000" w:rsidP="00000000" w:rsidRDefault="00000000" w:rsidRPr="00000000" w14:paraId="0000003A">
            <w:pPr>
              <w:spacing w:after="0" w:lineRule="auto"/>
              <w:rPr/>
            </w:pPr>
            <w:r w:rsidDel="00000000" w:rsidR="00000000" w:rsidRPr="00000000">
              <w:rPr>
                <w:rtl w:val="0"/>
              </w:rPr>
              <w:t xml:space="preserve">Aplica para todo tipo de organizaciones: empresas, entidad de gobierno, gremio, universidad, organización de la sociedad civil etc.</w:t>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3B">
            <w:pPr>
              <w:spacing w:after="0" w:lineRule="auto"/>
              <w:rPr/>
            </w:pPr>
            <w:r w:rsidDel="00000000" w:rsidR="00000000" w:rsidRPr="00000000">
              <w:rPr>
                <w:rtl w:val="0"/>
              </w:rPr>
              <w:t xml:space="preserve">PF2</w:t>
            </w:r>
          </w:p>
        </w:tc>
        <w:tc>
          <w:tcPr>
            <w:tcMar>
              <w:top w:w="80.0" w:type="dxa"/>
              <w:left w:w="80.0" w:type="dxa"/>
              <w:bottom w:w="80.0" w:type="dxa"/>
              <w:right w:w="80.0" w:type="dxa"/>
            </w:tcMar>
            <w:vAlign w:val="center"/>
          </w:tcPr>
          <w:p w:rsidR="00000000" w:rsidDel="00000000" w:rsidP="00000000" w:rsidRDefault="00000000" w:rsidRPr="00000000" w14:paraId="0000003C">
            <w:pPr>
              <w:spacing w:after="0" w:lineRule="auto"/>
              <w:rPr/>
            </w:pPr>
            <w:r w:rsidDel="00000000" w:rsidR="00000000" w:rsidRPr="00000000">
              <w:rPr>
                <w:rtl w:val="0"/>
              </w:rPr>
              <w:t xml:space="preserve">¿Por qué elegir ISO 26000 para realizar el diagnóstico?</w:t>
            </w:r>
          </w:p>
        </w:tc>
        <w:tc>
          <w:tcPr>
            <w:tcMar>
              <w:top w:w="80.0" w:type="dxa"/>
              <w:left w:w="80.0" w:type="dxa"/>
              <w:bottom w:w="80.0" w:type="dxa"/>
              <w:right w:w="80.0" w:type="dxa"/>
            </w:tcMar>
            <w:vAlign w:val="center"/>
          </w:tcPr>
          <w:p w:rsidR="00000000" w:rsidDel="00000000" w:rsidP="00000000" w:rsidRDefault="00000000" w:rsidRPr="00000000" w14:paraId="0000003D">
            <w:pPr>
              <w:spacing w:after="0" w:lineRule="auto"/>
              <w:rPr/>
            </w:pPr>
            <w:r w:rsidDel="00000000" w:rsidR="00000000" w:rsidRPr="00000000">
              <w:rPr>
                <w:rtl w:val="0"/>
              </w:rPr>
              <w:t xml:space="preserve">Porque la norma ISO26000 ofrece una visión integral y reconocida internacionalmente. Permite analizar de forma conectada la gobernanza, los impactos, la operación y las relaciones con grupos de interés, sin limitar la evaluación a un distintivo o tema específico.</w:t>
            </w:r>
          </w:p>
        </w:tc>
      </w:tr>
      <w:tr>
        <w:trPr>
          <w:cantSplit w:val="1"/>
          <w:tblHeader w:val="0"/>
        </w:trPr>
        <w:tc>
          <w:tcPr>
            <w:shd w:fill="f3f6f8" w:val="clear"/>
            <w:tcMar>
              <w:top w:w="80.0" w:type="dxa"/>
              <w:left w:w="80.0" w:type="dxa"/>
              <w:bottom w:w="80.0" w:type="dxa"/>
              <w:right w:w="80.0" w:type="dxa"/>
            </w:tcMar>
            <w:vAlign w:val="center"/>
          </w:tcPr>
          <w:p w:rsidR="00000000" w:rsidDel="00000000" w:rsidP="00000000" w:rsidRDefault="00000000" w:rsidRPr="00000000" w14:paraId="0000003E">
            <w:pPr>
              <w:spacing w:after="0" w:lineRule="auto"/>
              <w:rPr/>
            </w:pPr>
            <w:r w:rsidDel="00000000" w:rsidR="00000000" w:rsidRPr="00000000">
              <w:rPr>
                <w:rtl w:val="0"/>
              </w:rPr>
              <w:t xml:space="preserve">PF3</w:t>
            </w:r>
          </w:p>
        </w:tc>
        <w:tc>
          <w:tcPr>
            <w:shd w:fill="f3f6f8" w:val="clear"/>
            <w:tcMar>
              <w:top w:w="80.0" w:type="dxa"/>
              <w:left w:w="80.0" w:type="dxa"/>
              <w:bottom w:w="80.0" w:type="dxa"/>
              <w:right w:w="80.0" w:type="dxa"/>
            </w:tcMar>
            <w:vAlign w:val="center"/>
          </w:tcPr>
          <w:p w:rsidR="00000000" w:rsidDel="00000000" w:rsidP="00000000" w:rsidRDefault="00000000" w:rsidRPr="00000000" w14:paraId="0000003F">
            <w:pPr>
              <w:spacing w:after="0" w:lineRule="auto"/>
              <w:rPr/>
            </w:pPr>
            <w:r w:rsidDel="00000000" w:rsidR="00000000" w:rsidRPr="00000000">
              <w:rPr>
                <w:rtl w:val="0"/>
              </w:rPr>
              <w:t xml:space="preserve">¿ISO 26000 sigue vigente y puede certificarse?</w:t>
            </w:r>
          </w:p>
        </w:tc>
        <w:tc>
          <w:tcPr>
            <w:shd w:fill="f3f6f8" w:val="clear"/>
            <w:tcMar>
              <w:top w:w="80.0" w:type="dxa"/>
              <w:left w:w="80.0" w:type="dxa"/>
              <w:bottom w:w="80.0" w:type="dxa"/>
              <w:right w:w="80.0" w:type="dxa"/>
            </w:tcMar>
            <w:vAlign w:val="center"/>
          </w:tcPr>
          <w:p w:rsidR="00000000" w:rsidDel="00000000" w:rsidP="00000000" w:rsidRDefault="00000000" w:rsidRPr="00000000" w14:paraId="00000040">
            <w:pPr>
              <w:spacing w:after="0" w:lineRule="auto"/>
              <w:rPr/>
            </w:pPr>
            <w:r w:rsidDel="00000000" w:rsidR="00000000" w:rsidRPr="00000000">
              <w:rPr>
                <w:rtl w:val="0"/>
              </w:rPr>
              <w:t xml:space="preserve">ISO 26000:2010 continúa vigente. No es certificable porque es una guía: contiene orientación y recomendaciones, no requisitos de un sistema de gestión.</w:t>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PF4</w:t>
            </w:r>
          </w:p>
        </w:tc>
        <w:tc>
          <w:tcPr>
            <w:tcMar>
              <w:top w:w="80.0" w:type="dxa"/>
              <w:left w:w="80.0" w:type="dxa"/>
              <w:bottom w:w="80.0" w:type="dxa"/>
              <w:right w:w="8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¿Cuáles son las siete materias fundamentales de la norma ISO26000?</w:t>
            </w:r>
          </w:p>
        </w:tc>
        <w:tc>
          <w:tcPr>
            <w:tcMar>
              <w:top w:w="80.0" w:type="dxa"/>
              <w:left w:w="80.0" w:type="dxa"/>
              <w:bottom w:w="80.0" w:type="dxa"/>
              <w:right w:w="80.0" w:type="dxa"/>
            </w:tcMar>
            <w:vAlign w:val="center"/>
          </w:tcPr>
          <w:p w:rsidR="00000000" w:rsidDel="00000000" w:rsidP="00000000" w:rsidRDefault="00000000" w:rsidRPr="00000000" w14:paraId="00000043">
            <w:pPr>
              <w:spacing w:after="0" w:lineRule="auto"/>
              <w:rPr/>
            </w:pPr>
            <w:r w:rsidDel="00000000" w:rsidR="00000000" w:rsidRPr="00000000">
              <w:rPr>
                <w:rtl w:val="0"/>
              </w:rPr>
              <w:t xml:space="preserve">Gobernanza organizacional, derechos humanos, prácticas laborales, medio ambiente, prácticas justas de operación, asuntos de consumidores, y participación activa y desarrollo de la comunidad.</w:t>
            </w:r>
          </w:p>
        </w:tc>
      </w:tr>
      <w:tr>
        <w:trPr>
          <w:cantSplit w:val="1"/>
          <w:tblHeader w:val="0"/>
        </w:trPr>
        <w:tc>
          <w:tcPr>
            <w:shd w:fill="f3f6f8" w:val="clear"/>
            <w:tcMar>
              <w:top w:w="80.0" w:type="dxa"/>
              <w:left w:w="80.0" w:type="dxa"/>
              <w:bottom w:w="80.0" w:type="dxa"/>
              <w:right w:w="80.0" w:type="dxa"/>
            </w:tcMar>
            <w:vAlign w:val="center"/>
          </w:tcPr>
          <w:p w:rsidR="00000000" w:rsidDel="00000000" w:rsidP="00000000" w:rsidRDefault="00000000" w:rsidRPr="00000000" w14:paraId="00000044">
            <w:pPr>
              <w:spacing w:after="0" w:lineRule="auto"/>
              <w:rPr/>
            </w:pPr>
            <w:r w:rsidDel="00000000" w:rsidR="00000000" w:rsidRPr="00000000">
              <w:rPr>
                <w:rtl w:val="0"/>
              </w:rPr>
              <w:t xml:space="preserve">PF5</w:t>
            </w:r>
          </w:p>
        </w:tc>
        <w:tc>
          <w:tcPr>
            <w:shd w:fill="f3f6f8" w:val="clear"/>
            <w:tcMar>
              <w:top w:w="80.0" w:type="dxa"/>
              <w:left w:w="80.0" w:type="dxa"/>
              <w:bottom w:w="80.0" w:type="dxa"/>
              <w:right w:w="8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¿Qué significa evaluar la comunicación en un contexto de diagnóstico ISO26000?</w:t>
            </w:r>
          </w:p>
        </w:tc>
        <w:tc>
          <w:tcPr>
            <w:shd w:fill="f3f6f8" w:val="clear"/>
            <w:tcMar>
              <w:top w:w="80.0" w:type="dxa"/>
              <w:left w:w="80.0" w:type="dxa"/>
              <w:bottom w:w="80.0" w:type="dxa"/>
              <w:right w:w="80.0" w:type="dxa"/>
            </w:tcMar>
            <w:vAlign w:val="center"/>
          </w:tcPr>
          <w:p w:rsidR="00000000" w:rsidDel="00000000" w:rsidP="00000000" w:rsidRDefault="00000000" w:rsidRPr="00000000" w14:paraId="00000046">
            <w:pPr>
              <w:spacing w:after="0" w:lineRule="auto"/>
              <w:rPr/>
            </w:pPr>
            <w:r w:rsidDel="00000000" w:rsidR="00000000" w:rsidRPr="00000000">
              <w:rPr>
                <w:rtl w:val="0"/>
              </w:rPr>
              <w:t xml:space="preserve">Significa revisar si las políticas, los procesos y las prácticas son conocidos y comprendidos por las personas que deben aplicarlos, y si la empresa comunica sus avances con claridad a los públicos correspondientes. No se limita a la comunicación externa.</w:t>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7">
            <w:pPr>
              <w:spacing w:after="0" w:lineRule="auto"/>
              <w:rPr/>
            </w:pPr>
            <w:r w:rsidDel="00000000" w:rsidR="00000000" w:rsidRPr="00000000">
              <w:rPr>
                <w:rtl w:val="0"/>
              </w:rPr>
              <w:t xml:space="preserve">PF6</w:t>
            </w:r>
          </w:p>
        </w:tc>
        <w:tc>
          <w:tcPr>
            <w:tcMar>
              <w:top w:w="80.0" w:type="dxa"/>
              <w:left w:w="80.0" w:type="dxa"/>
              <w:bottom w:w="80.0" w:type="dxa"/>
              <w:right w:w="80.0" w:type="dxa"/>
            </w:tcMar>
            <w:vAlign w:val="center"/>
          </w:tcPr>
          <w:p w:rsidR="00000000" w:rsidDel="00000000" w:rsidP="00000000" w:rsidRDefault="00000000" w:rsidRPr="00000000" w14:paraId="00000048">
            <w:pPr>
              <w:spacing w:after="0" w:lineRule="auto"/>
              <w:rPr/>
            </w:pPr>
            <w:r w:rsidDel="00000000" w:rsidR="00000000" w:rsidRPr="00000000">
              <w:rPr>
                <w:rtl w:val="0"/>
              </w:rPr>
              <w:t xml:space="preserve">¿La misma herramienta de diagnóstico se aplica a todas las empresas o unidades de negocios?</w:t>
            </w:r>
          </w:p>
        </w:tc>
        <w:tc>
          <w:tcPr>
            <w:tcMar>
              <w:top w:w="80.0" w:type="dxa"/>
              <w:left w:w="80.0" w:type="dxa"/>
              <w:bottom w:w="80.0" w:type="dxa"/>
              <w:right w:w="80.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No. Adaptamos la herramienta de diagnóstico ISO26000 al negocio, el sector, la operación, los riesgos y el nivel de madurez. Cuando participan varias unidades de negocio, mantenemos criterios comunes que permiten comparar resultados sin ignorar sus diferencias.</w:t>
            </w:r>
          </w:p>
        </w:tc>
      </w:tr>
      <w:tr>
        <w:trPr>
          <w:cantSplit w:val="1"/>
          <w:tblHeader w:val="0"/>
        </w:trPr>
        <w:tc>
          <w:tcPr>
            <w:shd w:fill="f3f6f8" w:val="clear"/>
            <w:tcMar>
              <w:top w:w="80.0" w:type="dxa"/>
              <w:left w:w="80.0" w:type="dxa"/>
              <w:bottom w:w="80.0" w:type="dxa"/>
              <w:right w:w="8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PF7</w:t>
            </w:r>
          </w:p>
        </w:tc>
        <w:tc>
          <w:tcPr>
            <w:shd w:fill="f3f6f8" w:val="clear"/>
            <w:tcMar>
              <w:top w:w="80.0" w:type="dxa"/>
              <w:left w:w="80.0" w:type="dxa"/>
              <w:bottom w:w="80.0" w:type="dxa"/>
              <w:right w:w="80.0" w:type="dxa"/>
            </w:tcMar>
            <w:vAlign w:val="center"/>
          </w:tcPr>
          <w:p w:rsidR="00000000" w:rsidDel="00000000" w:rsidP="00000000" w:rsidRDefault="00000000" w:rsidRPr="00000000" w14:paraId="0000004B">
            <w:pPr>
              <w:spacing w:after="0" w:lineRule="auto"/>
              <w:rPr/>
            </w:pPr>
            <w:r w:rsidDel="00000000" w:rsidR="00000000" w:rsidRPr="00000000">
              <w:rPr>
                <w:rtl w:val="0"/>
              </w:rPr>
              <w:t xml:space="preserve">¿En qué se diferencia de un diagnóstico de sostenibilidad personalizado?</w:t>
            </w:r>
          </w:p>
        </w:tc>
        <w:tc>
          <w:tcPr>
            <w:shd w:fill="f3f6f8" w:val="clear"/>
            <w:tcMar>
              <w:top w:w="80.0" w:type="dxa"/>
              <w:left w:w="80.0" w:type="dxa"/>
              <w:bottom w:w="80.0" w:type="dxa"/>
              <w:right w:w="80.0" w:type="dxa"/>
            </w:tcMar>
            <w:vAlign w:val="center"/>
          </w:tcPr>
          <w:p w:rsidR="00000000" w:rsidDel="00000000" w:rsidP="00000000" w:rsidRDefault="00000000" w:rsidRPr="00000000" w14:paraId="0000004C">
            <w:pPr>
              <w:spacing w:after="0" w:lineRule="auto"/>
              <w:rPr/>
            </w:pPr>
            <w:r w:rsidDel="00000000" w:rsidR="00000000" w:rsidRPr="00000000">
              <w:rPr>
                <w:rtl w:val="0"/>
              </w:rPr>
              <w:t xml:space="preserve">Un diagnóstico de sostenibilidad personalizado puede construirse a partir de temas seleccionados o distintos referentes. Este servicio utiliza ISO 26000 como marco central y revisa integralmente sus siete materias fundamentales.</w:t>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PF8</w:t>
            </w:r>
          </w:p>
        </w:tc>
        <w:tc>
          <w:tcPr>
            <w:tcMar>
              <w:top w:w="80.0" w:type="dxa"/>
              <w:left w:w="80.0" w:type="dxa"/>
              <w:bottom w:w="80.0" w:type="dxa"/>
              <w:right w:w="8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¿Qué recibimos al final del diagnóstico ISO26000?</w:t>
            </w:r>
          </w:p>
        </w:tc>
        <w:tc>
          <w:tcPr>
            <w:tcMar>
              <w:top w:w="80.0" w:type="dxa"/>
              <w:left w:w="80.0" w:type="dxa"/>
              <w:bottom w:w="80.0" w:type="dxa"/>
              <w:right w:w="80.0" w:type="dxa"/>
            </w:tcMar>
            <w:vAlign w:val="center"/>
          </w:tcPr>
          <w:p w:rsidR="00000000" w:rsidDel="00000000" w:rsidP="00000000" w:rsidRDefault="00000000" w:rsidRPr="00000000" w14:paraId="0000004F">
            <w:pPr>
              <w:spacing w:after="0" w:lineRule="auto"/>
              <w:rPr/>
            </w:pPr>
            <w:r w:rsidDel="00000000" w:rsidR="00000000" w:rsidRPr="00000000">
              <w:rPr>
                <w:rtl w:val="0"/>
              </w:rPr>
              <w:t xml:space="preserve">Como parte del cierre del diagnóstico ISO26000, recibes una evaluación del nivel de madurez, fortalezas y brechas por materia fundamental, resultados del benchmark y recomendaciones para orientar los siguientes pasos.</w:t>
            </w:r>
          </w:p>
        </w:tc>
      </w:tr>
    </w:tbl>
    <w:p w:rsidR="00000000" w:rsidDel="00000000" w:rsidP="00000000" w:rsidRDefault="00000000" w:rsidRPr="00000000" w14:paraId="00000050">
      <w:pPr>
        <w:keepNext w:val="1"/>
        <w:spacing w:before="240" w:lineRule="auto"/>
        <w:rPr/>
      </w:pPr>
      <w:r w:rsidDel="00000000" w:rsidR="00000000" w:rsidRPr="00000000">
        <w:rPr>
          <w:rtl w:val="0"/>
        </w:rPr>
        <w:t xml:space="preserve">Call to Action, CTA</w:t>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shd w:fill="24355b" w:val="clear"/>
            <w:tcMar>
              <w:top w:w="180.0" w:type="dxa"/>
              <w:left w:w="220.0" w:type="dxa"/>
              <w:bottom w:w="180.0" w:type="dxa"/>
              <w:right w:w="220.0" w:type="dxa"/>
            </w:tcMar>
            <w:vAlign w:val="center"/>
          </w:tcPr>
          <w:p w:rsidR="00000000" w:rsidDel="00000000" w:rsidP="00000000" w:rsidRDefault="00000000" w:rsidRPr="00000000" w14:paraId="00000051">
            <w:pPr>
              <w:jc w:val="center"/>
              <w:rPr/>
            </w:pPr>
            <w:r w:rsidDel="00000000" w:rsidR="00000000" w:rsidRPr="00000000">
              <w:rPr>
                <w:b w:val="1"/>
                <w:bCs w:val="1"/>
                <w:sz w:val="32"/>
                <w:szCs w:val="32"/>
                <w:rtl w:val="0"/>
              </w:rPr>
              <w:t xml:space="preserve">Evalúa tu madurez con ISO 26000</w:t>
            </w:r>
            <w:r w:rsidDel="00000000" w:rsidR="00000000" w:rsidRPr="00000000">
              <w:rPr>
                <w:rtl w:val="0"/>
              </w:rPr>
              <w:br w:type="textWrapping"/>
              <w:t xml:space="preserve">Analizamos qué está definido, aplicado, medido y comunicado para identificar dónde reducir riesgos, qué fortalezas potenciar y cómo tomar decisiones con mayor solidez.</w:t>
            </w:r>
          </w:p>
        </w:tc>
      </w:tr>
    </w:tbl>
    <w:p w:rsidR="00000000" w:rsidDel="00000000" w:rsidP="00000000" w:rsidRDefault="00000000" w:rsidRPr="00000000" w14:paraId="00000052">
      <w:pPr>
        <w:rPr/>
      </w:pPr>
      <w:r w:rsidDel="00000000" w:rsidR="00000000" w:rsidRPr="00000000">
        <w:rPr>
          <w:rtl w:val="0"/>
        </w:rPr>
      </w:r>
    </w:p>
    <w:sectPr>
      <w:footerReference r:id="rId8"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pPr>
    <w:r w:rsidDel="00000000" w:rsidR="00000000" w:rsidRPr="00000000">
      <w:rPr>
        <w:color w:val="6b7785"/>
        <w:sz w:val="16"/>
        <w:szCs w:val="16"/>
        <w:rtl w:val="0"/>
      </w:rPr>
      <w:t xml:space="preserve">ResponSable | Diagnóstico ISO 26000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MX"/>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Calibri" w:cs="Calibri" w:eastAsia="Calibri" w:hAnsi="Calibri"/>
      <w:b w:val="1"/>
      <w:bCs w:val="1"/>
      <w:color w:val="24355b"/>
      <w:sz w:val="36"/>
      <w:szCs w:val="36"/>
    </w:rPr>
  </w:style>
  <w:style w:type="paragraph" w:styleId="Heading2">
    <w:name w:val="heading 2"/>
    <w:basedOn w:val="Normal"/>
    <w:next w:val="Normal"/>
    <w:pPr>
      <w:keepNext w:val="1"/>
      <w:keepLines w:val="1"/>
      <w:spacing w:after="100" w:before="160" w:lineRule="auto"/>
    </w:pPr>
    <w:rPr>
      <w:rFonts w:ascii="Calibri" w:cs="Calibri" w:eastAsia="Calibri" w:hAnsi="Calibri"/>
      <w:b w:val="1"/>
      <w:bCs w:val="1"/>
      <w:color w:val="16a6a1"/>
      <w:sz w:val="28"/>
      <w:szCs w:val="28"/>
    </w:rPr>
  </w:style>
  <w:style w:type="paragraph" w:styleId="Heading3">
    <w:name w:val="heading 3"/>
    <w:basedOn w:val="Normal"/>
    <w:next w:val="Normal"/>
    <w:pPr>
      <w:keepNext w:val="1"/>
      <w:keepLines w:val="1"/>
      <w:spacing w:after="100" w:before="160" w:lineRule="auto"/>
    </w:pPr>
    <w:rPr>
      <w:rFonts w:ascii="Calibri" w:cs="Calibri" w:eastAsia="Calibri" w:hAnsi="Calibri"/>
      <w:b w:val="1"/>
      <w:bCs w:val="1"/>
      <w:color w:val="d71967"/>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60" w:line="240" w:lineRule="auto"/>
    </w:pPr>
    <w:rPr>
      <w:rFonts w:ascii="Calibri" w:cs="Calibri" w:eastAsia="Calibri" w:hAnsi="Calibri"/>
      <w:b w:val="1"/>
      <w:bCs w:val="1"/>
      <w:color w:val="24355b"/>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ponsable.net/servicio/iso-26000/"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ddmlObY+L6YpapMpso4+8KInxw==">CgMxLjA4AHIhMXQxQUQ4VTVzWHQ0Xzh3WW9QVkRMWEpBTG9lQ2lfQzN6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