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0" w:lineRule="auto"/>
        <w:jc w:val="center"/>
        <w:rPr/>
      </w:pPr>
      <w:r w:rsidDel="00000000" w:rsidR="00000000" w:rsidRPr="00000000">
        <w:rPr>
          <w:b w:val="1"/>
          <w:bCs w:val="1"/>
          <w:color w:val="d71967"/>
          <w:sz w:val="20"/>
          <w:szCs w:val="20"/>
          <w:rtl w:val="0"/>
        </w:rPr>
        <w:t xml:space="preserve">RESPONSABLE | PÁGINA DE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500" w:lineRule="auto"/>
        <w:jc w:val="center"/>
        <w:rPr/>
      </w:pPr>
      <w:r w:rsidDel="00000000" w:rsidR="00000000" w:rsidRPr="00000000">
        <w:rPr>
          <w:rtl w:val="0"/>
        </w:rPr>
        <w:t xml:space="preserve">Diagnóstico de sostenibilidad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6a6a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6a6a1"/>
          <w:sz w:val="32"/>
          <w:szCs w:val="32"/>
          <w:u w:val="none"/>
          <w:shd w:fill="auto" w:val="clear"/>
          <w:vertAlign w:val="baseline"/>
          <w:rtl w:val="0"/>
        </w:rPr>
        <w:t xml:space="preserve">Mide tu madurez antes de decidir dónde invertir</w:t>
      </w:r>
    </w:p>
    <w:p w:rsidR="00000000" w:rsidDel="00000000" w:rsidP="00000000" w:rsidRDefault="00000000" w:rsidRPr="00000000" w14:paraId="00000004">
      <w:pPr>
        <w:ind w:left="936" w:right="936" w:firstLine="0"/>
        <w:jc w:val="center"/>
        <w:rPr/>
      </w:pPr>
      <w:r w:rsidDel="00000000" w:rsidR="00000000" w:rsidRPr="00000000">
        <w:rPr>
          <w:color w:val="24313d"/>
          <w:sz w:val="24"/>
          <w:szCs w:val="24"/>
          <w:rtl w:val="0"/>
        </w:rPr>
        <w:t xml:space="preserve">Una evaluación objetiva para identificar fortalezas, brechas y prioridades, contrastando la gestión interna con el sector y referentes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https://responsable.net/servicio/diagnostico-de-sostenibilidad/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d7196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d71967"/>
          <w:sz w:val="18"/>
          <w:szCs w:val="18"/>
          <w:u w:val="none"/>
          <w:shd w:fill="auto" w:val="clear"/>
          <w:vertAlign w:val="baseline"/>
          <w:rtl w:val="0"/>
        </w:rPr>
        <w:t xml:space="preserve">Hero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Diagnóstico de sostenibilidad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6a6a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6a6a1"/>
          <w:sz w:val="32"/>
          <w:szCs w:val="32"/>
          <w:u w:val="none"/>
          <w:shd w:fill="auto" w:val="clear"/>
          <w:vertAlign w:val="baseline"/>
          <w:rtl w:val="0"/>
        </w:rPr>
        <w:t xml:space="preserve">Mide tu madurez antes de decidir dónde invertir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Tener políticas, iniciativas o reconocimientos no garantiza una gestión sólida de sostenibilidad. En ResponSable evaluamos qué tan integrada está en la operación y en las decisiones, y contrastamos el desempeño con referentes del sector. Así, tu empresa obtiene una lectura objetiva para saber qué fortalecer antes de invertir, reportar o construir su estrategia de sostenibilidad.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Evalúa el nivel real de madurez en sostenibilidad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Contrasta la gestión interna con referentes del sector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Detecta brechas entre lo definido y lo que ocurre en la operación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Convierte resultados en prioridades y recomendaciones de negocio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d7196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d7196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d71967"/>
          <w:sz w:val="18"/>
          <w:szCs w:val="18"/>
          <w:u w:val="none"/>
          <w:shd w:fill="auto" w:val="clear"/>
          <w:vertAlign w:val="baseline"/>
          <w:rtl w:val="0"/>
        </w:rPr>
        <w:t xml:space="preserve">¿Para qué sirve?</w:t>
      </w:r>
    </w:p>
    <w:p w:rsidR="00000000" w:rsidDel="00000000" w:rsidP="00000000" w:rsidRDefault="00000000" w:rsidRPr="00000000" w14:paraId="00000011">
      <w:pPr>
        <w:pStyle w:val="Heading3"/>
        <w:rPr>
          <w:color w:val="16a6a1"/>
          <w:sz w:val="28"/>
          <w:szCs w:val="28"/>
        </w:rPr>
      </w:pPr>
      <w:r w:rsidDel="00000000" w:rsidR="00000000" w:rsidRPr="00000000">
        <w:rPr>
          <w:color w:val="16a6a1"/>
          <w:sz w:val="28"/>
          <w:szCs w:val="28"/>
          <w:rtl w:val="0"/>
        </w:rPr>
        <w:t xml:space="preserve">Claridad para priorizar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Para invertir donde más se necesita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Sin un diagnóstico, la empresa corre el riesgo de diseñar estrategias sobre percepciones, duplicar esfuerzos, perseguir reconocimientos sin bases internas o invertir en iniciativas que no atienden sus principales brechas.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diagnóstico de sostenibilidad permite conocer qué prácticas ya están consolidadas, dónde falta gobernanza, implementación, medición o coordinación, y qué temas necesitan atención prioritaria. Con esa evidencia, Dirección puede asignar recursos con mayor criterio y el equipo de sostenibilidad puede definir la siguiente etapa de su gestión con mayor seguridad.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d7196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d7196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d71967"/>
          <w:sz w:val="18"/>
          <w:szCs w:val="18"/>
          <w:u w:val="none"/>
          <w:shd w:fill="auto" w:val="clear"/>
          <w:vertAlign w:val="baseline"/>
          <w:rtl w:val="0"/>
        </w:rPr>
        <w:t xml:space="preserve">Beneficios del servicio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Lo que funciona. Lo que falta. Lo que sigue.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Fortalezas, brechas y siguientes pasos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diagnóstico no entrega solo una calificación y una línea de madurez. Explica por qué la empresa se encuentra en determinado nivel de madurez y qué necesita cambiar para avanzar. Analiza políticas, procesos, responsables, indicadores, seguimiento, implementación y comunicación, además de la visión de las áreas y de Dirección.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ResponSable adapta la evaluación al sector, la operación y el nivel de madurez de cada empresa. El resultado combina evidencia interna, benchmark y criterio experto para definir qué mantener, qué corregir y qué fortalecer antes de construir una estrategia, preparar un informe o buscar un reconocimiento.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d7196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d71967"/>
          <w:sz w:val="18"/>
          <w:szCs w:val="18"/>
          <w:u w:val="none"/>
          <w:shd w:fill="auto" w:val="clear"/>
          <w:vertAlign w:val="baseline"/>
          <w:rtl w:val="0"/>
        </w:rPr>
        <w:t xml:space="preserve">Proceso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De la evaluación a las decisiones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Combinamos evidencia interna, visión directiva y referentes externos para convertir la evaluación en recomendaciones claras y accionables.</w:t>
      </w:r>
    </w:p>
    <w:tbl>
      <w:tblPr>
        <w:tblStyle w:val="Table1"/>
        <w:tblW w:w="9576.0" w:type="dxa"/>
        <w:jc w:val="center"/>
        <w:tblLayout w:type="fixed"/>
        <w:tblLook w:val="0400"/>
      </w:tblPr>
      <w:tblGrid>
        <w:gridCol w:w="2520"/>
        <w:gridCol w:w="2520"/>
        <w:gridCol w:w="4536"/>
        <w:tblGridChange w:id="0">
          <w:tblGrid>
            <w:gridCol w:w="2520"/>
            <w:gridCol w:w="2520"/>
            <w:gridCol w:w="4536"/>
          </w:tblGrid>
        </w:tblGridChange>
      </w:tblGrid>
      <w:tr>
        <w:trPr>
          <w:cantSplit w:val="0"/>
          <w:tblHeader w:val="1"/>
        </w:trPr>
        <w:tc>
          <w:tcPr>
            <w:shd w:fill="24355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Indicaciones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55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Título del 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55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4313d"/>
                <w:sz w:val="17"/>
                <w:szCs w:val="17"/>
                <w:rtl w:val="0"/>
              </w:rPr>
              <w:t xml:space="preserve">Definir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Acordamos unidades, áreas, temas, metodología y referentes según los objetivos, el sector y el nivel de madurez de la organización.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4313d"/>
                <w:sz w:val="17"/>
                <w:szCs w:val="17"/>
                <w:rtl w:val="0"/>
              </w:rPr>
              <w:t xml:space="preserve">Analizar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Revisamos políticas, procesos, iniciativas, indicadores, responsables, certificaciones y estudios previos para entender cómo se gestiona actualmente la sostenibilidad.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4313d"/>
                <w:sz w:val="17"/>
                <w:szCs w:val="17"/>
                <w:rtl w:val="0"/>
              </w:rPr>
              <w:t xml:space="preserve">Contrastar 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Realizamos un benchmark con empresas del sector, referentes o marcos relevantes para identificar tendencias, buenas prácticas y brechas competitivas.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4313d"/>
                <w:sz w:val="17"/>
                <w:szCs w:val="17"/>
                <w:rtl w:val="0"/>
              </w:rPr>
              <w:t xml:space="preserve">Evaluar madurez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Aplicamos una herramienta adaptada al negocio y realizamos sesiones o entrevistas para contrastar lo definido con lo que realmente se implementa y gestiona.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4313d"/>
                <w:sz w:val="17"/>
                <w:szCs w:val="17"/>
                <w:rtl w:val="0"/>
              </w:rPr>
              <w:t xml:space="preserve">Orientar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Integramos resultados internos y externos para identificar fortalezas, riesgos, brechas y recomendaciones priorizadas por tema, área o unidad.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d7196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d71967"/>
          <w:sz w:val="18"/>
          <w:szCs w:val="18"/>
          <w:u w:val="none"/>
          <w:shd w:fill="auto" w:val="clear"/>
          <w:vertAlign w:val="baseline"/>
          <w:rtl w:val="0"/>
        </w:rPr>
        <w:t xml:space="preserve">Preguntas frecuentes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Preguntas frecuentes</w:t>
      </w:r>
    </w:p>
    <w:tbl>
      <w:tblPr>
        <w:tblStyle w:val="Table2"/>
        <w:tblW w:w="10501.0" w:type="dxa"/>
        <w:jc w:val="center"/>
        <w:tblLayout w:type="fixed"/>
        <w:tblLook w:val="0400"/>
      </w:tblPr>
      <w:tblGrid>
        <w:gridCol w:w="1237"/>
        <w:gridCol w:w="3360"/>
        <w:gridCol w:w="5904"/>
        <w:tblGridChange w:id="0">
          <w:tblGrid>
            <w:gridCol w:w="1237"/>
            <w:gridCol w:w="3360"/>
            <w:gridCol w:w="5904"/>
          </w:tblGrid>
        </w:tblGridChange>
      </w:tblGrid>
      <w:tr>
        <w:trPr>
          <w:cantSplit w:val="0"/>
          <w:tblHeader w:val="1"/>
        </w:trPr>
        <w:tc>
          <w:tcPr>
            <w:shd w:fill="16a6a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a6a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a6a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PF1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4313d"/>
                <w:sz w:val="17"/>
                <w:szCs w:val="17"/>
                <w:rtl w:val="0"/>
              </w:rPr>
              <w:t xml:space="preserve">¿Qué es un diagnóstico de sostenibilidad?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Es una evaluación estructurada de la forma en que la empresa gobierna, implementa, mide y comunica su gestión de sostenibilidad, con el fin de conocer su nivel de madurez y sus principales brechas.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PF2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4313d"/>
                <w:sz w:val="17"/>
                <w:szCs w:val="17"/>
                <w:rtl w:val="0"/>
              </w:rPr>
              <w:t xml:space="preserve">¿Qué temas puede evaluar?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El diagnóstico puede abarcar cualquier tema de sostenibilidad relevante para la empresa. Podemos construir una herramienta personalizada según el negocio, el sector, los riesgos y las prioridades internas, o adoptar y adaptar un referente nacional o internacional que resulte pertinente. El objetivo no es evaluar todo por igual, sino analizar con profundidad aquello que la empresa necesita gestionar mejor.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PF3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4313d"/>
                <w:sz w:val="17"/>
                <w:szCs w:val="17"/>
                <w:rtl w:val="0"/>
              </w:rPr>
              <w:t xml:space="preserve">¿Siempre se basa en ISO 26000?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No. ISO 26000 puede utilizarse como base o combinarse con referentes sectoriales, requisitos de clientes, prioridades internas y otros marcos nacionales o internacionales.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PF4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4313d"/>
                <w:sz w:val="17"/>
                <w:szCs w:val="17"/>
                <w:rtl w:val="0"/>
              </w:rPr>
              <w:t xml:space="preserve">¿ISO 26000 es certificable?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No. ISO 26000 es una guía internacional, no una norma certificable. El diagnóstico evalúa el nivel de alineación y madurez frente a sus recomendaciones.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PF5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4313d"/>
                <w:sz w:val="17"/>
                <w:szCs w:val="17"/>
                <w:rtl w:val="0"/>
              </w:rPr>
              <w:t xml:space="preserve">¿En qué se diferencia de un estudio de materialidad?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El diagnóstico analiza cómo está gestionando actualmente la empresa la sostenibilidad. La materialidad identifica qué temas deben priorizarse por sus impactos, riesgos y oportunidades.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PF6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4313d"/>
                <w:sz w:val="17"/>
                <w:szCs w:val="17"/>
                <w:rtl w:val="0"/>
              </w:rPr>
              <w:t xml:space="preserve">¿Por qué no hacer solo un autodiagnóstico?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Una herramienta interna puede aportar una primera lectura, pero suele depender de percepciones. ResponSable contrasta respuestas con documentos, prácticas, entrevistas y benchmark para ofrecer una evaluación más objetiva y recomendaciones aplicables.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PF7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4313d"/>
                <w:sz w:val="17"/>
                <w:szCs w:val="17"/>
                <w:rtl w:val="0"/>
              </w:rPr>
              <w:t xml:space="preserve">¿Puede aplicarse a varias plantas o empresas de un grupo?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Sí. Utilizamos una metodología común para comparar niveles de madurez, detectar brechas particulares e identificar oportunidades de colaboración entre unidades.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PF8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4313d"/>
                <w:sz w:val="17"/>
                <w:szCs w:val="17"/>
                <w:rtl w:val="0"/>
              </w:rPr>
              <w:t xml:space="preserve">¿Qué recibimos al final?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color w:val="24313d"/>
                <w:sz w:val="17"/>
                <w:szCs w:val="17"/>
                <w:rtl w:val="0"/>
              </w:rPr>
              <w:t xml:space="preserve">Recibes una lectura del nivel de madurez, fortalezas, brechas, resultados del benchmark y recomendaciones priorizadas para orientar las siguientes decisiones de sostenibilidad.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24355b" w:val="clear"/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0" w:right="0" w:firstLine="0"/>
              <w:jc w:val="left"/>
              <w:rPr>
                <w:rFonts w:ascii="Play" w:cs="Play" w:eastAsia="Play" w:hAnsi="Play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Conoce tu nivel de madurez y define qué sigue</w:t>
            </w:r>
          </w:p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Evaluamos tu gestión de sostenibilidad, la comparamos con empresas de tu sector y convertimos fortalezas y brechas en recomendaciones claras para avanzar.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jc w:val="center"/>
      <w:rPr/>
    </w:pPr>
    <w:r w:rsidDel="00000000" w:rsidR="00000000" w:rsidRPr="00000000">
      <w:rPr>
        <w:color w:val="6b7785"/>
        <w:sz w:val="16"/>
        <w:szCs w:val="16"/>
        <w:rtl w:val="0"/>
      </w:rPr>
      <w:t xml:space="preserve">ResponSable | Diagnóstico de sostenibilidad |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s-MX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Calibri" w:cs="Calibri" w:eastAsia="Calibri" w:hAnsi="Calibri"/>
      <w:b w:val="1"/>
      <w:bCs w:val="1"/>
      <w:color w:val="24355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Calibri" w:cs="Calibri" w:eastAsia="Calibri" w:hAnsi="Calibri"/>
      <w:b w:val="1"/>
      <w:bCs w:val="1"/>
      <w:color w:val="16a6a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Calibri" w:cs="Calibri" w:eastAsia="Calibri" w:hAnsi="Calibri"/>
      <w:b w:val="1"/>
      <w:bCs w:val="1"/>
      <w:color w:val="d71967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before="160" w:line="240" w:lineRule="auto"/>
    </w:pPr>
    <w:rPr>
      <w:rFonts w:ascii="Calibri" w:cs="Calibri" w:eastAsia="Calibri" w:hAnsi="Calibri"/>
      <w:b w:val="1"/>
      <w:bCs w:val="1"/>
      <w:color w:val="24355b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sponsable.net/servicio/diagnostico-de-sostenibilidad/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P7UOsMDDrbK2DRynMUesG3erHA==">CgMxLjA4AHIhMUs4ak9veG9fQzVSdGs1RlZjSWliMlBkNzZTaW1sNGt2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