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2f58"/>
          <w:sz w:val="36"/>
          <w:szCs w:val="36"/>
          <w:rtl w:val="0"/>
        </w:rPr>
        <w:t xml:space="preserve">Formulario. Página de 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897e"/>
          <w:sz w:val="44"/>
          <w:szCs w:val="44"/>
        </w:rPr>
      </w:pPr>
      <w:r w:rsidDel="00000000" w:rsidR="00000000" w:rsidRPr="00000000">
        <w:rPr>
          <w:b w:val="1"/>
          <w:bCs w:val="1"/>
          <w:color w:val="00897e"/>
          <w:sz w:val="44"/>
          <w:szCs w:val="44"/>
          <w:rtl w:val="0"/>
        </w:rPr>
        <w:t xml:space="preserve">ROI de la inversión social</w:t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color w:val="00897e"/>
          <w:sz w:val="44"/>
          <w:szCs w:val="44"/>
        </w:rPr>
      </w:pPr>
      <w:r w:rsidDel="00000000" w:rsidR="00000000" w:rsidRPr="00000000">
        <w:rPr>
          <w:b w:val="1"/>
          <w:bCs w:val="1"/>
          <w:color w:val="00897e"/>
          <w:sz w:val="44"/>
          <w:szCs w:val="44"/>
          <w:rtl w:val="0"/>
        </w:rPr>
        <w:t xml:space="preserve">Link: </w:t>
      </w:r>
      <w:hyperlink r:id="rId9">
        <w:r w:rsidDel="00000000" w:rsidR="00000000" w:rsidRPr="00000000">
          <w:rPr>
            <w:b w:val="1"/>
            <w:bCs w:val="1"/>
            <w:color w:val="1155cc"/>
            <w:sz w:val="44"/>
            <w:szCs w:val="44"/>
            <w:u w:val="single"/>
            <w:rtl w:val="0"/>
          </w:rPr>
          <w:t xml:space="preserve">https://responsable.net/servicio/roi-rentabilidad-de-la-sostenibilidad/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color w:val="00897e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Título del servicio, H1</w:t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ROI de la inversión social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Descripción general del servicio</w:t>
      </w:r>
    </w:p>
    <w:p w:rsidR="00000000" w:rsidDel="00000000" w:rsidP="00000000" w:rsidRDefault="00000000" w:rsidRPr="00000000" w14:paraId="00000009">
      <w:pPr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La inversión social no debe sostenerse solo con historias. También debe explicarse con datos, supuestos claros y decisiones mejor fundamentadas.</w:t>
      </w:r>
    </w:p>
    <w:p w:rsidR="00000000" w:rsidDel="00000000" w:rsidP="00000000" w:rsidRDefault="00000000" w:rsidRPr="00000000" w14:paraId="0000000A">
      <w:pPr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Muchas empresas invierten en programas sociales, comunitarios o de fundación. Pero cuando Dirección o Finanzas preguntan qué valor genera esa inversión para la empresa, la conversación suele quedarse en montos, beneficiarios y actividades.</w:t>
      </w:r>
    </w:p>
    <w:p w:rsidR="00000000" w:rsidDel="00000000" w:rsidP="00000000" w:rsidRDefault="00000000" w:rsidRPr="00000000" w14:paraId="0000000B">
      <w:pPr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En ResponSable ayudamos a medir el retorno sobre la inversión social: una forma de traducir programas sociales en valor empresarial, conectando inversión, resultados, drivers de negocio y KPIs internos.</w:t>
      </w:r>
    </w:p>
    <w:p w:rsidR="00000000" w:rsidDel="00000000" w:rsidP="00000000" w:rsidRDefault="00000000" w:rsidRPr="00000000" w14:paraId="0000000C">
      <w:pPr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No buscamos atribuirle a la inversión social beneficios que no puede sostener. Construimos escenarios prudentes para diferenciar lo demostrable, lo probable y lo que debe tratarse solo como hipótesis.</w:t>
      </w:r>
    </w:p>
    <w:p w:rsidR="00000000" w:rsidDel="00000000" w:rsidP="00000000" w:rsidRDefault="00000000" w:rsidRPr="00000000" w14:paraId="0000000D">
      <w:pPr>
        <w:spacing w:after="10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VERSION CORTA</w:t>
      </w:r>
    </w:p>
    <w:p w:rsidR="00000000" w:rsidDel="00000000" w:rsidP="00000000" w:rsidRDefault="00000000" w:rsidRPr="00000000" w14:paraId="0000000F">
      <w:pPr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La inversión social puede generar valor para la empresa, pero demostrarlo exige más que contar beneficiarios o actividades. En ResponSable estimamos su retorno empresarial conectando los programas con resultados relevantes para el negocio y con la evidencia disponible. Así, la empresa puede decidir con mayor rigor qué programas sostener, ajustar o escalar.</w:t>
      </w:r>
    </w:p>
    <w:p w:rsidR="00000000" w:rsidDel="00000000" w:rsidP="00000000" w:rsidRDefault="00000000" w:rsidRPr="00000000" w14:paraId="00000010">
      <w:pPr>
        <w:spacing w:after="10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Subtítulo principal</w:t>
      </w:r>
    </w:p>
    <w:p w:rsidR="00000000" w:rsidDel="00000000" w:rsidP="00000000" w:rsidRDefault="00000000" w:rsidRPr="00000000" w14:paraId="00000013">
      <w:pPr>
        <w:spacing w:after="100" w:lineRule="auto"/>
        <w:rPr/>
      </w:pPr>
      <w:sdt>
        <w:sdtPr>
          <w:id w:val="1333703796"/>
          <w:tag w:val="goog_rdk_0"/>
        </w:sdtPr>
        <w:sdtContent>
          <w:commentRangeStart w:id="0"/>
        </w:sdtContent>
      </w:sdt>
      <w:r w:rsidDel="00000000" w:rsidR="00000000" w:rsidRPr="00000000">
        <w:rPr>
          <w:b w:val="1"/>
          <w:bCs w:val="1"/>
          <w:color w:val="00897e"/>
          <w:sz w:val="26"/>
          <w:szCs w:val="26"/>
          <w:rtl w:val="0"/>
        </w:rPr>
        <w:t xml:space="preserve">Convierte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b w:val="1"/>
          <w:bCs w:val="1"/>
          <w:color w:val="00897e"/>
          <w:sz w:val="26"/>
          <w:szCs w:val="26"/>
          <w:rtl w:val="0"/>
        </w:rPr>
        <w:t xml:space="preserve">inversión social en decisiones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Puntos descriptivos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Mide el retorno sobre la inversión social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Conecta programas sociales con drivers de negocio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Prioriza recursos con evidencia y supuestos trazables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Construye un caso de negocio para Dirección y Finanzas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¿Para qué sirve?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Título Dos, H2</w:t>
      </w:r>
    </w:p>
    <w:p w:rsidR="00000000" w:rsidDel="00000000" w:rsidP="00000000" w:rsidRDefault="00000000" w:rsidRPr="00000000" w14:paraId="0000001B">
      <w:pPr>
        <w:spacing w:after="100" w:lineRule="auto"/>
        <w:rPr/>
      </w:pPr>
      <w:r w:rsidDel="00000000" w:rsidR="00000000" w:rsidRPr="00000000">
        <w:rPr>
          <w:b w:val="1"/>
          <w:bCs w:val="1"/>
          <w:color w:val="1f2f58"/>
          <w:sz w:val="26"/>
          <w:szCs w:val="26"/>
          <w:rtl w:val="0"/>
        </w:rPr>
        <w:t xml:space="preserve">Retorno empresarial medible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Subtítulo Dos, H3</w:t>
      </w:r>
    </w:p>
    <w:p w:rsidR="00000000" w:rsidDel="00000000" w:rsidP="00000000" w:rsidRDefault="00000000" w:rsidRPr="00000000" w14:paraId="0000001D">
      <w:pPr>
        <w:spacing w:after="100" w:lineRule="auto"/>
        <w:rPr/>
      </w:pPr>
      <w:r w:rsidDel="00000000" w:rsidR="00000000" w:rsidRPr="00000000">
        <w:rPr>
          <w:b w:val="1"/>
          <w:bCs w:val="1"/>
          <w:color w:val="00897e"/>
          <w:sz w:val="26"/>
          <w:szCs w:val="26"/>
          <w:rtl w:val="0"/>
        </w:rPr>
        <w:t xml:space="preserve">Para demostrar valor ante Dirección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Descripción Dos</w:t>
      </w:r>
    </w:p>
    <w:p w:rsidR="00000000" w:rsidDel="00000000" w:rsidP="00000000" w:rsidRDefault="00000000" w:rsidRPr="00000000" w14:paraId="0000001F">
      <w:pPr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El ROI de la inversión social sirve para entender cómo los programas sociales pueden generar valor para la empresa, más allá del reporte de actividades o del monto invertido.</w:t>
      </w:r>
    </w:p>
    <w:p w:rsidR="00000000" w:rsidDel="00000000" w:rsidP="00000000" w:rsidRDefault="00000000" w:rsidRPr="00000000" w14:paraId="00000020">
      <w:pPr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Es especialmente útil cuando la organización necesita justificar presupuesto, ordenar un portafolio amplio, comparar proyectos o decidir qué programas sostener, ajustar, escalar o replantear.</w:t>
      </w:r>
    </w:p>
    <w:p w:rsidR="00000000" w:rsidDel="00000000" w:rsidP="00000000" w:rsidRDefault="00000000" w:rsidRPr="00000000" w14:paraId="00000021">
      <w:pPr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Antes del análisis, muchas empresas tienen iniciativas valiosas, pero dispersas: programas difíciles de comparar, métricas incompletas, criterios distintos por área y poca claridad sobre su contribución al negocio.</w:t>
      </w:r>
    </w:p>
    <w:p w:rsidR="00000000" w:rsidDel="00000000" w:rsidP="00000000" w:rsidRDefault="00000000" w:rsidRPr="00000000" w14:paraId="00000022">
      <w:pPr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Después del análisis, la empresa cuenta con una lectura más objetiva: portafolio ordenado por tipologías y zonas, drivers de negocio definidos, KPIs internos asociados, supuestos documentados y escenarios para tomar decisiones.</w:t>
      </w:r>
    </w:p>
    <w:p w:rsidR="00000000" w:rsidDel="00000000" w:rsidP="00000000" w:rsidRDefault="00000000" w:rsidRPr="00000000" w14:paraId="00000023">
      <w:pPr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La medición no convierte cualquier programa social en rentable. Ayuda a identificar dónde existe una conexión defendible con talento, continuidad operativa, licencia social, gestión de riesgos, reputación, eficiencia o relación con grupos de interés.</w:t>
      </w:r>
    </w:p>
    <w:p w:rsidR="00000000" w:rsidDel="00000000" w:rsidP="00000000" w:rsidRDefault="00000000" w:rsidRPr="00000000" w14:paraId="00000024">
      <w:pPr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El resultado es un caso de negocio que permite discutir inversión social con mayor rigor, menor improvisación y mejor capacidad de decisión.</w:t>
      </w:r>
    </w:p>
    <w:p w:rsidR="00000000" w:rsidDel="00000000" w:rsidP="00000000" w:rsidRDefault="00000000" w:rsidRPr="00000000" w14:paraId="00000025">
      <w:pPr>
        <w:spacing w:after="10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VERSION CORTA</w:t>
      </w:r>
    </w:p>
    <w:p w:rsidR="00000000" w:rsidDel="00000000" w:rsidP="00000000" w:rsidRDefault="00000000" w:rsidRPr="00000000" w14:paraId="00000027">
      <w:pPr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El ROI de la inversión social permite identificar qué programas muestran una conexión más sólida con el negocio, mediante qué mecanismos y con qué nivel de evidencia. También ayuda a ordenar el portafolio con criterios comparables y a reconocer dónde faltan datos para sostener una conclusión.</w:t>
      </w:r>
    </w:p>
    <w:p w:rsidR="00000000" w:rsidDel="00000000" w:rsidP="00000000" w:rsidRDefault="00000000" w:rsidRPr="00000000" w14:paraId="00000028">
      <w:pPr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Con esta lectura, Dirección y Finanzas pueden revisar presupuesto, continuidad y escalamiento con mayor rigor. Al mismo tiempo, el área de sostenibilidad sabe qué información debe fortalecer y qué decisiones preparar para el siguiente ciclo.</w:t>
      </w:r>
    </w:p>
    <w:p w:rsidR="00000000" w:rsidDel="00000000" w:rsidP="00000000" w:rsidRDefault="00000000" w:rsidRPr="00000000" w14:paraId="00000029">
      <w:pPr>
        <w:spacing w:after="240" w:before="24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¿Beneficios del servicio?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Título Tres, H2</w:t>
      </w:r>
    </w:p>
    <w:p w:rsidR="00000000" w:rsidDel="00000000" w:rsidP="00000000" w:rsidRDefault="00000000" w:rsidRPr="00000000" w14:paraId="0000002D">
      <w:pPr>
        <w:spacing w:after="100" w:lineRule="auto"/>
        <w:rPr/>
      </w:pPr>
      <w:r w:rsidDel="00000000" w:rsidR="00000000" w:rsidRPr="00000000">
        <w:rPr>
          <w:b w:val="1"/>
          <w:bCs w:val="1"/>
          <w:color w:val="1f2f58"/>
          <w:sz w:val="26"/>
          <w:szCs w:val="26"/>
          <w:rtl w:val="0"/>
        </w:rPr>
        <w:t xml:space="preserve">Recursos mejor priorizados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Subtítulo Tres, H3</w:t>
      </w:r>
    </w:p>
    <w:p w:rsidR="00000000" w:rsidDel="00000000" w:rsidP="00000000" w:rsidRDefault="00000000" w:rsidRPr="00000000" w14:paraId="0000002F">
      <w:pPr>
        <w:spacing w:after="100" w:lineRule="auto"/>
        <w:rPr/>
      </w:pPr>
      <w:r w:rsidDel="00000000" w:rsidR="00000000" w:rsidRPr="00000000">
        <w:rPr>
          <w:b w:val="1"/>
          <w:bCs w:val="1"/>
          <w:color w:val="00897e"/>
          <w:sz w:val="26"/>
          <w:szCs w:val="26"/>
          <w:rtl w:val="0"/>
        </w:rPr>
        <w:t xml:space="preserve">Evidencia para decidir con rigor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Descripción Tres</w:t>
      </w:r>
    </w:p>
    <w:p w:rsidR="00000000" w:rsidDel="00000000" w:rsidP="00000000" w:rsidRDefault="00000000" w:rsidRPr="00000000" w14:paraId="00000031">
      <w:pPr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El principal beneficio es convertir la inversión social en una conversación más objetiva con Dirección, Finanzas y las áreas dueñas de datos.</w:t>
      </w:r>
    </w:p>
    <w:p w:rsidR="00000000" w:rsidDel="00000000" w:rsidP="00000000" w:rsidRDefault="00000000" w:rsidRPr="00000000" w14:paraId="00000032">
      <w:pPr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La empresa obtiene un modelo que vincula programas sociales con drivers de negocio y KPIs internos, permitiendo estimar beneficios empresariales como costos evitados, reducción de riesgos, mejora en continuidad, fortalecimiento de talento o protección reputacional.</w:t>
      </w:r>
    </w:p>
    <w:p w:rsidR="00000000" w:rsidDel="00000000" w:rsidP="00000000" w:rsidRDefault="00000000" w:rsidRPr="00000000" w14:paraId="00000033">
      <w:pPr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Esto reduce el riesgo de asignar recursos por tradición, visibilidad o presión externa. En su lugar, la organización puede priorizar con criterios comparables, supuestos documentados y escenarios prudentes.</w:t>
      </w:r>
    </w:p>
    <w:p w:rsidR="00000000" w:rsidDel="00000000" w:rsidP="00000000" w:rsidRDefault="00000000" w:rsidRPr="00000000" w14:paraId="00000034">
      <w:pPr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También ayuda a identificar brechas de información. Si un programa parece relevante, pero no cuenta con datos suficientes para demostrar su contribución, el modelo permite saber qué medir mejor en el siguiente ciclo.</w:t>
      </w:r>
    </w:p>
    <w:p w:rsidR="00000000" w:rsidDel="00000000" w:rsidP="00000000" w:rsidRDefault="00000000" w:rsidRPr="00000000" w14:paraId="00000035">
      <w:pPr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Para el negocio, el retorno sobre la inversión social facilita decisiones más claras sobre presupuesto, continuidad y escalamiento. Para el área de sostenibilidad o fundación, fortalece su capacidad de demostrar que la inversión social no es solo gasto, sino una palanca de gestión estratégica.</w:t>
      </w:r>
    </w:p>
    <w:p w:rsidR="00000000" w:rsidDel="00000000" w:rsidP="00000000" w:rsidRDefault="00000000" w:rsidRPr="00000000" w14:paraId="00000036">
      <w:pPr>
        <w:spacing w:after="10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VERSION CORTA</w:t>
      </w:r>
    </w:p>
    <w:p w:rsidR="00000000" w:rsidDel="00000000" w:rsidP="00000000" w:rsidRDefault="00000000" w:rsidRPr="00000000" w14:paraId="00000038">
      <w:pPr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La conversación con Dirección cambia. El área ya no presenta solo montos, beneficiarios e historias, sino un caso de negocio claro, prudente y trazable que complementa la narrativa social con evidencia empresarial. Esto permite discutir presupuesto, continuidad y escalamiento con mejores argumentos, sin inflar beneficios ni atribuir al programa resultados que no puede sostener.</w:t>
      </w:r>
    </w:p>
    <w:p w:rsidR="00000000" w:rsidDel="00000000" w:rsidP="00000000" w:rsidRDefault="00000000" w:rsidRPr="00000000" w14:paraId="00000039">
      <w:pPr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El proceso también fortalece la gestión de la inversión social: alinea a las áreas dueñas de los datos, hace explícitos los supuestos, evita duplicar beneficios e identifica qué información debe mejorar. Así, la empresa no solo evalúa mejor su portafolio actual, sino que construye una base más sólida para diseñar, medir y priorizar futuras inversiones sociales.</w:t>
      </w:r>
    </w:p>
    <w:p w:rsidR="00000000" w:rsidDel="00000000" w:rsidP="00000000" w:rsidRDefault="00000000" w:rsidRPr="00000000" w14:paraId="0000003A">
      <w:pPr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VERSION AUN MAS CORTA</w:t>
      </w:r>
    </w:p>
    <w:p w:rsidR="00000000" w:rsidDel="00000000" w:rsidP="00000000" w:rsidRDefault="00000000" w:rsidRPr="00000000" w14:paraId="0000003C">
      <w:pPr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La conversación con Dirección cambia. El área ya no presenta solo montos, beneficiarios e historias, sino un caso de negocio claro, prudente y trazable que complementa la narrativa social con evidencia empresarial.</w:t>
      </w:r>
    </w:p>
    <w:p w:rsidR="00000000" w:rsidDel="00000000" w:rsidP="00000000" w:rsidRDefault="00000000" w:rsidRPr="00000000" w14:paraId="0000003D">
      <w:pPr>
        <w:spacing w:after="100" w:line="252.00000000000003" w:lineRule="auto"/>
        <w:rPr/>
      </w:pPr>
      <w:r w:rsidDel="00000000" w:rsidR="00000000" w:rsidRPr="00000000">
        <w:rPr>
          <w:rtl w:val="0"/>
        </w:rPr>
        <w:t xml:space="preserve">El proceso también deja capacidad instalada: alinea a las áreas dueñas de los datos, hace explícitos los supuestos, evita duplicar beneficios y establece una base más sólida para evaluar futuras inversiones sociales.</w:t>
      </w:r>
    </w:p>
    <w:p w:rsidR="00000000" w:rsidDel="00000000" w:rsidP="00000000" w:rsidRDefault="00000000" w:rsidRPr="00000000" w14:paraId="0000003E">
      <w:pPr>
        <w:spacing w:after="240" w:before="24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0" w:line="252.0000000000000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Proceso</w:t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Descripción Proceso</w:t>
      </w:r>
    </w:p>
    <w:p w:rsidR="00000000" w:rsidDel="00000000" w:rsidP="00000000" w:rsidRDefault="00000000" w:rsidRPr="00000000" w14:paraId="00000042">
      <w:pPr>
        <w:spacing w:after="100" w:lineRule="auto"/>
        <w:rPr/>
      </w:pPr>
      <w:r w:rsidDel="00000000" w:rsidR="00000000" w:rsidRPr="00000000">
        <w:rPr>
          <w:rtl w:val="0"/>
        </w:rPr>
        <w:t xml:space="preserve">Obtén un caso de negocio defendible para priorizar inversión social con drivers, KPIs internos, riesgos y escenarios conservadores.</w:t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Pasos</w:t>
      </w:r>
    </w:p>
    <w:tbl>
      <w:tblPr>
        <w:tblStyle w:val="Table1"/>
        <w:tblW w:w="75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tblGridChange w:id="0">
          <w:tblGrid>
            <w:gridCol w:w="2520"/>
            <w:gridCol w:w="2520"/>
            <w:gridCol w:w="2520"/>
          </w:tblGrid>
        </w:tblGridChange>
      </w:tblGrid>
      <w:tr>
        <w:trPr>
          <w:cantSplit w:val="0"/>
          <w:tblHeader w:val="1"/>
        </w:trPr>
        <w:tc>
          <w:tcPr>
            <w:shd w:fill="1f2f58" w:val="clea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Indicaciones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f58" w:val="clea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Título del 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f58" w:val="clea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Ordenar portafolio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Clasificamos programas por tipologías y zonas, revisando inversión, objetivos, beneficiarios, madurez, métricas disponibles y calidad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Mapear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Cruzamos portafolio con materialidad, riesgos y prioridades de negocio para identificar drivers como talento, continuidad, licencia social o reputación.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Alinear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Definimos KPIs internos, fuentes, responsables y límites de evidencia para traducir cada driver a información medible y trazable.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Modelar escenarios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Construimos caso base, sensibilidad y escenarios, cuidando supuestos conservadores, trazabilidad metodológica y reglas anti doble conteo.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Paso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Caso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Integramos ROI, escenarios, supuestos y recomendaciones para decidir qué inversión social sostener, ajustar, escalar o replantear.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Preguntas Frecuentes</w:t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shd w:fill="1f2f58" w:val="clea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f58" w:val="clea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2f58" w:val="clea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¿Qué mide este servicio?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El ROI de la inversión social estima el retorno sobre la inversión social desde la perspectiva empresarial, conectando programas con drivers de negocio, KPIs internos y supuestos defendibles.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5.92041015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¿En qué se diferencia del SROI?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SROI mide valor social generado para beneficiarios o comunidades. Este servicio mide retorno empresarial. Ambos análisis pueden complementarse, pero responden preguntas distintas.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¿Cuándo conviene contratarlo?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Conviene cuando Dirección o Finanzas piden justificar presupuesto, comparar programas, ordenar un portafolio amplio o decidir qué iniciativas sostener, ajustar o escalar.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¿Qué datos necesitamos?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Idealmente se requieren datos internos de inversión, talento, operación, riesgos, seguridad, continuidad o relación comunitaria. Si no existen, identificamos brechas críticas.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¿Sirve para portafolios grandes?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Sí. Trabajamos por tipologías y zonas comparables para evitar una evaluación proyecto por proyecto que aumente costos sin mejorar la decisión.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¿Cómo evitan inflar resultados?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Usamos caso base conservador, escenarios, sensibilidad, trazabilidad de supuestos y reglas anti doble conteo para diferenciar beneficios demostrables, probables e hipotéticos.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PF7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¿Qué áreas deben participar?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Normalmente participan sostenibilidad, fundación, finanzas, riesgos, recursos humanos, operaciones, seguridad, relaciones comunitarias y otras áreas dueñas de datos relevantes.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PF8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¿Qué recibimos al final?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sdt>
              <w:sdtPr>
                <w:id w:val="-1076359744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Recibes 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drivers y KPIs definidos, supuestos documentados, modelo de retorno, escenarios y un caso de negocio para priorizar la inversión social.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Style w:val="Heading1"/>
        <w:rPr/>
      </w:pPr>
      <w:r w:rsidDel="00000000" w:rsidR="00000000" w:rsidRPr="00000000">
        <w:rPr>
          <w:rtl w:val="0"/>
        </w:rPr>
        <w:t xml:space="preserve">Call to Action (CTA)</w:t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Subtítulo CTA</w:t>
      </w:r>
    </w:p>
    <w:p w:rsidR="00000000" w:rsidDel="00000000" w:rsidP="00000000" w:rsidRDefault="00000000" w:rsidRPr="00000000" w14:paraId="00000075">
      <w:pPr>
        <w:spacing w:after="100" w:lineRule="auto"/>
        <w:rPr/>
      </w:pPr>
      <w:r w:rsidDel="00000000" w:rsidR="00000000" w:rsidRPr="00000000">
        <w:rPr>
          <w:b w:val="1"/>
          <w:bCs w:val="1"/>
          <w:color w:val="00897e"/>
          <w:sz w:val="26"/>
          <w:szCs w:val="26"/>
          <w:rtl w:val="0"/>
        </w:rPr>
        <w:t xml:space="preserve">Construye tu caso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Descripción CTA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Te ayudamos a traducir tu inversión social en retorno sobre la inversión social, con datos, escenarios y decisiones claras.</w:t>
      </w:r>
    </w:p>
    <w:p w:rsidR="00000000" w:rsidDel="00000000" w:rsidP="00000000" w:rsidRDefault="00000000" w:rsidRPr="00000000" w14:paraId="00000078">
      <w:pPr>
        <w:rPr/>
      </w:pPr>
      <w:sdt>
        <w:sdtPr>
          <w:id w:val="1646999638"/>
          <w:tag w:val="goog_rdk_2"/>
        </w:sdtPr>
        <w:sdtContent>
          <w:commentRangeStart w:id="2"/>
        </w:sdtContent>
      </w:sdt>
      <w:r w:rsidDel="00000000" w:rsidR="00000000" w:rsidRPr="00000000">
        <w:rPr/>
        <w:drawing>
          <wp:inline distB="114300" distT="114300" distL="114300" distR="114300">
            <wp:extent cx="6400800" cy="2692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sdt>
        <w:sdtPr>
          <w:id w:val="-21166185"/>
          <w:tag w:val="goog_rdk_3"/>
        </w:sdtPr>
        <w:sdtContent>
          <w:commentRangeStart w:id="3"/>
        </w:sdtContent>
      </w:sdt>
      <w:sdt>
        <w:sdtPr>
          <w:id w:val="-1302509949"/>
          <w:tag w:val="goog_rdk_4"/>
        </w:sdtPr>
        <w:sdtContent>
          <w:commentRangeStart w:id="4"/>
        </w:sdtContent>
      </w:sdt>
      <w:r w:rsidDel="00000000" w:rsidR="00000000" w:rsidRPr="00000000">
        <w:rPr/>
        <w:drawing>
          <wp:inline distB="114300" distT="114300" distL="114300" distR="114300">
            <wp:extent cx="6400800" cy="1143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sdt>
        <w:sdtPr>
          <w:id w:val="1883031039"/>
          <w:tag w:val="goog_rdk_5"/>
        </w:sdtPr>
        <w:sdtContent>
          <w:commentRangeStart w:id="5"/>
        </w:sdtContent>
      </w:sdt>
      <w:r w:rsidDel="00000000" w:rsidR="00000000" w:rsidRPr="00000000">
        <w:rPr/>
        <w:drawing>
          <wp:inline distB="114300" distT="114300" distL="114300" distR="114300">
            <wp:extent cx="6400800" cy="1422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sdt>
        <w:sdtPr>
          <w:id w:val="-1182157554"/>
          <w:tag w:val="goog_rdk_6"/>
        </w:sdtPr>
        <w:sdtContent>
          <w:commentRangeStart w:id="6"/>
        </w:sdtContent>
      </w:sdt>
      <w:r w:rsidDel="00000000" w:rsidR="00000000" w:rsidRPr="00000000">
        <w:rPr/>
        <w:drawing>
          <wp:inline distB="114300" distT="114300" distL="114300" distR="114300">
            <wp:extent cx="6400800" cy="596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sectPr>
      <w:footerReference r:id="rId14" w:type="default"/>
      <w:pgSz w:h="15840" w:w="12240" w:orient="portrait"/>
      <w:pgMar w:bottom="936" w:top="936" w:left="1080" w:right="108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drea Ríos" w:id="0" w:date="2026-06-19T18:50:34Z"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Convierta...</w:t>
      </w:r>
    </w:p>
  </w:comment>
  <w:comment w:author="Andrea Ríos" w:id="1" w:date="2026-06-19T19:29:24Z"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Recibe...</w:t>
      </w:r>
    </w:p>
  </w:comment>
  <w:comment w:author="Andrea Ríos" w:id="3" w:date="2026-06-19T19:17:56Z"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Construya su caso...</w:t>
      </w:r>
    </w:p>
  </w:comment>
  <w:comment w:author="Andrea Ríos" w:id="4" w:date="2026-06-19T19:18:08Z"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ayudamos...</w:t>
      </w:r>
    </w:p>
  </w:comment>
  <w:comment w:author="Andrea Ríos" w:id="6" w:date="2026-06-19T19:19:34Z"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Suscríbase...</w:t>
      </w:r>
    </w:p>
  </w:comment>
  <w:comment w:author="Andrea Ríos" w:id="5" w:date="2026-06-19T19:18:42Z"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Apoyarle...</w:t>
      </w:r>
    </w:p>
  </w:comment>
  <w:comment w:author="Andrea Ríos" w:id="2" w:date="2026-06-19T19:16:20Z"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Obtenga un caso...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7D" w15:done="0"/>
  <w15:commentEx w15:paraId="0000007E" w15:done="0"/>
  <w15:commentEx w15:paraId="0000007F" w15:done="0"/>
  <w15:commentEx w15:paraId="00000080" w15:paraIdParent="0000007F" w15:done="0"/>
  <w15:commentEx w15:paraId="00000081" w15:done="0"/>
  <w15:commentEx w15:paraId="00000082" w15:done="0"/>
  <w15:commentEx w15:paraId="00000083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  <w:rtl w:val="0"/>
      </w:rPr>
      <w:t xml:space="preserve">ResponSable | Página de servicio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f2f58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1f2f58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00897e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responsable.net/servicio/roi-rentabilidad-de-la-sostenibilidad/" TargetMode="External"/><Relationship Id="rId1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M0jnb954dlQV9Pw3qfdrSlxc4w==">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