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b/>
          <w:color w:val="000000" w:themeColor="text1"/>
          <w:sz w:val="44"/>
        </w:rPr>
      </w:pPr>
    </w:p>
    <w:p w:rsidR="00AF61CA" w:rsidRDefault="00000000">
      <w:pPr>
        <w:pStyle w:val="HLD"/>
        <w:jc w:val="center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«Метрологический контроль атмосферных показателей лабораторных помещений»</w:t>
      </w:r>
    </w:p>
    <w:p w:rsidR="00AF61CA" w:rsidRDefault="00AF61CA">
      <w:pPr>
        <w:pStyle w:val="HLD"/>
        <w:jc w:val="center"/>
        <w:rPr>
          <w:color w:val="000000" w:themeColor="text1"/>
          <w:sz w:val="28"/>
        </w:rPr>
      </w:pPr>
    </w:p>
    <w:p w:rsidR="00AF61CA" w:rsidRDefault="00AF61CA">
      <w:pPr>
        <w:pStyle w:val="HLD"/>
        <w:jc w:val="center"/>
        <w:rPr>
          <w:color w:val="000000" w:themeColor="text1"/>
          <w:sz w:val="28"/>
        </w:rPr>
      </w:pPr>
    </w:p>
    <w:p w:rsidR="00AF61CA" w:rsidRDefault="00000000">
      <w:pPr>
        <w:pStyle w:val="HLD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Service High Level Design (HLD)</w:t>
      </w:r>
    </w:p>
    <w:p w:rsidR="00AF61CA" w:rsidRDefault="00AF61CA">
      <w:pPr>
        <w:pStyle w:val="HLD"/>
        <w:jc w:val="center"/>
        <w:rPr>
          <w:color w:val="000000" w:themeColor="text1"/>
          <w:sz w:val="28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  <w:bookmarkStart w:id="0" w:name="DocumentLink_pyWorkCover_1"/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AF61CA">
      <w:pPr>
        <w:pStyle w:val="HLD"/>
        <w:jc w:val="center"/>
        <w:rPr>
          <w:color w:val="000000" w:themeColor="text1"/>
        </w:rPr>
      </w:pPr>
    </w:p>
    <w:bookmarkEnd w:id="0"/>
    <w:p w:rsidR="00AF61CA" w:rsidRDefault="00AF61CA">
      <w:pPr>
        <w:pStyle w:val="HLD"/>
        <w:jc w:val="center"/>
        <w:rPr>
          <w:color w:val="000000" w:themeColor="text1"/>
        </w:rPr>
      </w:pPr>
    </w:p>
    <w:p w:rsidR="00AF61CA" w:rsidRDefault="00000000">
      <w:pPr>
        <w:pStyle w:val="HLD"/>
        <w:jc w:val="center"/>
        <w:rPr>
          <w:rStyle w:val="ae"/>
          <w:rFonts w:ascii="Times New Roman" w:hAnsi="Times New Roman"/>
          <w:color w:val="000000" w:themeColor="text1"/>
          <w:sz w:val="24"/>
        </w:rPr>
      </w:pPr>
      <w:r>
        <w:rPr>
          <w:color w:val="000000" w:themeColor="text1"/>
        </w:rPr>
        <w:t>HLD_0001</w:t>
      </w: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AF61CA">
      <w:pPr>
        <w:pStyle w:val="HLD"/>
        <w:rPr>
          <w:rStyle w:val="ae"/>
          <w:rFonts w:ascii="Times New Roman" w:hAnsi="Times New Roman"/>
          <w:color w:val="000000" w:themeColor="text1"/>
          <w:sz w:val="24"/>
        </w:rPr>
      </w:pPr>
    </w:p>
    <w:p w:rsidR="00AF61CA" w:rsidRDefault="00000000">
      <w:pPr>
        <w:pStyle w:val="HLD"/>
        <w:rPr>
          <w:color w:val="000000" w:themeColor="text1"/>
        </w:rPr>
      </w:pPr>
      <w:r>
        <w:rPr>
          <w:rStyle w:val="ae"/>
          <w:rFonts w:ascii="Times New Roman" w:hAnsi="Times New Roman"/>
          <w:color w:val="000000" w:themeColor="text1"/>
          <w:sz w:val="24"/>
        </w:rPr>
        <w:t>Версия: 1.</w:t>
      </w:r>
      <w:r>
        <w:rPr>
          <w:color w:val="000000" w:themeColor="text1"/>
        </w:rPr>
        <w:t>7</w:t>
      </w:r>
    </w:p>
    <w:p w:rsidR="00AF61CA" w:rsidRDefault="00AF61CA">
      <w:pPr>
        <w:rPr>
          <w:color w:val="000000" w:themeColor="text1"/>
        </w:rPr>
      </w:pPr>
    </w:p>
    <w:p w:rsidR="00AF61CA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f7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>СОДЕРЖАНИЕ</w:t>
      </w:r>
    </w:p>
    <w:p w:rsidR="00AF61CA" w:rsidRDefault="00000000">
      <w:pPr>
        <w:pStyle w:val="16"/>
        <w:tabs>
          <w:tab w:val="right" w:leader="dot" w:pos="10205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t>1    ВВЕДЕНИЕ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2" w:history="1">
        <w:r>
          <w:t>1.1    Административная информация о документе</w:t>
        </w:r>
        <w:r>
          <w:tab/>
        </w:r>
        <w:r>
          <w:fldChar w:fldCharType="begin"/>
        </w:r>
        <w:r>
          <w:instrText>PAGEREF __RefHeading___2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3" w:history="1">
        <w:r>
          <w:t>1.2    История изменений документа</w:t>
        </w:r>
        <w:r>
          <w:tab/>
        </w:r>
        <w:r>
          <w:fldChar w:fldCharType="begin"/>
        </w:r>
        <w:r>
          <w:instrText>PAGEREF __RefHeading___3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4" w:history="1">
        <w:r>
          <w:t>1.3    Термины, определения и сокращения</w:t>
        </w:r>
        <w:r>
          <w:tab/>
        </w:r>
        <w:r>
          <w:fldChar w:fldCharType="begin"/>
        </w:r>
        <w:r>
          <w:instrText>PAGEREF __RefHeading___4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5" w:history="1">
        <w:r>
          <w:t>1.4    Назначение документа</w:t>
        </w:r>
        <w:r>
          <w:tab/>
        </w:r>
        <w:r>
          <w:fldChar w:fldCharType="begin"/>
        </w:r>
        <w:r>
          <w:instrText>PAGEREF __RefHeading___5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6" w:history="1">
        <w:r>
          <w:t>1.5    Связанные документы</w:t>
        </w:r>
        <w:r>
          <w:tab/>
        </w:r>
        <w:r>
          <w:fldChar w:fldCharType="begin"/>
        </w:r>
        <w:r>
          <w:instrText>PAGEREF __RefHeading___6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7" w:history="1">
        <w:r>
          <w:t>1.6    Связанные услуги</w:t>
        </w:r>
        <w:r>
          <w:tab/>
        </w:r>
        <w:r>
          <w:fldChar w:fldCharType="begin"/>
        </w:r>
        <w:r>
          <w:instrText>PAGEREF __RefHeading___7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F61CA" w:rsidRDefault="00000000">
      <w:pPr>
        <w:pStyle w:val="16"/>
        <w:tabs>
          <w:tab w:val="right" w:leader="dot" w:pos="10205"/>
        </w:tabs>
      </w:pPr>
      <w:hyperlink w:anchor="__RefHeading___8" w:history="1">
        <w:r>
          <w:t>2    ТЕХНИЧЕСКАЯ ПОСТАНОВКА ЗАДАЧИ</w:t>
        </w:r>
        <w:r>
          <w:tab/>
        </w:r>
        <w:r>
          <w:fldChar w:fldCharType="begin"/>
        </w:r>
        <w:r>
          <w:instrText>PAGEREF __RefHeading___8 \h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F61CA" w:rsidRDefault="00000000">
      <w:pPr>
        <w:pStyle w:val="16"/>
        <w:tabs>
          <w:tab w:val="right" w:leader="dot" w:pos="10205"/>
        </w:tabs>
      </w:pPr>
      <w:hyperlink w:anchor="__RefHeading___9" w:history="1">
        <w:r>
          <w:t>3    ОПИСАНИЕ ТЕХНИЧЕСКОГО РЕШЕНИЯ</w:t>
        </w:r>
        <w:r>
          <w:tab/>
        </w:r>
        <w:r>
          <w:fldChar w:fldCharType="begin"/>
        </w:r>
        <w:r>
          <w:instrText>PAGEREF __RefHeading___9 \h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0" w:history="1">
        <w:r>
          <w:t>3.1    Функциональность</w:t>
        </w:r>
        <w:r>
          <w:tab/>
        </w:r>
        <w:r>
          <w:fldChar w:fldCharType="begin"/>
        </w:r>
        <w:r>
          <w:instrText>PAGEREF __RefHeading___10 \h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1" w:history="1">
        <w:r>
          <w:t>3.2    Системные требования для развертывания программно-аппаратного комплекса</w:t>
        </w:r>
        <w:r>
          <w:tab/>
        </w:r>
        <w:r>
          <w:fldChar w:fldCharType="begin"/>
        </w:r>
        <w:r>
          <w:instrText>PAGEREF __RefHeading___11 \h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2" w:history="1">
        <w:r>
          <w:t>3.3    Схема включения и описание схемы</w:t>
        </w:r>
        <w:r>
          <w:tab/>
        </w:r>
        <w:r>
          <w:fldChar w:fldCharType="begin"/>
        </w:r>
        <w:r>
          <w:instrText>PAGEREF __RefHeading___12 \h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3" w:history="1">
        <w:r>
          <w:t>3.4    Описание системы резервного копирования</w:t>
        </w:r>
        <w:r>
          <w:tab/>
        </w:r>
        <w:r>
          <w:fldChar w:fldCharType="begin"/>
        </w:r>
        <w:r>
          <w:instrText>PAGEREF __RefHeading___13 \h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4" w:history="1">
        <w:r>
          <w:t>3.5  Лицензирование программного обеспечения и ограничения</w:t>
        </w:r>
        <w:r>
          <w:tab/>
        </w:r>
        <w:r>
          <w:fldChar w:fldCharType="begin"/>
        </w:r>
        <w:r>
          <w:instrText>PAGEREF __RefHeading___14 \h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AF61CA" w:rsidRDefault="00000000">
      <w:pPr>
        <w:pStyle w:val="16"/>
        <w:tabs>
          <w:tab w:val="right" w:leader="dot" w:pos="10205"/>
        </w:tabs>
      </w:pPr>
      <w:hyperlink w:anchor="__RefHeading___15" w:history="1">
        <w:r>
          <w:t>4    ЗАТРАТЫ НА РЕАЛИЗАЦИЮ</w:t>
        </w:r>
        <w:r>
          <w:tab/>
        </w:r>
        <w:r>
          <w:fldChar w:fldCharType="begin"/>
        </w:r>
        <w:r>
          <w:instrText>PAGEREF __RefHeading___15 \h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AF61CA" w:rsidRDefault="00000000">
      <w:pPr>
        <w:pStyle w:val="16"/>
        <w:tabs>
          <w:tab w:val="right" w:leader="dot" w:pos="10205"/>
        </w:tabs>
      </w:pPr>
      <w:hyperlink w:anchor="__RefHeading___16" w:history="1">
        <w:r>
          <w:t>5    РЕАЛИЗАЦИЯ РЕШЕНИЯ</w:t>
        </w:r>
        <w:r>
          <w:tab/>
        </w:r>
        <w:r>
          <w:fldChar w:fldCharType="begin"/>
        </w:r>
        <w:r>
          <w:instrText>PAGEREF __RefHeading___16 \h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7" w:history="1">
        <w:r>
          <w:t>5.1    Стадии работ над проектом: instance – часть. Трудозатраты</w:t>
        </w:r>
        <w:r>
          <w:tab/>
        </w:r>
        <w:r>
          <w:fldChar w:fldCharType="begin"/>
        </w:r>
        <w:r>
          <w:instrText>PAGEREF __RefHeading___17 \h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8" w:history="1">
        <w:r>
          <w:t>5.2    Стадии работ над проектом: SaaS – часть. Трудозатраты</w:t>
        </w:r>
        <w:r>
          <w:tab/>
        </w:r>
        <w:r>
          <w:fldChar w:fldCharType="begin"/>
        </w:r>
        <w:r>
          <w:instrText>PAGEREF __RefHeading___18 \h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AF61CA" w:rsidRDefault="00000000">
      <w:pPr>
        <w:pStyle w:val="21"/>
        <w:tabs>
          <w:tab w:val="right" w:leader="dot" w:pos="10205"/>
        </w:tabs>
      </w:pPr>
      <w:hyperlink w:anchor="__RefHeading___19" w:history="1">
        <w:r>
          <w:t>5.3    Ответственность заказчика</w:t>
        </w:r>
        <w:r>
          <w:tab/>
        </w:r>
        <w:r>
          <w:fldChar w:fldCharType="begin"/>
        </w:r>
        <w:r>
          <w:instrText>PAGEREF __RefHeading___19 \h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AF61CA" w:rsidRDefault="00000000">
      <w:pPr>
        <w:pStyle w:val="16"/>
        <w:tabs>
          <w:tab w:val="right" w:leader="dot" w:pos="10205"/>
        </w:tabs>
      </w:pPr>
      <w:hyperlink w:anchor="__RefHeading___20" w:history="1">
        <w:r>
          <w:t>6    МОНИТОРИНГ И SLA</w:t>
        </w:r>
        <w:r>
          <w:tab/>
        </w:r>
        <w:r>
          <w:fldChar w:fldCharType="begin"/>
        </w:r>
        <w:r>
          <w:instrText>PAGEREF __RefHeading___20 \h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AF61CA" w:rsidRDefault="00000000">
      <w:r>
        <w:fldChar w:fldCharType="end"/>
      </w:r>
    </w:p>
    <w:p w:rsidR="00AF61CA" w:rsidRDefault="00AF61CA"/>
    <w:p w:rsidR="00AF61CA" w:rsidRDefault="00AF61CA"/>
    <w:p w:rsidR="00AF61CA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f2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</w:rPr>
      </w:pPr>
      <w:bookmarkStart w:id="1" w:name="__RefHeading___1"/>
      <w:bookmarkEnd w:id="1"/>
      <w:r>
        <w:rPr>
          <w:sz w:val="32"/>
        </w:rPr>
        <w:lastRenderedPageBreak/>
        <w:t>ВВЕДЕНИЕ</w:t>
      </w: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" w:name="__RefHeading___2"/>
      <w:bookmarkEnd w:id="2"/>
      <w:r>
        <w:rPr>
          <w:sz w:val="28"/>
        </w:rPr>
        <w:t>Административная информация о документе</w:t>
      </w:r>
    </w:p>
    <w:tbl>
      <w:tblPr>
        <w:tblW w:w="0" w:type="auto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673"/>
        <w:gridCol w:w="1290"/>
        <w:gridCol w:w="1115"/>
        <w:gridCol w:w="2443"/>
      </w:tblGrid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Должность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Подпись</w:t>
            </w: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Дата</w:t>
            </w: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ФИО</w:t>
            </w: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Разработано: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Разработчик программного обеспечения сектора по разработке инновационных решений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Начальник сектора по разработке инновационных решений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Технический архитектор отдела технической разработки продуктов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Согласовано: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дирекции сетевой инфраструктуры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отдела по развитию продуктов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отдела технической разработки продуктов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сектора по разработке инновационных решений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сектора развития клиентских отношений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отдела поддержки корпоративных клиентов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отдела управления интеллектуальными услугами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Руководитель отдела информационной безопасности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Менеджер по продуктам отдела по развитию продуктов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Технический архитектор отдела технической разработки продуктов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24"/>
        </w:trPr>
        <w:tc>
          <w:tcPr>
            <w:tcW w:w="5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###</w:t>
            </w:r>
          </w:p>
        </w:tc>
        <w:tc>
          <w:tcPr>
            <w:tcW w:w="12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AF61CA" w:rsidRDefault="00AF61CA">
            <w:pPr>
              <w:keepNext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</w:tbl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3" w:name="__RefHeading___3"/>
      <w:bookmarkEnd w:id="3"/>
      <w:r>
        <w:rPr>
          <w:sz w:val="28"/>
        </w:rPr>
        <w:t xml:space="preserve">История изменений документа </w:t>
      </w:r>
    </w:p>
    <w:tbl>
      <w:tblPr>
        <w:tblW w:w="0" w:type="auto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992"/>
        <w:gridCol w:w="1557"/>
        <w:gridCol w:w="3256"/>
        <w:gridCol w:w="3561"/>
      </w:tblGrid>
      <w:tr w:rsidR="00AF61CA">
        <w:trPr>
          <w:trHeight w:val="96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Дата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Версия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Автор замечания / должность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Текст замечания</w:t>
            </w: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Исправлено (описание исправления, место в документе)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25.12.2022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Первая редакция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26.12.2022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V1.1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Заполнение раздела 2. Техническая постановка задачи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14.01.2023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V1.2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Заполнение разделов 3.1 и 3.2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18.01.2023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V1.3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Заполнение раздела 3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21.01.2023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V1.4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Заполнение раздела "Затраты"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25.01.2023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V1.5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Расчет трудозатрат по проекту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29.01.2023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V1.6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Описание уровня поддержки</w:t>
            </w:r>
          </w:p>
        </w:tc>
      </w:tr>
      <w:tr w:rsidR="00AF61CA">
        <w:trPr>
          <w:trHeight w:val="31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01.02.2023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V1.7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C9269E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Иванов А / Инженер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3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Условия SLA</w:t>
            </w:r>
          </w:p>
        </w:tc>
      </w:tr>
    </w:tbl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4" w:name="__RefHeading___4"/>
      <w:bookmarkEnd w:id="4"/>
      <w:r>
        <w:rPr>
          <w:sz w:val="28"/>
        </w:rPr>
        <w:lastRenderedPageBreak/>
        <w:t>Термины, определения и сокращения</w:t>
      </w:r>
    </w:p>
    <w:tbl>
      <w:tblPr>
        <w:tblW w:w="0" w:type="auto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93"/>
        <w:gridCol w:w="7730"/>
      </w:tblGrid>
      <w:tr w:rsidR="00AF61CA">
        <w:tc>
          <w:tcPr>
            <w:tcW w:w="27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Название</w:t>
            </w:r>
          </w:p>
        </w:tc>
        <w:tc>
          <w:tcPr>
            <w:tcW w:w="773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Расшифровка</w:t>
            </w:r>
          </w:p>
        </w:tc>
      </w:tr>
      <w:tr w:rsidR="00AF61CA">
        <w:trPr>
          <w:trHeight w:val="444"/>
        </w:trPr>
        <w:tc>
          <w:tcPr>
            <w:tcW w:w="27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IoT</w:t>
            </w:r>
          </w:p>
        </w:tc>
        <w:tc>
          <w:tcPr>
            <w:tcW w:w="773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Internet of Things</w:t>
            </w:r>
          </w:p>
        </w:tc>
      </w:tr>
      <w:tr w:rsidR="00AF61CA">
        <w:trPr>
          <w:trHeight w:val="422"/>
        </w:trPr>
        <w:tc>
          <w:tcPr>
            <w:tcW w:w="27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 и ТБ</w:t>
            </w:r>
          </w:p>
        </w:tc>
        <w:tc>
          <w:tcPr>
            <w:tcW w:w="773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pStyle w:val="HLD"/>
              <w:keepNext/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Охрана труда и техника безопасности</w:t>
            </w:r>
          </w:p>
        </w:tc>
      </w:tr>
      <w:tr w:rsidR="00AF61CA">
        <w:trPr>
          <w:trHeight w:val="386"/>
        </w:trPr>
        <w:tc>
          <w:tcPr>
            <w:tcW w:w="27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НМА</w:t>
            </w:r>
          </w:p>
        </w:tc>
        <w:tc>
          <w:tcPr>
            <w:tcW w:w="773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pStyle w:val="HLD"/>
              <w:keepNext/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Нематериальный актив</w:t>
            </w:r>
          </w:p>
        </w:tc>
      </w:tr>
      <w:tr w:rsidR="00AF61CA">
        <w:trPr>
          <w:trHeight w:val="420"/>
        </w:trPr>
        <w:tc>
          <w:tcPr>
            <w:tcW w:w="27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773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pStyle w:val="HLD"/>
              <w:keepNext/>
              <w:jc w:val="left"/>
              <w:rPr>
                <w:color w:val="000000" w:themeColor="text1"/>
                <w:sz w:val="22"/>
              </w:rPr>
            </w:pPr>
          </w:p>
        </w:tc>
      </w:tr>
      <w:tr w:rsidR="00AF61CA">
        <w:trPr>
          <w:trHeight w:val="412"/>
        </w:trPr>
        <w:tc>
          <w:tcPr>
            <w:tcW w:w="27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773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pStyle w:val="HLD"/>
              <w:keepNext/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5" w:name="__RefHeading___5"/>
      <w:bookmarkEnd w:id="5"/>
      <w:r>
        <w:rPr>
          <w:sz w:val="28"/>
        </w:rPr>
        <w:t xml:space="preserve">Назначение документа 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 HLD описывается высокоуровневое представление системы контроля метеоусловий и уровня загрязнения на рабочих местах.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 текущей версии документа описывается сервис получения и обработки информации с датчиков температуры, влажности, освещенности в помещении, наличии опасных и вредных веществ в концентрации, превышающей допустимые, в лабораториях, а также о состоянии контролируемых входов в лабораторные помещения.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b/>
          <w:color w:val="000000" w:themeColor="text1"/>
        </w:rPr>
        <w:t>Назначение Сервиса </w:t>
      </w:r>
      <w:r>
        <w:rPr>
          <w:color w:val="000000" w:themeColor="text1"/>
        </w:rPr>
        <w:t xml:space="preserve">– постоянный контроль за состоянием окружающей среды на рабочем месте в лабораториях согласно требованиям </w:t>
      </w:r>
      <w:r>
        <w:rPr>
          <w:color w:val="212529"/>
          <w:highlight w:val="white"/>
        </w:rPr>
        <w:t>ГОСТ 12.0.005-84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b/>
          <w:color w:val="000000" w:themeColor="text1"/>
        </w:rPr>
        <w:t>Сервис</w:t>
      </w:r>
      <w:r>
        <w:rPr>
          <w:color w:val="000000" w:themeColor="text1"/>
        </w:rPr>
        <w:t xml:space="preserve"> предлагает функционал, позволяющий в оперативном (</w:t>
      </w:r>
      <w:proofErr w:type="spellStart"/>
      <w:r>
        <w:rPr>
          <w:color w:val="000000" w:themeColor="text1"/>
        </w:rPr>
        <w:t>online</w:t>
      </w:r>
      <w:proofErr w:type="spellEnd"/>
      <w:r>
        <w:rPr>
          <w:color w:val="000000" w:themeColor="text1"/>
        </w:rPr>
        <w:t>) режиме получать информацию о качестве воздуха, температуре и влажности в контролируемых помещениях, уровне опасных и вредных веществ в изолированной среде (лаборатории), оповещать ответственных сотрудников о превышении допустимых норм и уровня загрязнения в лаборатории, а также проводить блокировку доступа в лабораторию при превышении уровня загрязнения опасными веществами после эвакуации рабочего персонала из помещения.</w:t>
      </w:r>
    </w:p>
    <w:p w:rsidR="00AF61CA" w:rsidRDefault="00AF61CA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2C152E" w:rsidRDefault="002C152E" w:rsidP="002C152E">
      <w:pPr>
        <w:pStyle w:val="HLD"/>
        <w:rPr>
          <w:color w:val="000000" w:themeColor="text1"/>
        </w:rPr>
      </w:pP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6" w:name="__RefHeading___6"/>
      <w:bookmarkEnd w:id="6"/>
      <w:r>
        <w:rPr>
          <w:sz w:val="28"/>
        </w:rPr>
        <w:lastRenderedPageBreak/>
        <w:t>Связанные документы</w:t>
      </w:r>
    </w:p>
    <w:tbl>
      <w:tblPr>
        <w:tblW w:w="0" w:type="auto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8420"/>
      </w:tblGrid>
      <w:tr w:rsidR="00AF61CA">
        <w:tc>
          <w:tcPr>
            <w:tcW w:w="210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Номер документа</w:t>
            </w:r>
          </w:p>
        </w:tc>
        <w:tc>
          <w:tcPr>
            <w:tcW w:w="84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Название документа</w:t>
            </w:r>
          </w:p>
        </w:tc>
      </w:tr>
      <w:tr w:rsidR="00AF61CA">
        <w:trPr>
          <w:trHeight w:val="624"/>
        </w:trPr>
        <w:tc>
          <w:tcPr>
            <w:tcW w:w="210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212529"/>
                <w:highlight w:val="white"/>
              </w:rPr>
              <w:t>ГОСТ 12.0.005-84</w:t>
            </w:r>
          </w:p>
        </w:tc>
        <w:tc>
          <w:tcPr>
            <w:tcW w:w="84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212529"/>
                <w:highlight w:val="white"/>
              </w:rPr>
              <w:t>ГОСТ 12.0.005-84 Система стандартов безопасности труда. Метрологическое обеспечение в области безопасности труда. Основные положения</w:t>
            </w:r>
          </w:p>
        </w:tc>
      </w:tr>
      <w:tr w:rsidR="00AF61CA">
        <w:trPr>
          <w:trHeight w:val="624"/>
        </w:trPr>
        <w:tc>
          <w:tcPr>
            <w:tcW w:w="210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4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pStyle w:val="HLD"/>
              <w:keepNext/>
              <w:jc w:val="left"/>
              <w:rPr>
                <w:color w:val="000000" w:themeColor="text1"/>
                <w:sz w:val="22"/>
              </w:rPr>
            </w:pPr>
            <w:r>
              <w:t>ФЗ «О специальной оценке условий труда»</w:t>
            </w:r>
          </w:p>
        </w:tc>
      </w:tr>
      <w:tr w:rsidR="00AF61CA">
        <w:trPr>
          <w:trHeight w:val="624"/>
        </w:trPr>
        <w:tc>
          <w:tcPr>
            <w:tcW w:w="210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4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pStyle w:val="HLD"/>
              <w:keepNext/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Внутреннее положение по ОТ и ТБ</w:t>
            </w:r>
          </w:p>
        </w:tc>
      </w:tr>
      <w:tr w:rsidR="00AF61CA">
        <w:trPr>
          <w:trHeight w:val="624"/>
        </w:trPr>
        <w:tc>
          <w:tcPr>
            <w:tcW w:w="210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42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pStyle w:val="HLD"/>
              <w:keepNext/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7" w:name="__RefHeading___7"/>
      <w:bookmarkEnd w:id="7"/>
      <w:r>
        <w:rPr>
          <w:sz w:val="28"/>
        </w:rPr>
        <w:t xml:space="preserve">Связанные услуги </w:t>
      </w:r>
    </w:p>
    <w:tbl>
      <w:tblPr>
        <w:tblW w:w="0" w:type="auto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1657"/>
        <w:gridCol w:w="8282"/>
      </w:tblGrid>
      <w:tr w:rsidR="00AF61CA">
        <w:tc>
          <w:tcPr>
            <w:tcW w:w="5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</w:t>
            </w:r>
          </w:p>
        </w:tc>
        <w:tc>
          <w:tcPr>
            <w:tcW w:w="165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Код услуги</w:t>
            </w:r>
          </w:p>
        </w:tc>
        <w:tc>
          <w:tcPr>
            <w:tcW w:w="82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Наименование услуги</w:t>
            </w:r>
          </w:p>
        </w:tc>
      </w:tr>
      <w:tr w:rsidR="00AF61CA">
        <w:trPr>
          <w:trHeight w:val="567"/>
        </w:trPr>
        <w:tc>
          <w:tcPr>
            <w:tcW w:w="5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65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</w:rPr>
              <w:t>ОКПД 2 71.20.19.130</w:t>
            </w:r>
          </w:p>
        </w:tc>
        <w:tc>
          <w:tcPr>
            <w:tcW w:w="82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Проведение специальной оценки условий труда (СОУТ)</w:t>
            </w:r>
          </w:p>
        </w:tc>
      </w:tr>
    </w:tbl>
    <w:p w:rsidR="00AF61CA" w:rsidRDefault="00AF61CA">
      <w:pPr>
        <w:pStyle w:val="HLD"/>
        <w:rPr>
          <w:color w:val="000000" w:themeColor="text1"/>
        </w:rPr>
      </w:pPr>
    </w:p>
    <w:p w:rsidR="00AF61CA" w:rsidRDefault="00000000">
      <w:pPr>
        <w:rPr>
          <w:rFonts w:ascii="Times New Roman" w:hAnsi="Times New Roman"/>
          <w:color w:val="000000" w:themeColor="text1"/>
          <w:sz w:val="28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f2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</w:rPr>
      </w:pPr>
      <w:bookmarkStart w:id="8" w:name="__RefHeading___8"/>
      <w:bookmarkEnd w:id="8"/>
      <w:r>
        <w:rPr>
          <w:sz w:val="32"/>
        </w:rPr>
        <w:lastRenderedPageBreak/>
        <w:t>ТЕХНИЧЕСКАЯ ПОСТАНОВКА ЗАДАЧИ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Техническая постановка задачи содержит следующие разделы с подробным описанием требований и исключений: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2.1 Реализуемые функции;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2.2 Спецификация и лицензирование;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2.3 Техническая схема реализации;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2.4 Трудозатраты участвующих в реализации подразделений;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2.5 Условия оказания технической поддержки.</w:t>
      </w: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000000">
      <w:pPr>
        <w:rPr>
          <w:rFonts w:ascii="Times New Roman" w:hAnsi="Times New Roman"/>
          <w:color w:val="000000" w:themeColor="text1"/>
          <w:sz w:val="24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f2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</w:rPr>
      </w:pPr>
      <w:bookmarkStart w:id="9" w:name="__RefHeading___9"/>
      <w:bookmarkEnd w:id="9"/>
      <w:r>
        <w:rPr>
          <w:sz w:val="32"/>
        </w:rPr>
        <w:lastRenderedPageBreak/>
        <w:t>ОПИСАНИЕ ТЕХНИЧЕСКОГО РЕШЕНИЯ</w:t>
      </w:r>
    </w:p>
    <w:p w:rsidR="00AF61CA" w:rsidRDefault="00000000">
      <w:pPr>
        <w:pStyle w:val="HLD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Программно-аппаратный комплекс (ПАК) предполагает обеспечение постоянного контроля за значениями атмосферных  показателей, </w:t>
      </w:r>
      <w:proofErr w:type="spellStart"/>
      <w:r>
        <w:rPr>
          <w:color w:val="000000" w:themeColor="text1"/>
        </w:rPr>
        <w:t>ктичиных</w:t>
      </w:r>
      <w:proofErr w:type="spellEnd"/>
      <w:r>
        <w:rPr>
          <w:color w:val="000000" w:themeColor="text1"/>
        </w:rPr>
        <w:t xml:space="preserve"> для обеспечения бесперебойного и безопасного функционирования лабораторий предприятия.</w:t>
      </w:r>
    </w:p>
    <w:p w:rsidR="00AF61CA" w:rsidRDefault="00000000">
      <w:pPr>
        <w:pStyle w:val="HLD"/>
        <w:ind w:firstLine="567"/>
        <w:rPr>
          <w:color w:val="000000" w:themeColor="text1"/>
        </w:rPr>
      </w:pPr>
      <w:r>
        <w:rPr>
          <w:color w:val="000000" w:themeColor="text1"/>
        </w:rPr>
        <w:t>ПАК состоит из:</w:t>
      </w:r>
    </w:p>
    <w:p w:rsidR="00AF61CA" w:rsidRDefault="00000000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Устройств сбора данных (конечные устройства с перечнем датчиков, осуществляющих сбор информации из окружающей среды, перечень датчиков уточняется для каждого вида лаборатории отдельно)</w:t>
      </w:r>
    </w:p>
    <w:p w:rsidR="00AF61CA" w:rsidRDefault="00000000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Среда передачи данных – проводная сеть LAN, организованная с помощью кабеля типа “витая пара” или оптоволоконного кабеля</w:t>
      </w:r>
    </w:p>
    <w:p w:rsidR="00AF61CA" w:rsidRDefault="00000000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Сервер, принимающий данные с устройств сбора данных</w:t>
      </w:r>
    </w:p>
    <w:p w:rsidR="00AF61CA" w:rsidRDefault="00000000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Хаб – устройство, временно хранящее собранные данные в случае отключения сети</w:t>
      </w:r>
    </w:p>
    <w:p w:rsidR="00AF61CA" w:rsidRDefault="00000000">
      <w:pPr>
        <w:pStyle w:val="HLD"/>
        <w:ind w:firstLine="567"/>
        <w:rPr>
          <w:color w:val="000000" w:themeColor="text1"/>
        </w:rPr>
      </w:pPr>
      <w:r>
        <w:rPr>
          <w:color w:val="000000" w:themeColor="text1"/>
        </w:rPr>
        <w:t>В целях снижения влияния внешнего шума и работающих установок в лабораториях, а также исключения влияния сигнала на точные измерительные приборы, применение беспроводного соединения исключено.</w:t>
      </w:r>
    </w:p>
    <w:p w:rsidR="00AF61CA" w:rsidRDefault="00000000">
      <w:pPr>
        <w:pStyle w:val="HLD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Данные с устройств сбора данных передаются на сервер посредством использования протокола MQTT. Сервер выполняет функцию брокера сообщений, перенаправляет полученные сообщения в системы анализа данных или в системы расчета по критериям в зависимости от типа поступающих сообщений (заголовка </w:t>
      </w:r>
      <w:proofErr w:type="spellStart"/>
      <w:r>
        <w:rPr>
          <w:color w:val="000000" w:themeColor="text1"/>
        </w:rPr>
        <w:t>тикета</w:t>
      </w:r>
      <w:proofErr w:type="spellEnd"/>
      <w:r>
        <w:rPr>
          <w:color w:val="000000" w:themeColor="text1"/>
        </w:rPr>
        <w:t>). Администратор системы имеет возможность настроить маршрутизацию полученных сообщений, перенаправить сообщения между очередями без возможности удаления, перемещения, чтения самих сообщений.</w:t>
      </w:r>
    </w:p>
    <w:p w:rsidR="00AF61CA" w:rsidRDefault="00000000">
      <w:pPr>
        <w:pStyle w:val="HLD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В целях обеспечения сохранности данных, брокер перенаправляет все полученные сообщения на сервер архивирования данных (сервер существующий, </w:t>
      </w:r>
      <w:proofErr w:type="spellStart"/>
      <w:r>
        <w:rPr>
          <w:color w:val="000000" w:themeColor="text1"/>
        </w:rPr>
        <w:t>донастройка</w:t>
      </w:r>
      <w:proofErr w:type="spellEnd"/>
      <w:r>
        <w:rPr>
          <w:color w:val="000000" w:themeColor="text1"/>
        </w:rPr>
        <w:t xml:space="preserve"> производится в рамках операционных задач и не рассматривается в данном документе).</w:t>
      </w:r>
    </w:p>
    <w:p w:rsidR="00AF61CA" w:rsidRDefault="00000000">
      <w:pPr>
        <w:pStyle w:val="HLD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После обработки информации системами анализа данных или расчета по критериям отправляется сообщение в “шину” простого типа: удовлетворительны ли показатели, уровень превышения, % до критической точки. Отправленные сообщения принимаются сервером БОЛИД, в зависимости от полученных данных (удовлетворительно, превышение, критично) посылает управляющий сигнал на </w:t>
      </w:r>
      <w:proofErr w:type="spellStart"/>
      <w:r>
        <w:rPr>
          <w:color w:val="000000" w:themeColor="text1"/>
        </w:rPr>
        <w:t>оконченые</w:t>
      </w:r>
      <w:proofErr w:type="spellEnd"/>
      <w:r>
        <w:rPr>
          <w:color w:val="000000" w:themeColor="text1"/>
        </w:rPr>
        <w:t xml:space="preserve"> устройства СКУД – сигнализация, аварийное отключение, блокировка дверей, сирена и т.д. Настройка реакции на различные события производится подрядчиком в рамках смежного проекта. Таким образом, устройства сбора данных являются отправителями информации, сервер является и отправителем, и получателем системы, СКУД является потребителем информации. </w:t>
      </w:r>
    </w:p>
    <w:p w:rsidR="00AF61CA" w:rsidRDefault="00000000">
      <w:pPr>
        <w:pStyle w:val="HLD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При отсутствии сообщений более 5с сервер автоматически отправляет сообщение на монитор администратора о невозможности контроля показателей. При отсутствии реакции в течении N минут производится оповещение об аварийной ситуации с последующей блокировкой дверей лабораторий после эвакуации персонала. </w:t>
      </w:r>
    </w:p>
    <w:p w:rsidR="00AF61CA" w:rsidRDefault="00AF61CA">
      <w:pPr>
        <w:pStyle w:val="HLD"/>
        <w:rPr>
          <w:color w:val="000000" w:themeColor="text1"/>
        </w:rPr>
      </w:pPr>
    </w:p>
    <w:p w:rsidR="00AF61CA" w:rsidRDefault="00000000">
      <w:pPr>
        <w:rPr>
          <w:rFonts w:ascii="Times New Roman" w:hAnsi="Times New Roman"/>
          <w:color w:val="000000" w:themeColor="text1"/>
          <w:sz w:val="24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0" w:name="__RefHeading___10"/>
      <w:bookmarkEnd w:id="10"/>
      <w:r>
        <w:rPr>
          <w:sz w:val="28"/>
        </w:rPr>
        <w:lastRenderedPageBreak/>
        <w:t xml:space="preserve">Функциональность </w:t>
      </w:r>
    </w:p>
    <w:p w:rsidR="00AF61CA" w:rsidRDefault="00000000">
      <w:pPr>
        <w:pStyle w:val="HLD"/>
      </w:pPr>
      <w:r>
        <w:t xml:space="preserve">Функциональные возможности системы (списком): </w:t>
      </w:r>
    </w:p>
    <w:p w:rsidR="00AF61CA" w:rsidRDefault="00000000">
      <w:pPr>
        <w:pStyle w:val="HLD"/>
        <w:numPr>
          <w:ilvl w:val="0"/>
          <w:numId w:val="3"/>
        </w:numPr>
        <w:ind w:left="709" w:hanging="142"/>
        <w:rPr>
          <w:color w:val="000000" w:themeColor="text1"/>
        </w:rPr>
      </w:pPr>
      <w:proofErr w:type="spellStart"/>
      <w:r>
        <w:rPr>
          <w:color w:val="000000" w:themeColor="text1"/>
        </w:rPr>
        <w:t>online</w:t>
      </w:r>
      <w:proofErr w:type="spellEnd"/>
      <w:r>
        <w:rPr>
          <w:color w:val="000000" w:themeColor="text1"/>
        </w:rPr>
        <w:t xml:space="preserve"> получение данных с датчиков контроля атмосферных показателей, критичных для работоспособности лабораторий (уровень загрязнения, наличия вредных и опасных веществ, температура, влажность);</w:t>
      </w:r>
    </w:p>
    <w:p w:rsidR="00AF61CA" w:rsidRDefault="00000000">
      <w:pPr>
        <w:pStyle w:val="HLD"/>
        <w:numPr>
          <w:ilvl w:val="0"/>
          <w:numId w:val="3"/>
        </w:numPr>
        <w:ind w:left="709" w:hanging="142"/>
        <w:rPr>
          <w:color w:val="000000" w:themeColor="text1"/>
        </w:rPr>
      </w:pPr>
      <w:proofErr w:type="spellStart"/>
      <w:r>
        <w:rPr>
          <w:color w:val="000000" w:themeColor="text1"/>
        </w:rPr>
        <w:t>online</w:t>
      </w:r>
      <w:proofErr w:type="spellEnd"/>
      <w:r>
        <w:rPr>
          <w:color w:val="000000" w:themeColor="text1"/>
        </w:rPr>
        <w:t xml:space="preserve"> получение данных с датчиков контроля входа/выхода в лабораторные помещения с контролем уровня доступа сотрудников (интеграция с установленным программно-аппаратным комплексом СКУД Болид);</w:t>
      </w:r>
    </w:p>
    <w:p w:rsidR="00AF61CA" w:rsidRDefault="00000000">
      <w:pPr>
        <w:pStyle w:val="HLD"/>
        <w:numPr>
          <w:ilvl w:val="0"/>
          <w:numId w:val="3"/>
        </w:numPr>
        <w:ind w:left="709" w:hanging="142"/>
        <w:rPr>
          <w:color w:val="000000" w:themeColor="text1"/>
        </w:rPr>
      </w:pPr>
      <w:r>
        <w:rPr>
          <w:color w:val="000000" w:themeColor="text1"/>
        </w:rPr>
        <w:t>сбор и обработка полученных данных на управляющем сервере через MQTT протокол;</w:t>
      </w:r>
    </w:p>
    <w:p w:rsidR="00AF61CA" w:rsidRDefault="00000000">
      <w:pPr>
        <w:pStyle w:val="HLD"/>
        <w:numPr>
          <w:ilvl w:val="0"/>
          <w:numId w:val="3"/>
        </w:numPr>
        <w:ind w:left="709" w:hanging="142"/>
      </w:pPr>
      <w:r>
        <w:rPr>
          <w:color w:val="000000" w:themeColor="text1"/>
        </w:rPr>
        <w:t>предупреждение опасных ситуаций с использованием предиктивной модели обработки данных.</w:t>
      </w:r>
    </w:p>
    <w:p w:rsidR="00AF61CA" w:rsidRDefault="00000000">
      <w:pPr>
        <w:pStyle w:val="HLD"/>
      </w:pPr>
      <w:r>
        <w:t>Online – непрерывное получение информации с датчиков с последующей отправкой данных на сервер. Для обеспечения работоспособности и требований ОТ и ТБ требуется постоянное и стабильное соединение между устройствами сбора данных, сервером, системами анализа и прогнозирования, а также СКУД.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Подробная информация по работе с функционалом системы приведена в документах «</w:t>
      </w:r>
      <w:proofErr w:type="spellStart"/>
      <w:r>
        <w:rPr>
          <w:color w:val="000000" w:themeColor="text1"/>
        </w:rPr>
        <w:t>ADM_Doc</w:t>
      </w:r>
      <w:proofErr w:type="spellEnd"/>
      <w:r>
        <w:rPr>
          <w:color w:val="000000" w:themeColor="text1"/>
        </w:rPr>
        <w:t xml:space="preserve"> v2.3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Manual</w:t>
      </w:r>
      <w:proofErr w:type="spellEnd"/>
      <w:r>
        <w:rPr>
          <w:color w:val="000000" w:themeColor="text1"/>
        </w:rPr>
        <w:t>» и «</w:t>
      </w:r>
      <w:proofErr w:type="spellStart"/>
      <w:r>
        <w:rPr>
          <w:color w:val="000000" w:themeColor="text1"/>
        </w:rPr>
        <w:t>USR_Doc</w:t>
      </w:r>
      <w:proofErr w:type="spellEnd"/>
      <w:r>
        <w:rPr>
          <w:color w:val="000000" w:themeColor="text1"/>
        </w:rPr>
        <w:t xml:space="preserve"> v3.0 User </w:t>
      </w:r>
      <w:proofErr w:type="spellStart"/>
      <w:r>
        <w:rPr>
          <w:color w:val="000000" w:themeColor="text1"/>
        </w:rPr>
        <w:t>Manual</w:t>
      </w:r>
      <w:proofErr w:type="spellEnd"/>
      <w:r>
        <w:rPr>
          <w:color w:val="000000" w:themeColor="text1"/>
        </w:rPr>
        <w:t>».</w:t>
      </w:r>
    </w:p>
    <w:p w:rsidR="00AF61CA" w:rsidRDefault="00AF61CA">
      <w:pPr>
        <w:pStyle w:val="HLD"/>
        <w:ind w:left="1417" w:hanging="283"/>
        <w:rPr>
          <w:color w:val="000000" w:themeColor="text1"/>
        </w:rPr>
      </w:pPr>
    </w:p>
    <w:p w:rsidR="00AF61CA" w:rsidRDefault="00000000">
      <w:pPr>
        <w:pStyle w:val="HLD"/>
        <w:ind w:hanging="283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1" w:name="__RefHeading___11"/>
      <w:bookmarkStart w:id="12" w:name="_Hlk77927799"/>
      <w:bookmarkEnd w:id="11"/>
      <w:r>
        <w:rPr>
          <w:sz w:val="28"/>
        </w:rPr>
        <w:lastRenderedPageBreak/>
        <w:t>Системные требования для развертывания программно-аппаратного комплекса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Системные требования к ВМ: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Процессор четырёхъядерный с тактовой частотой не менее: 3.0 ГГц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Оперативная память не менее: 32 Гб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Твердотельные жесткие диски для работы системы серии Gold объемом не менее 512 Гб, для хранения данных не менее 1 Тб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Минимум RAID 2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SWAP не менее 2 Гб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Видеокарта и звуковая карта – не требуются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Пропускная способность канала – не менее 100 Мб/сек при наличии других устройств в сети. 10 Мб/сек при изоляции </w:t>
      </w:r>
      <w:proofErr w:type="gramStart"/>
      <w:r>
        <w:rPr>
          <w:color w:val="000000" w:themeColor="text1"/>
        </w:rPr>
        <w:t>трафика</w:t>
      </w:r>
      <w:proofErr w:type="gramEnd"/>
      <w:r>
        <w:rPr>
          <w:color w:val="000000" w:themeColor="text1"/>
        </w:rPr>
        <w:t xml:space="preserve"> данного ПАК от остальных устройств.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Операционная система: имеющая сертификацию ФСТЭК, Unix-подобная система (Astra Linux, ALT Linux и </w:t>
      </w:r>
      <w:proofErr w:type="spellStart"/>
      <w:r>
        <w:rPr>
          <w:color w:val="000000" w:themeColor="text1"/>
        </w:rPr>
        <w:t>пр</w:t>
      </w:r>
      <w:proofErr w:type="spellEnd"/>
      <w:r>
        <w:rPr>
          <w:color w:val="000000" w:themeColor="text1"/>
        </w:rPr>
        <w:t>)</w:t>
      </w:r>
    </w:p>
    <w:p w:rsidR="00AF61CA" w:rsidRDefault="00000000">
      <w:pPr>
        <w:pStyle w:val="HLD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Разрядность ОС - 64x</w:t>
      </w: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Требования к размещению устройств:</w:t>
      </w:r>
    </w:p>
    <w:p w:rsidR="00AF61CA" w:rsidRDefault="00000000">
      <w:pPr>
        <w:pStyle w:val="HL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Размещение устройств сбора данных не ближе 50 см от лабораторного </w:t>
      </w:r>
      <w:proofErr w:type="spellStart"/>
      <w:r>
        <w:rPr>
          <w:color w:val="000000" w:themeColor="text1"/>
        </w:rPr>
        <w:t>обрудования</w:t>
      </w:r>
      <w:proofErr w:type="spellEnd"/>
      <w:r>
        <w:rPr>
          <w:color w:val="000000" w:themeColor="text1"/>
        </w:rPr>
        <w:t xml:space="preserve"> низкой мощности</w:t>
      </w:r>
    </w:p>
    <w:p w:rsidR="00AF61CA" w:rsidRDefault="00000000">
      <w:pPr>
        <w:pStyle w:val="HL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Размещение устройств вне электромагнитных полей лабораторного оборудования типа “центрифуга”, модуляторов высоких частот и пр. При этом сами датчики могут находиться в непосредственной близости с оборудованием.</w:t>
      </w:r>
    </w:p>
    <w:p w:rsidR="00AF61CA" w:rsidRDefault="00000000">
      <w:pPr>
        <w:pStyle w:val="HL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Изоляция устройств (отсутствие прямого доступа, маскирование датчиков без снижения качества сбора данных).</w:t>
      </w: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3" w:name="__RefHeading___12"/>
      <w:bookmarkEnd w:id="12"/>
      <w:bookmarkEnd w:id="13"/>
      <w:r>
        <w:rPr>
          <w:sz w:val="28"/>
        </w:rPr>
        <w:t>Схема включения и описание схемы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Схема предусматривает совместную работу с установленной системой контроля доступа (СКУД БОЛИД). Требуется наличие постоянно соединения с сетью предприятия для своевременного обмена данными с сервером СКУД и управления контроллерами доступа, сигнальными системами лабораторий.</w:t>
      </w:r>
    </w:p>
    <w:p w:rsidR="00AF61CA" w:rsidRDefault="00000000">
      <w:pPr>
        <w:pStyle w:val="HLD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6480175" cy="352115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480175" cy="35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Центральный (управляющий) сервер при превышении указанного первого предела должен отправлять управляющий сигнал серверу БОЛИД для сигнализации в лаборатории о превышении установленных норм метрологических показателей в помещении. При превышении установленного второго предела уведомлять о необходимости эвакуации из отдельно взятой лаборатории с последующей герметизацией помещения и включением очистных сооружений (фильтрация воздуха, </w:t>
      </w:r>
      <w:proofErr w:type="spellStart"/>
      <w:r>
        <w:rPr>
          <w:color w:val="000000" w:themeColor="text1"/>
        </w:rPr>
        <w:t>вакуумизация</w:t>
      </w:r>
      <w:proofErr w:type="spellEnd"/>
      <w:r>
        <w:rPr>
          <w:color w:val="000000" w:themeColor="text1"/>
        </w:rPr>
        <w:t>, дымоудаление и т.д. в зависимости от повышения того или иного целевого показателя).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Контроль за соблюдение техники безопасности, знание правил поведения в нештатных ситуациях описаны во внутренней документации Организации и не рассматриваются в рамках данного документа.</w:t>
      </w: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4" w:name="__RefHeading___13"/>
      <w:bookmarkEnd w:id="14"/>
      <w:r>
        <w:rPr>
          <w:sz w:val="28"/>
        </w:rPr>
        <w:t>Описание системы резервного копирования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Отказоустойчивость виртуальной машины и полное копирование, включая установленный сервер, конфигурацию и данные, обеспечиваются согласно внутреннему документу “Регламент поддержки работоспособности инфраструктуры” и требованиям информационной безопасности согласно рекомендациям ФСТЭК.</w:t>
      </w:r>
    </w:p>
    <w:p w:rsidR="00AF61CA" w:rsidRDefault="00000000">
      <w:pPr>
        <w:pStyle w:val="HLD"/>
        <w:ind w:firstLine="709"/>
        <w:rPr>
          <w:b/>
          <w:color w:val="000000" w:themeColor="text1"/>
        </w:rPr>
      </w:pPr>
      <w:r>
        <w:rPr>
          <w:color w:val="000000" w:themeColor="text1"/>
        </w:rPr>
        <w:t>Создание резервных копий для виртуальной машины настраивается по расписанию: ежедневное резервное копирование виртуальной машины после окончания лабораторных испытаний с 22.00 до 00.00. Постоянное копирование отправляемых и получаемых сообщений в резервном хранилище.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Прерывание сервиса во время бекапирования не более 2-х часов.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Для обеспечения непрерывности работы сервиса будет использоваться временное хранилище отправляемых данных (хаб) с возможностью отправки накопленных данных в очередь. Объем хранения не менее размера данных за 12 часов работы системы.</w:t>
      </w: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000000">
      <w:pPr>
        <w:pStyle w:val="2"/>
        <w:ind w:left="142"/>
        <w:rPr>
          <w:rFonts w:ascii="Times New Roman" w:hAnsi="Times New Roman"/>
          <w:color w:val="000000"/>
          <w:sz w:val="28"/>
        </w:rPr>
      </w:pPr>
      <w:bookmarkStart w:id="15" w:name="__RefHeading___14"/>
      <w:bookmarkEnd w:id="15"/>
      <w:r>
        <w:rPr>
          <w:rFonts w:ascii="Times New Roman" w:hAnsi="Times New Roman"/>
          <w:color w:val="000000"/>
          <w:sz w:val="28"/>
        </w:rPr>
        <w:t>3.5  Лицензирование программного обеспечения и ограничения</w:t>
      </w:r>
    </w:p>
    <w:p w:rsidR="00AF61CA" w:rsidRDefault="00AF61CA">
      <w:pPr>
        <w:pStyle w:val="HLD"/>
        <w:ind w:left="283" w:hanging="142"/>
        <w:rPr>
          <w:b/>
          <w:color w:val="000000" w:themeColor="text1"/>
        </w:rPr>
      </w:pPr>
    </w:p>
    <w:p w:rsidR="00AF61CA" w:rsidRDefault="00000000">
      <w:pPr>
        <w:pStyle w:val="HLD"/>
        <w:numPr>
          <w:ilvl w:val="0"/>
          <w:numId w:val="6"/>
        </w:numPr>
        <w:ind w:left="850" w:hanging="425"/>
        <w:rPr>
          <w:color w:val="000000" w:themeColor="text1"/>
        </w:rPr>
      </w:pPr>
      <w:r>
        <w:rPr>
          <w:color w:val="000000" w:themeColor="text1"/>
        </w:rPr>
        <w:t>исходный код программного обеспечения не подлежит размещению в свободном доступе;</w:t>
      </w:r>
    </w:p>
    <w:p w:rsidR="00AF61CA" w:rsidRDefault="00000000">
      <w:pPr>
        <w:pStyle w:val="HLD"/>
        <w:numPr>
          <w:ilvl w:val="0"/>
          <w:numId w:val="6"/>
        </w:numPr>
        <w:ind w:left="850" w:hanging="425"/>
        <w:rPr>
          <w:color w:val="000000" w:themeColor="text1"/>
        </w:rPr>
      </w:pPr>
      <w:r>
        <w:rPr>
          <w:color w:val="000000" w:themeColor="text1"/>
        </w:rPr>
        <w:t>лицензирование стороннего ПО, используемого в части интеграции, в данном документе не рассматривается. Подразумевается наличие необходимого пакета лицензий, приобретенного сервисного пакета, внедрение ПАК произведено до реализации проекта;</w:t>
      </w:r>
    </w:p>
    <w:p w:rsidR="00AF61CA" w:rsidRDefault="00000000">
      <w:pPr>
        <w:pStyle w:val="HLD"/>
        <w:numPr>
          <w:ilvl w:val="0"/>
          <w:numId w:val="6"/>
        </w:numPr>
        <w:ind w:left="850" w:hanging="425"/>
        <w:rPr>
          <w:color w:val="000000" w:themeColor="text1"/>
        </w:rPr>
      </w:pPr>
      <w:r>
        <w:rPr>
          <w:color w:val="000000" w:themeColor="text1"/>
        </w:rPr>
        <w:t>затраты на разработку программного обеспечения включаются в расходы на формирование НМА, подлежат капитализации с последующим вводом в эксплуатацию. Ввод в эксплуатацию фиксируется соответствующими регламентированными документами с подтверждением понесенных затрат на разработку НМА;</w:t>
      </w:r>
    </w:p>
    <w:p w:rsidR="00AF61CA" w:rsidRDefault="00000000">
      <w:pPr>
        <w:pStyle w:val="HLD"/>
        <w:numPr>
          <w:ilvl w:val="0"/>
          <w:numId w:val="7"/>
        </w:numPr>
        <w:ind w:left="850" w:hanging="425"/>
        <w:rPr>
          <w:color w:val="000000" w:themeColor="text1"/>
        </w:rPr>
      </w:pPr>
      <w:r>
        <w:rPr>
          <w:color w:val="000000" w:themeColor="text1"/>
        </w:rPr>
        <w:t>состав комплектующих для реализации части проекта собственными силами описан в разделе 4 настоящего документа.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f2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</w:rPr>
      </w:pPr>
      <w:bookmarkStart w:id="16" w:name="__RefHeading___15"/>
      <w:bookmarkEnd w:id="16"/>
      <w:r>
        <w:rPr>
          <w:sz w:val="32"/>
        </w:rPr>
        <w:lastRenderedPageBreak/>
        <w:t>ЗАТРАТЫ НА РЕАЛИЗАЦИЮ</w:t>
      </w:r>
    </w:p>
    <w:p w:rsidR="00AF61CA" w:rsidRDefault="00000000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>Затраты на реализацию:</w:t>
      </w:r>
    </w:p>
    <w:tbl>
      <w:tblPr>
        <w:tblW w:w="0" w:type="auto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482"/>
        <w:gridCol w:w="2365"/>
        <w:gridCol w:w="2675"/>
      </w:tblGrid>
      <w:tr w:rsidR="00AF61CA"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Стоимость разовая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Сопровождение (год)</w:t>
            </w:r>
          </w:p>
        </w:tc>
      </w:tr>
      <w:tr w:rsidR="00AF61CA">
        <w:trPr>
          <w:trHeight w:val="257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Подготовка технического решения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150 000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274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Развертывание тестовой 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прод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>-сред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закупка оборудования ИЛИ</w:t>
            </w:r>
          </w:p>
          <w:p w:rsidR="00AF61CA" w:rsidRDefault="00000000">
            <w:pPr>
              <w:keepNext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аренда "облака"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500 000 ₽</w:t>
            </w:r>
          </w:p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120 000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100 000 ₽</w:t>
            </w:r>
          </w:p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700 000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установка программного обеспечения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150 000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Разработка технической документации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60 000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Разработка аналитических моделей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650 000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300 000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Разработка WEB-интерфейсов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1 000 000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350 000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Аудит. Получение сертификатов соответствия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350 000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Сопроводительная документация,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регл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оформление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400 000 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Ежегодный аудит информационной безопасности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Развертывание физической среды повышенного уровня защищенности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700 000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Закупка оборудования (датчиков)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300 000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Закупка оборудования (хабы, МК)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Разработка ПАК на базе МК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2 000 000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Интеграция с СКУД БОЛИД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800 000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300 000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Техническая поддержка,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постпроектное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сопровождение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1 200 000 ₽</w:t>
            </w:r>
          </w:p>
        </w:tc>
      </w:tr>
      <w:tr w:rsidR="00AF61CA">
        <w:trPr>
          <w:trHeight w:val="353"/>
        </w:trPr>
        <w:tc>
          <w:tcPr>
            <w:tcW w:w="54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/>
            <w:vAlign w:val="center"/>
          </w:tcPr>
          <w:p w:rsidR="00AF61CA" w:rsidRDefault="00000000">
            <w:pPr>
              <w:keepNext/>
              <w:spacing w:after="0" w:line="276" w:lineRule="auto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</w:rPr>
              <w:t>Итого</w:t>
            </w:r>
          </w:p>
        </w:tc>
        <w:tc>
          <w:tcPr>
            <w:tcW w:w="236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</w:rPr>
              <w:t>7 680 000 ₽</w:t>
            </w:r>
          </w:p>
        </w:tc>
        <w:tc>
          <w:tcPr>
            <w:tcW w:w="2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/>
            <w:vAlign w:val="center"/>
          </w:tcPr>
          <w:p w:rsidR="00AF61CA" w:rsidRDefault="00000000">
            <w:pPr>
              <w:keepNext/>
              <w:spacing w:after="0"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</w:rPr>
              <w:t>3 750 000 ₽</w:t>
            </w:r>
          </w:p>
        </w:tc>
      </w:tr>
    </w:tbl>
    <w:p w:rsidR="00AF61CA" w:rsidRDefault="00AF61CA">
      <w:pPr>
        <w:pStyle w:val="HLD"/>
        <w:rPr>
          <w:color w:val="000000" w:themeColor="text1"/>
        </w:rPr>
      </w:pPr>
    </w:p>
    <w:p w:rsidR="00AF61CA" w:rsidRDefault="00000000">
      <w:pPr>
        <w:pStyle w:val="HLD"/>
        <w:rPr>
          <w:color w:val="000000" w:themeColor="text1"/>
        </w:rPr>
      </w:pPr>
      <w:r>
        <w:rPr>
          <w:i/>
          <w:color w:val="000000" w:themeColor="text1"/>
        </w:rPr>
        <w:t>*стоимость сопровождения – максимальные возможные затраты согласно коммерческим предложениям, в случае использования собственного ресурса – стоимость работы персонала по проекту, расчет от ставки часа, умноженной на плановое количество часов работы по проекту согласно рабочему плану</w:t>
      </w:r>
      <w:r>
        <w:rPr>
          <w:color w:val="000000" w:themeColor="text1"/>
        </w:rPr>
        <w:t xml:space="preserve">. </w:t>
      </w:r>
    </w:p>
    <w:p w:rsidR="00AF61CA" w:rsidRDefault="00000000">
      <w:pPr>
        <w:pStyle w:val="HLD"/>
        <w:rPr>
          <w:i/>
          <w:color w:val="000000" w:themeColor="text1"/>
        </w:rPr>
      </w:pPr>
      <w:r>
        <w:rPr>
          <w:i/>
          <w:color w:val="000000" w:themeColor="text1"/>
        </w:rPr>
        <w:t>**Цены актуальны на январь 2023 года</w:t>
      </w:r>
    </w:p>
    <w:p w:rsidR="00AF61CA" w:rsidRDefault="00000000">
      <w:pPr>
        <w:pStyle w:val="HLD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F61CA" w:rsidRDefault="00000000">
      <w:pPr>
        <w:pStyle w:val="af2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</w:rPr>
      </w:pPr>
      <w:bookmarkStart w:id="17" w:name="__RefHeading___16"/>
      <w:bookmarkEnd w:id="17"/>
      <w:r>
        <w:rPr>
          <w:sz w:val="32"/>
        </w:rPr>
        <w:lastRenderedPageBreak/>
        <w:t>РЕАЛИЗАЦИЯ РЕШЕНИЯ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Данная система разворачивается в локальном контуре компании без возможности внешнего доступа. Передача в аренду ПАК как сервиса не предполагается. Удаленные лаборатории компании подключаются в частную виртуальную сеть согласно требованиям информационной безопасности Компании. 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Исходя из чего, ниже описаны две категории работ:</w:t>
      </w:r>
    </w:p>
    <w:p w:rsidR="00AF61CA" w:rsidRDefault="00000000">
      <w:pPr>
        <w:pStyle w:val="HLD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Разовое разворачивание инстанса в локальном контуре, где описаны работы по установке и настройке системы (подробнее в стадиях работ П5.1)</w:t>
      </w:r>
    </w:p>
    <w:p w:rsidR="00AF61CA" w:rsidRDefault="00000000">
      <w:pPr>
        <w:pStyle w:val="HLD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Клонирование развернутого ПАК, создание готовых сборок для развертывания комплекса в удаленных лабораториях, для передачи готового комплекса новым лабораториям согласно графику открытия лабораторий (подробнее в стадиях работ П5.2)</w:t>
      </w: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8" w:name="__RefHeading___17"/>
      <w:bookmarkEnd w:id="18"/>
      <w:r>
        <w:rPr>
          <w:sz w:val="28"/>
        </w:rPr>
        <w:t>Стадии работ над проектом: instance – часть. Трудозатраты</w:t>
      </w:r>
    </w:p>
    <w:p w:rsidR="00AF61CA" w:rsidRDefault="00000000">
      <w:pPr>
        <w:pStyle w:val="HLD"/>
        <w:rPr>
          <w:color w:val="000000" w:themeColor="text1"/>
        </w:rPr>
      </w:pPr>
      <w:r>
        <w:rPr>
          <w:color w:val="000000" w:themeColor="text1"/>
        </w:rPr>
        <w:t xml:space="preserve">Перечисленные ниже работы относятся к разворачиванию инстанса в частном облаке в кластерах Компании. </w:t>
      </w:r>
    </w:p>
    <w:p w:rsidR="00AF61CA" w:rsidRDefault="00AF61CA">
      <w:pPr>
        <w:pStyle w:val="HLD"/>
        <w:rPr>
          <w:color w:val="000000" w:themeColor="text1"/>
        </w:rPr>
      </w:pPr>
    </w:p>
    <w:tbl>
      <w:tblPr>
        <w:tblW w:w="0" w:type="auto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44"/>
        <w:gridCol w:w="4645"/>
        <w:gridCol w:w="4537"/>
        <w:gridCol w:w="872"/>
      </w:tblGrid>
      <w:tr w:rsidR="00AF61CA">
        <w:trPr>
          <w:trHeight w:val="855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</w:t>
            </w: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Выполняемая работа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Ответственное подразделение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</w:rPr>
              <w:t>Трудозатраты, человеко-часы</w:t>
            </w:r>
          </w:p>
        </w:tc>
      </w:tr>
      <w:tr w:rsidR="00AF61CA">
        <w:trPr>
          <w:trHeight w:val="315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 </w:t>
            </w:r>
          </w:p>
        </w:tc>
      </w:tr>
      <w:tr w:rsidR="00AF61CA">
        <w:trPr>
          <w:trHeight w:val="453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</w:tc>
        <w:tc>
          <w:tcPr>
            <w:tcW w:w="1005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Проектно-изыскательская работа</w:t>
            </w:r>
          </w:p>
        </w:tc>
      </w:tr>
      <w:tr w:rsidR="00AF61CA">
        <w:trPr>
          <w:trHeight w:val="525"/>
        </w:trPr>
        <w:tc>
          <w:tcPr>
            <w:tcW w:w="44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rPr>
                <w:color w:val="000000" w:themeColor="text1"/>
              </w:rPr>
            </w:pPr>
            <w:r>
              <w:t>1.1. Формирование требований к ресурсам ВМ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Проектирование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20</w:t>
            </w:r>
          </w:p>
        </w:tc>
      </w:tr>
      <w:tr w:rsidR="00AF61CA">
        <w:trPr>
          <w:trHeight w:val="52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rPr>
                <w:color w:val="000000" w:themeColor="text1"/>
              </w:rPr>
            </w:pPr>
            <w:r>
              <w:t>1.2. Формирование требований к сетевой инфраструктуре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Техноструктура</w:t>
            </w:r>
            <w:proofErr w:type="spellEnd"/>
            <w:r>
              <w:rPr>
                <w:color w:val="000000" w:themeColor="text1"/>
              </w:rPr>
              <w:t xml:space="preserve"> , Служба </w:t>
            </w:r>
            <w:proofErr w:type="spellStart"/>
            <w:r>
              <w:rPr>
                <w:color w:val="000000" w:themeColor="text1"/>
              </w:rPr>
              <w:t>инф.безопасности</w:t>
            </w:r>
            <w:proofErr w:type="spellEnd"/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30</w:t>
            </w:r>
          </w:p>
        </w:tc>
      </w:tr>
      <w:tr w:rsidR="00AF61CA">
        <w:trPr>
          <w:trHeight w:val="587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rPr>
                <w:color w:val="000000" w:themeColor="text1"/>
              </w:rPr>
            </w:pPr>
            <w:r>
              <w:t>1.3. Выделение ресурсов под размещаемую систему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Техноструктура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30</w:t>
            </w:r>
          </w:p>
        </w:tc>
      </w:tr>
      <w:tr w:rsidR="00AF61CA">
        <w:trPr>
          <w:trHeight w:val="437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2</w:t>
            </w:r>
          </w:p>
        </w:tc>
        <w:tc>
          <w:tcPr>
            <w:tcW w:w="1005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Инсталляционные работы</w:t>
            </w:r>
          </w:p>
        </w:tc>
      </w:tr>
      <w:tr w:rsidR="00AF61CA">
        <w:trPr>
          <w:trHeight w:val="612"/>
        </w:trPr>
        <w:tc>
          <w:tcPr>
            <w:tcW w:w="44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  <w:sz w:val="20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jc w:val="both"/>
              <w:rPr>
                <w:color w:val="000000" w:themeColor="text1"/>
              </w:rPr>
            </w:pPr>
            <w:r>
              <w:t>2.1. Организация удаленного доступа к выделенным вычислительным ресурсам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Техноструктура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</w:t>
            </w:r>
          </w:p>
        </w:tc>
      </w:tr>
      <w:tr w:rsidR="00AF61CA">
        <w:trPr>
          <w:trHeight w:val="31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jc w:val="both"/>
              <w:rPr>
                <w:color w:val="000000" w:themeColor="text1"/>
              </w:rPr>
            </w:pPr>
            <w:r>
              <w:t>2.3. Установка ОС</w:t>
            </w:r>
          </w:p>
        </w:tc>
        <w:tc>
          <w:tcPr>
            <w:tcW w:w="453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pStyle w:val="Table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Техноструктура</w:t>
            </w:r>
            <w:proofErr w:type="spellEnd"/>
            <w:r>
              <w:rPr>
                <w:color w:val="000000" w:themeColor="text1"/>
              </w:rPr>
              <w:t xml:space="preserve"> + </w:t>
            </w:r>
            <w:proofErr w:type="spellStart"/>
            <w:r>
              <w:rPr>
                <w:color w:val="000000" w:themeColor="text1"/>
              </w:rPr>
              <w:t>DevOps</w:t>
            </w:r>
            <w:proofErr w:type="spellEnd"/>
            <w:r>
              <w:rPr>
                <w:color w:val="000000" w:themeColor="text1"/>
              </w:rPr>
              <w:t xml:space="preserve"> Вася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</w:t>
            </w:r>
          </w:p>
        </w:tc>
      </w:tr>
      <w:tr w:rsidR="00AF61CA">
        <w:trPr>
          <w:trHeight w:val="31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jc w:val="both"/>
              <w:rPr>
                <w:color w:val="000000" w:themeColor="text1"/>
              </w:rPr>
            </w:pPr>
            <w:r>
              <w:t>2.4. Установка MQTT-брокера и сопутствующего окружения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15</w:t>
            </w:r>
          </w:p>
        </w:tc>
      </w:tr>
      <w:tr w:rsidR="00AF61CA">
        <w:trPr>
          <w:trHeight w:val="52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jc w:val="both"/>
              <w:rPr>
                <w:color w:val="000000" w:themeColor="text1"/>
              </w:rPr>
            </w:pPr>
            <w:r>
              <w:t>2.5. Проверка доступности серверов для сканеров (</w:t>
            </w:r>
            <w:proofErr w:type="spellStart"/>
            <w:r>
              <w:t>OpenVAS</w:t>
            </w:r>
            <w:proofErr w:type="spellEnd"/>
            <w:r>
              <w:t>), согласование среды с ИБ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pStyle w:val="Table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Служба </w:t>
            </w:r>
            <w:proofErr w:type="spellStart"/>
            <w:r>
              <w:rPr>
                <w:color w:val="000000" w:themeColor="text1"/>
              </w:rPr>
              <w:t>инф.безопасности</w:t>
            </w:r>
            <w:proofErr w:type="spellEnd"/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40</w:t>
            </w:r>
          </w:p>
        </w:tc>
      </w:tr>
      <w:tr w:rsidR="00AF61CA">
        <w:trPr>
          <w:trHeight w:val="463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3</w:t>
            </w:r>
          </w:p>
        </w:tc>
        <w:tc>
          <w:tcPr>
            <w:tcW w:w="1005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Пусконаладочные работы</w:t>
            </w:r>
          </w:p>
        </w:tc>
      </w:tr>
      <w:tr w:rsidR="00AF61CA">
        <w:trPr>
          <w:trHeight w:val="1020"/>
        </w:trPr>
        <w:tc>
          <w:tcPr>
            <w:tcW w:w="44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3.1. Организация доступа к системе СКУД Болид, запуск интеграции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+ Внешний подрядчик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100</w:t>
            </w:r>
          </w:p>
        </w:tc>
      </w:tr>
      <w:tr w:rsidR="00AF61CA">
        <w:trPr>
          <w:trHeight w:val="76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3.2. Развертывание </w:t>
            </w:r>
            <w:proofErr w:type="spellStart"/>
            <w:r>
              <w:rPr>
                <w:rFonts w:ascii="Times New Roman" w:hAnsi="Times New Roman"/>
                <w:sz w:val="20"/>
              </w:rPr>
              <w:t>web</w:t>
            </w:r>
            <w:proofErr w:type="spellEnd"/>
            <w:r>
              <w:rPr>
                <w:rFonts w:ascii="Times New Roman" w:hAnsi="Times New Roman"/>
                <w:sz w:val="20"/>
              </w:rPr>
              <w:t>-среды доступа к монитору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+ Внешний подрядчик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100</w:t>
            </w:r>
          </w:p>
        </w:tc>
      </w:tr>
      <w:tr w:rsidR="00AF61CA">
        <w:trPr>
          <w:trHeight w:val="103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3.3. Установка оборудования на местах, наладка связи, проверка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+ внешний подрядчик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300</w:t>
            </w:r>
          </w:p>
        </w:tc>
      </w:tr>
      <w:tr w:rsidR="00AF61CA">
        <w:trPr>
          <w:trHeight w:val="300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3.4. Проверка подключения устройств к серверу, получения ID из сообщений</w:t>
            </w:r>
          </w:p>
        </w:tc>
        <w:tc>
          <w:tcPr>
            <w:tcW w:w="453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7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</w:t>
            </w:r>
          </w:p>
        </w:tc>
      </w:tr>
      <w:tr w:rsidR="00AF61CA">
        <w:trPr>
          <w:trHeight w:val="24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33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3.5.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Проверка работы системы в штатном режиме</w:t>
            </w:r>
          </w:p>
        </w:tc>
        <w:tc>
          <w:tcPr>
            <w:tcW w:w="453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+ Служба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инф.безопасности</w:t>
            </w:r>
            <w:proofErr w:type="spellEnd"/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200</w:t>
            </w:r>
          </w:p>
        </w:tc>
      </w:tr>
      <w:tr w:rsidR="00AF61CA">
        <w:trPr>
          <w:trHeight w:val="52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3.6.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Проверка работы системы при нештатных ситуациях (моделирование отклонений)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200</w:t>
            </w:r>
          </w:p>
        </w:tc>
      </w:tr>
      <w:tr w:rsidR="00AF61CA">
        <w:trPr>
          <w:trHeight w:val="52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3.7.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Стресс-тест (возможность влияния на передаваемые сигналы)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</w:t>
            </w:r>
          </w:p>
        </w:tc>
      </w:tr>
      <w:tr w:rsidR="00AF61CA">
        <w:trPr>
          <w:trHeight w:val="72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3.8.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Настройка ролевой модели, выдача прав пользователей, составление матрицы угроз по уровням доступа пользователей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</w:rPr>
            </w:pPr>
            <w:r>
              <w:rPr>
                <w:rFonts w:ascii="Times New Roman" w:hAnsi="Times New Roman"/>
                <w:color w:val="000000" w:themeColor="text1"/>
                <w:sz w:val="16"/>
              </w:rPr>
              <w:t>100</w:t>
            </w:r>
          </w:p>
        </w:tc>
      </w:tr>
      <w:tr w:rsidR="00AF61CA">
        <w:trPr>
          <w:trHeight w:val="31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3.9.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Проверка работы инсталлированной системы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40</w:t>
            </w:r>
          </w:p>
        </w:tc>
      </w:tr>
      <w:tr w:rsidR="00AF61CA">
        <w:trPr>
          <w:trHeight w:val="300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3.10. Настройка правил маршрутизации, отслеживания угроз и отклонений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Служба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инф.безопасности</w:t>
            </w:r>
            <w:proofErr w:type="spellEnd"/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40</w:t>
            </w:r>
          </w:p>
        </w:tc>
      </w:tr>
      <w:tr w:rsidR="00AF61CA">
        <w:trPr>
          <w:trHeight w:val="510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69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4</w:t>
            </w:r>
          </w:p>
        </w:tc>
        <w:tc>
          <w:tcPr>
            <w:tcW w:w="1005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Проведение приемосдаточных испытаний</w:t>
            </w:r>
          </w:p>
        </w:tc>
      </w:tr>
      <w:tr w:rsidR="00AF61CA">
        <w:trPr>
          <w:trHeight w:val="780"/>
        </w:trPr>
        <w:tc>
          <w:tcPr>
            <w:tcW w:w="44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4.1.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 xml:space="preserve">Проверка доступности (аккаунта, созданного </w:t>
            </w:r>
            <w:r>
              <w:rPr>
                <w:rFonts w:ascii="Times New Roman" w:hAnsi="Times New Roman"/>
                <w:b/>
                <w:sz w:val="20"/>
              </w:rPr>
              <w:t>мастер</w:t>
            </w:r>
            <w:r>
              <w:rPr>
                <w:rFonts w:ascii="Times New Roman" w:hAnsi="Times New Roman"/>
                <w:sz w:val="20"/>
              </w:rPr>
              <w:t>-администратора, функциональности администратора)</w:t>
            </w:r>
          </w:p>
        </w:tc>
        <w:tc>
          <w:tcPr>
            <w:tcW w:w="453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, внешние подрядчики, аудитор службы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инф.безопасности</w:t>
            </w:r>
            <w:proofErr w:type="spellEnd"/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</w:t>
            </w:r>
          </w:p>
        </w:tc>
      </w:tr>
      <w:tr w:rsidR="00AF61CA">
        <w:trPr>
          <w:trHeight w:val="259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4.2.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Проверка прохождения сценариев тестирования (документирование после проведения пунктов 3.1-3.10)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</w:t>
            </w:r>
          </w:p>
        </w:tc>
      </w:tr>
      <w:tr w:rsidR="00AF61CA">
        <w:trPr>
          <w:trHeight w:val="52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4.3.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Проверка успешности интеграционных взаимодействий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</w:t>
            </w:r>
          </w:p>
        </w:tc>
      </w:tr>
      <w:tr w:rsidR="00AF61CA">
        <w:trPr>
          <w:trHeight w:val="397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5</w:t>
            </w:r>
          </w:p>
        </w:tc>
        <w:tc>
          <w:tcPr>
            <w:tcW w:w="1005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Завершение работы по построению системы</w:t>
            </w:r>
          </w:p>
        </w:tc>
      </w:tr>
      <w:tr w:rsidR="00AF61CA">
        <w:trPr>
          <w:trHeight w:val="819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5.1.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Подписание акта ввода в эксплуатацию НМА, передача документации в финансовую службу для формирования стоимости НМА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>, внешние подрядчики, финансовая служба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</w:t>
            </w:r>
          </w:p>
        </w:tc>
      </w:tr>
      <w:tr w:rsidR="00AF61CA">
        <w:trPr>
          <w:trHeight w:val="819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5.1.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Юридическое оформление сформированного НМА, в т.ч получение патента при необходимости и возможности</w:t>
            </w:r>
          </w:p>
        </w:tc>
        <w:tc>
          <w:tcPr>
            <w:tcW w:w="45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Юридическая служба, финансовая служба</w:t>
            </w:r>
          </w:p>
        </w:tc>
        <w:tc>
          <w:tcPr>
            <w:tcW w:w="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</w:t>
            </w:r>
          </w:p>
        </w:tc>
      </w:tr>
      <w:tr w:rsidR="00AF61CA">
        <w:trPr>
          <w:trHeight w:val="357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6</w:t>
            </w:r>
          </w:p>
        </w:tc>
        <w:tc>
          <w:tcPr>
            <w:tcW w:w="1005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Эксплуатация системы</w:t>
            </w:r>
          </w:p>
        </w:tc>
      </w:tr>
      <w:tr w:rsidR="00AF61CA">
        <w:trPr>
          <w:trHeight w:val="315"/>
        </w:trPr>
        <w:tc>
          <w:tcPr>
            <w:tcW w:w="44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6.1.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Обновление ОС</w:t>
            </w:r>
          </w:p>
        </w:tc>
        <w:tc>
          <w:tcPr>
            <w:tcW w:w="453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Техноструктура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в рамках текущих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должностых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обязанностей</w:t>
            </w:r>
          </w:p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Служба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инф.безопасности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в рамках текущих должностных обязанностей</w:t>
            </w:r>
          </w:p>
        </w:tc>
        <w:tc>
          <w:tcPr>
            <w:tcW w:w="87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  <w:tr w:rsidR="00AF61CA">
        <w:trPr>
          <w:trHeight w:val="31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6.2.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Обновление компонентов системы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31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6.3.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Мониторинг работоспособности ОС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52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6.4.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Мониторинг работоспособности компонентов системы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503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6.5. Продление </w:t>
            </w:r>
            <w:proofErr w:type="spellStart"/>
            <w:r>
              <w:rPr>
                <w:rFonts w:ascii="Times New Roman" w:hAnsi="Times New Roman"/>
                <w:sz w:val="20"/>
              </w:rPr>
              <w:t>лицензийr</w:t>
            </w:r>
            <w:proofErr w:type="spellEnd"/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339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6.6. Продление SSL сертификатов для домена 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765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6.7. Поддержка платформы виртуализации и системы </w:t>
            </w:r>
            <w:proofErr w:type="spellStart"/>
            <w:r>
              <w:rPr>
                <w:rFonts w:ascii="Times New Roman" w:hAnsi="Times New Roman"/>
                <w:sz w:val="20"/>
              </w:rPr>
              <w:t>бэкапирования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с процессом </w:t>
            </w:r>
            <w:proofErr w:type="spellStart"/>
            <w:r>
              <w:rPr>
                <w:rFonts w:ascii="Times New Roman" w:hAnsi="Times New Roman"/>
                <w:sz w:val="20"/>
              </w:rPr>
              <w:t>бэкапирования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VM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300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6.8 Решение проблем с сетевым доступом на FW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256"/>
        </w:trPr>
        <w:tc>
          <w:tcPr>
            <w:tcW w:w="444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6.9. Реагирование на события от данного сервера 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472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6.10.  Выделение и обновление виртуальных ресурсов 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  <w:tr w:rsidR="00AF61CA">
        <w:trPr>
          <w:trHeight w:val="401"/>
        </w:trPr>
        <w:tc>
          <w:tcPr>
            <w:tcW w:w="4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6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6.11 Обработка событий безопасности </w:t>
            </w:r>
          </w:p>
        </w:tc>
        <w:tc>
          <w:tcPr>
            <w:tcW w:w="4537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AF61CA"/>
        </w:tc>
        <w:tc>
          <w:tcPr>
            <w:tcW w:w="87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</w:tr>
    </w:tbl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9" w:name="__RefHeading___18"/>
      <w:bookmarkEnd w:id="19"/>
      <w:r>
        <w:rPr>
          <w:sz w:val="28"/>
        </w:rPr>
        <w:t>Стадии работ над проектом: SaaS – часть. Трудозатраты</w:t>
      </w:r>
    </w:p>
    <w:p w:rsidR="00AF61CA" w:rsidRDefault="00000000">
      <w:pPr>
        <w:pStyle w:val="HLD"/>
        <w:rPr>
          <w:color w:val="000000" w:themeColor="text1"/>
        </w:rPr>
      </w:pPr>
      <w:r>
        <w:rPr>
          <w:color w:val="000000" w:themeColor="text1"/>
        </w:rPr>
        <w:t xml:space="preserve">Перечисленные ниже работы относятся к клонированию базовых настроек и окружения для быстрого развертывания. </w:t>
      </w:r>
    </w:p>
    <w:p w:rsidR="00AF61CA" w:rsidRDefault="00AF61CA">
      <w:pPr>
        <w:pStyle w:val="HLD"/>
        <w:rPr>
          <w:color w:val="000000" w:themeColor="text1"/>
        </w:rPr>
      </w:pPr>
    </w:p>
    <w:tbl>
      <w:tblPr>
        <w:tblW w:w="0" w:type="auto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4283"/>
        <w:gridCol w:w="4282"/>
        <w:gridCol w:w="1105"/>
      </w:tblGrid>
      <w:tr w:rsidR="00AF61CA">
        <w:trPr>
          <w:trHeight w:val="855"/>
        </w:trPr>
        <w:tc>
          <w:tcPr>
            <w:tcW w:w="8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</w:t>
            </w:r>
          </w:p>
        </w:tc>
        <w:tc>
          <w:tcPr>
            <w:tcW w:w="42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Выполняемая работа</w:t>
            </w:r>
          </w:p>
        </w:tc>
        <w:tc>
          <w:tcPr>
            <w:tcW w:w="4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Ответственное подразделение</w:t>
            </w:r>
          </w:p>
        </w:tc>
        <w:tc>
          <w:tcPr>
            <w:tcW w:w="1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</w:rPr>
              <w:t>Трудозатраты,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</w:rPr>
              <w:br/>
              <w:t>человеко-часы</w:t>
            </w:r>
          </w:p>
        </w:tc>
      </w:tr>
      <w:tr w:rsidR="00AF61CA">
        <w:trPr>
          <w:trHeight w:val="330"/>
        </w:trPr>
        <w:tc>
          <w:tcPr>
            <w:tcW w:w="8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2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4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1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 </w:t>
            </w:r>
          </w:p>
        </w:tc>
      </w:tr>
      <w:tr w:rsidR="00AF61CA">
        <w:trPr>
          <w:trHeight w:val="315"/>
        </w:trPr>
        <w:tc>
          <w:tcPr>
            <w:tcW w:w="8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</w:tc>
        <w:tc>
          <w:tcPr>
            <w:tcW w:w="96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Клонирование окружения</w:t>
            </w:r>
          </w:p>
        </w:tc>
      </w:tr>
      <w:tr w:rsidR="00AF61CA">
        <w:trPr>
          <w:trHeight w:val="525"/>
        </w:trPr>
        <w:tc>
          <w:tcPr>
            <w:tcW w:w="82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2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1.1.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оздание виртуальных машин с базовыми настройками</w:t>
            </w:r>
          </w:p>
        </w:tc>
        <w:tc>
          <w:tcPr>
            <w:tcW w:w="4282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1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20</w:t>
            </w:r>
          </w:p>
        </w:tc>
      </w:tr>
      <w:tr w:rsidR="00AF61CA">
        <w:trPr>
          <w:trHeight w:val="525"/>
        </w:trPr>
        <w:tc>
          <w:tcPr>
            <w:tcW w:w="829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2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1.2.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Создание скрипто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в для разворачивания необходимого ПО</w:t>
            </w:r>
          </w:p>
        </w:tc>
        <w:tc>
          <w:tcPr>
            <w:tcW w:w="428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1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</w:t>
            </w:r>
          </w:p>
        </w:tc>
      </w:tr>
      <w:tr w:rsidR="00AF61CA">
        <w:trPr>
          <w:trHeight w:val="525"/>
        </w:trPr>
        <w:tc>
          <w:tcPr>
            <w:tcW w:w="829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2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1.3.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Разработка инструкций для администраторов</w:t>
            </w:r>
          </w:p>
        </w:tc>
        <w:tc>
          <w:tcPr>
            <w:tcW w:w="428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1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</w:t>
            </w:r>
          </w:p>
        </w:tc>
      </w:tr>
      <w:tr w:rsidR="00AF61CA">
        <w:trPr>
          <w:trHeight w:val="525"/>
        </w:trPr>
        <w:tc>
          <w:tcPr>
            <w:tcW w:w="829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2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1.4.</w:t>
            </w:r>
            <w:r>
              <w:rPr>
                <w:rFonts w:ascii="Times New Roman" w:hAnsi="Times New Roman"/>
                <w:sz w:val="14"/>
              </w:rPr>
              <w:t xml:space="preserve">  </w:t>
            </w:r>
            <w:r>
              <w:rPr>
                <w:rFonts w:ascii="Times New Roman" w:hAnsi="Times New Roman"/>
                <w:sz w:val="20"/>
              </w:rPr>
              <w:t>С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оздание центрального хранилища виртуальных машин и данных для выполнения скриптов</w:t>
            </w:r>
          </w:p>
        </w:tc>
        <w:tc>
          <w:tcPr>
            <w:tcW w:w="428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1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100</w:t>
            </w:r>
          </w:p>
        </w:tc>
      </w:tr>
      <w:tr w:rsidR="00AF61CA">
        <w:trPr>
          <w:trHeight w:val="419"/>
        </w:trPr>
        <w:tc>
          <w:tcPr>
            <w:tcW w:w="829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42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1.5 Ввод сервера в эксплуатацию, подключение в периметр безопасности организации</w:t>
            </w:r>
          </w:p>
        </w:tc>
        <w:tc>
          <w:tcPr>
            <w:tcW w:w="4282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/>
        </w:tc>
        <w:tc>
          <w:tcPr>
            <w:tcW w:w="1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50</w:t>
            </w:r>
          </w:p>
        </w:tc>
      </w:tr>
    </w:tbl>
    <w:p w:rsidR="00AF61CA" w:rsidRDefault="00AF61CA">
      <w:pPr>
        <w:pStyle w:val="HLD"/>
        <w:rPr>
          <w:color w:val="000000" w:themeColor="text1"/>
          <w:sz w:val="20"/>
        </w:rPr>
      </w:pPr>
    </w:p>
    <w:p w:rsidR="00AF61CA" w:rsidRDefault="00000000">
      <w:pPr>
        <w:pStyle w:val="aa"/>
        <w:numPr>
          <w:ilvl w:val="1"/>
          <w:numId w:val="1"/>
        </w:numPr>
        <w:spacing w:before="680" w:after="440" w:line="360" w:lineRule="auto"/>
        <w:outlineLvl w:val="1"/>
        <w:rPr>
          <w:sz w:val="28"/>
        </w:rPr>
      </w:pPr>
      <w:bookmarkStart w:id="20" w:name="__RefHeading___19"/>
      <w:bookmarkEnd w:id="20"/>
      <w:r>
        <w:rPr>
          <w:sz w:val="28"/>
        </w:rPr>
        <w:t>Ответственность заказчика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Заказчиком ПАК является организация сектора ОПК. Ответственность сторон регламентируется внутренними регламентами, федеральными нормативными актами. Заказчик полностью несет ответственность в части обеспечения информационной безопасности ПАК, проведения тестирования, сертификации и ежегодного аудита, а также сопутствующих и обслуживающих систем, таких как электроснабжение, пожаротушение и пр.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Не допускается передача критичной информации о работе комплекса без соблюдения всех законодательных норм и обязательных процедур согласования, утвержденных внутренними регламентами Компании.</w:t>
      </w:r>
    </w:p>
    <w:p w:rsidR="00AF61CA" w:rsidRDefault="00000000">
      <w:pPr>
        <w:rPr>
          <w:rFonts w:ascii="Arial" w:hAnsi="Arial"/>
          <w:b/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p w:rsidR="00AF61CA" w:rsidRDefault="00000000">
      <w:pPr>
        <w:pStyle w:val="af2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</w:rPr>
      </w:pPr>
      <w:bookmarkStart w:id="21" w:name="__RefHeading___20"/>
      <w:bookmarkEnd w:id="21"/>
      <w:r>
        <w:rPr>
          <w:sz w:val="32"/>
        </w:rPr>
        <w:lastRenderedPageBreak/>
        <w:t>МОНИТОРИНГ И SLA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 целях обеспечения работоспособности ПАК, мониторинг работы системы проводится 24/7 с использованием автоматизированных средств тестирования. В данном разделе не рассматриваются средства мониторинга и предотвращения проникновения (SIEM-системы), обеспечение информационной безопасности регламентировано внутренними локальными нормативными актами, приказами ФСТЭК, требованиями федерального законодательства и пр. нормативными актами.</w:t>
      </w: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Шаблон мониторинга: Шина данных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Перечень тестов:</w:t>
      </w:r>
    </w:p>
    <w:tbl>
      <w:tblPr>
        <w:tblW w:w="0" w:type="auto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2196"/>
        <w:gridCol w:w="2126"/>
        <w:gridCol w:w="2059"/>
      </w:tblGrid>
      <w:tr w:rsidR="00AF61CA">
        <w:trPr>
          <w:trHeight w:val="330"/>
        </w:trPr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Тест</w:t>
            </w:r>
          </w:p>
        </w:tc>
        <w:tc>
          <w:tcPr>
            <w:tcW w:w="2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Тип теста</w:t>
            </w:r>
          </w:p>
        </w:tc>
        <w:tc>
          <w:tcPr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 xml:space="preserve">Условие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fail</w:t>
            </w:r>
            <w:proofErr w:type="spellEnd"/>
          </w:p>
        </w:tc>
        <w:tc>
          <w:tcPr>
            <w:tcW w:w="20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Период проверки</w:t>
            </w:r>
          </w:p>
        </w:tc>
      </w:tr>
      <w:tr w:rsidR="00AF61CA">
        <w:trPr>
          <w:trHeight w:val="357"/>
        </w:trPr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Отправка/получение сообщения</w:t>
            </w:r>
          </w:p>
        </w:tc>
        <w:tc>
          <w:tcPr>
            <w:tcW w:w="2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сообщение не доставлено</w:t>
            </w:r>
          </w:p>
        </w:tc>
        <w:tc>
          <w:tcPr>
            <w:tcW w:w="20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 час</w:t>
            </w:r>
          </w:p>
        </w:tc>
      </w:tr>
      <w:tr w:rsidR="00AF61CA">
        <w:trPr>
          <w:trHeight w:val="577"/>
        </w:trPr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Нагрузка на оборудование</w:t>
            </w:r>
          </w:p>
        </w:tc>
        <w:tc>
          <w:tcPr>
            <w:tcW w:w="2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более 90%</w:t>
            </w:r>
          </w:p>
        </w:tc>
        <w:tc>
          <w:tcPr>
            <w:tcW w:w="20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непрерывно, оповещение при отклонении</w:t>
            </w:r>
          </w:p>
        </w:tc>
      </w:tr>
      <w:tr w:rsidR="00AF61CA">
        <w:trPr>
          <w:trHeight w:val="525"/>
        </w:trPr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Доступность сервиса по https</w:t>
            </w:r>
          </w:p>
        </w:tc>
        <w:tc>
          <w:tcPr>
            <w:tcW w:w="2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403, 502, 500 и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пр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ошибки</w:t>
            </w:r>
          </w:p>
        </w:tc>
        <w:tc>
          <w:tcPr>
            <w:tcW w:w="20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непрерывно, оповещение при отклонении</w:t>
            </w:r>
          </w:p>
        </w:tc>
      </w:tr>
      <w:tr w:rsidR="00AF61CA">
        <w:trPr>
          <w:trHeight w:val="525"/>
        </w:trPr>
        <w:tc>
          <w:tcPr>
            <w:tcW w:w="4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1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</w:tr>
    </w:tbl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Шаблон мониторинга: Конечные устройства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Перечень тестов:</w:t>
      </w:r>
    </w:p>
    <w:tbl>
      <w:tblPr>
        <w:tblW w:w="0" w:type="auto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124"/>
        <w:gridCol w:w="2175"/>
        <w:gridCol w:w="2087"/>
        <w:gridCol w:w="2114"/>
      </w:tblGrid>
      <w:tr w:rsidR="00AF61CA">
        <w:trPr>
          <w:trHeight w:val="330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Тест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Тип теста</w:t>
            </w: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 xml:space="preserve">Условие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fail</w:t>
            </w:r>
            <w:proofErr w:type="spellEnd"/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Период проверки</w:t>
            </w:r>
          </w:p>
        </w:tc>
      </w:tr>
      <w:tr w:rsidR="00AF61CA">
        <w:trPr>
          <w:trHeight w:val="525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Состояние устройства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нет данных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 день. Отправка статистики самим устройством</w:t>
            </w:r>
          </w:p>
        </w:tc>
      </w:tr>
      <w:tr w:rsidR="00AF61CA">
        <w:trPr>
          <w:trHeight w:val="525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Резервное копирование (работа хаба при отключении сети)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данные не отправлены после восстановления связи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 неделя</w:t>
            </w:r>
          </w:p>
        </w:tc>
      </w:tr>
      <w:tr w:rsidR="00AF61CA">
        <w:trPr>
          <w:trHeight w:val="525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Связь со СКУД. Отправка тестового сообщения на блокировку помещения с последующим снятием блокировки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отсутствует блокировка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 неделя</w:t>
            </w:r>
          </w:p>
        </w:tc>
      </w:tr>
      <w:tr w:rsidR="00AF61CA">
        <w:trPr>
          <w:trHeight w:val="525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Аномальный выход из строя более N устройств (по показаниям систем мониторинга)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отсутствие сообщений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непрерывный режим</w:t>
            </w:r>
          </w:p>
        </w:tc>
      </w:tr>
      <w:tr w:rsidR="00AF61CA">
        <w:trPr>
          <w:trHeight w:val="525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Контроль нарушения физической среды передачи данных (возможен средствами автоматизированного визуального контроля)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обнаружен обрыв, врезка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1 неделя</w:t>
            </w:r>
          </w:p>
        </w:tc>
      </w:tr>
      <w:tr w:rsidR="00AF61CA">
        <w:trPr>
          <w:trHeight w:val="525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Контроль среднего объема поступающей информации (количества сообщений в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</w:rPr>
              <w:t>ед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 времени) с помощью предиктивных моделей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количество больше\меньше целевого на N/в M раз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непрерывный режим</w:t>
            </w:r>
          </w:p>
        </w:tc>
      </w:tr>
      <w:tr w:rsidR="00AF61CA">
        <w:trPr>
          <w:trHeight w:val="525"/>
        </w:trPr>
        <w:tc>
          <w:tcPr>
            <w:tcW w:w="41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Контроль работы предиктивной модели, обучение</w:t>
            </w:r>
          </w:p>
        </w:tc>
        <w:tc>
          <w:tcPr>
            <w:tcW w:w="21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AF61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2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переобучение модели</w:t>
            </w:r>
          </w:p>
        </w:tc>
        <w:tc>
          <w:tcPr>
            <w:tcW w:w="21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AF61CA" w:rsidRDefault="0000000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3-6 месяцев</w:t>
            </w:r>
          </w:p>
        </w:tc>
      </w:tr>
    </w:tbl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000000">
      <w:pPr>
        <w:pStyle w:val="HLD"/>
        <w:ind w:firstLine="709"/>
        <w:rPr>
          <w:i/>
          <w:color w:val="000000" w:themeColor="text1"/>
        </w:rPr>
      </w:pPr>
      <w:r>
        <w:rPr>
          <w:color w:val="000000" w:themeColor="text1"/>
        </w:rPr>
        <w:t>**</w:t>
      </w:r>
      <w:r>
        <w:rPr>
          <w:i/>
          <w:color w:val="000000" w:themeColor="text1"/>
        </w:rPr>
        <w:t>Для расчета вероятность выхода из строя одного устройства принимается как 0.8</w:t>
      </w:r>
    </w:p>
    <w:p w:rsidR="00AF61CA" w:rsidRDefault="00000000">
      <w:pPr>
        <w:pStyle w:val="HLD"/>
        <w:ind w:firstLine="709"/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t>Для оценки аномального выхода из строя принимать для расчета количество устройств в контуре.</w:t>
      </w:r>
    </w:p>
    <w:p w:rsidR="00AF61CA" w:rsidRDefault="0000000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Например, при 10 устройствах вероятность выхода из строя хотя бы одного устройства равна: p = 1 – 0.8^10, то есть выход одного устройства из строя вероятен. Вероятность выхода 5-ти устройств p = 0.8^5*0.2^5 уже достаточно мала. Определить критерий аномального выхода из строя согласно документации оборудования и предельно допустимой вероятности.</w:t>
      </w: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000000">
      <w:pPr>
        <w:pStyle w:val="HL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Соглашение об уровне обслуживания (SLA) </w:t>
      </w:r>
    </w:p>
    <w:p w:rsidR="00AF61CA" w:rsidRDefault="00000000">
      <w:pPr>
        <w:pStyle w:val="HLD"/>
        <w:ind w:firstLine="708"/>
        <w:rPr>
          <w:color w:val="000000" w:themeColor="text1"/>
        </w:rPr>
      </w:pPr>
      <w:r>
        <w:rPr>
          <w:color w:val="000000" w:themeColor="text1"/>
        </w:rPr>
        <w:t>В рамках данного проекта уровень обслуживания и доступности сервиса регламентируется нормативной документацией и  требования информационной безопасности.</w:t>
      </w:r>
    </w:p>
    <w:p w:rsidR="00AF61CA" w:rsidRDefault="00AF61CA">
      <w:pPr>
        <w:pStyle w:val="HLD"/>
        <w:ind w:firstLine="708"/>
        <w:rPr>
          <w:color w:val="000000" w:themeColor="text1"/>
        </w:rPr>
      </w:pP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>техническое описание сервиса, инструкции пользователя и порядок ввода и регистрации данных в системе передаются подразделению первой линии поддержки Организации;</w:t>
      </w: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>сопровождение в рамках описанного функционала производится подразделением первой линии поддержки;</w:t>
      </w: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 xml:space="preserve">при возникновении ситуаций, не описанных в указанной документации, подразделением первой линии поддержки формируется заявка на рассмотрение инцидента (тикет) в существующей системе </w:t>
      </w:r>
      <w:proofErr w:type="spellStart"/>
      <w:r>
        <w:rPr>
          <w:color w:val="000000" w:themeColor="text1"/>
        </w:rPr>
        <w:t>ServiceDesk</w:t>
      </w:r>
      <w:proofErr w:type="spellEnd"/>
      <w:r>
        <w:rPr>
          <w:color w:val="000000" w:themeColor="text1"/>
        </w:rPr>
        <w:t>;</w:t>
      </w: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 xml:space="preserve">срок рассмотрения </w:t>
      </w:r>
      <w:proofErr w:type="spellStart"/>
      <w:r>
        <w:rPr>
          <w:color w:val="000000" w:themeColor="text1"/>
        </w:rPr>
        <w:t>тикета</w:t>
      </w:r>
      <w:proofErr w:type="spellEnd"/>
      <w:r>
        <w:rPr>
          <w:color w:val="000000" w:themeColor="text1"/>
        </w:rPr>
        <w:t xml:space="preserve"> – 3 рабочих дня с момента регистрации;</w:t>
      </w: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 xml:space="preserve">при подтверждении инцидента стандартный срок внесения изменений в функционал – 3 рабочих дня. Срок может быть увеличен в зависимости от сложности реализуемой функции; </w:t>
      </w: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>Исправление критичных ошибок кода (аппаратные ошибки, вызванные некорректной реализацией программного кода, ошибки передачи данных, нарушения на линии связи между устройствами) должны быть устранены в кратчайшие разумные сроки, произведена замена физических устройств в случае поломки/повреждения в результате некорректной работы программного обеспечения;</w:t>
      </w: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>разрабатываемая предиктивная модель основывается на собранных данных за N лет в Организации, методика – детектирование аномалий. Передача данных осуществляется после подписания NDA  с подрядчиком, данные являются собственностью Организации и не подлежат публикации;</w:t>
      </w:r>
    </w:p>
    <w:p w:rsidR="00AF61CA" w:rsidRDefault="00000000">
      <w:pPr>
        <w:pStyle w:val="HLD"/>
        <w:numPr>
          <w:ilvl w:val="0"/>
          <w:numId w:val="11"/>
        </w:numPr>
        <w:ind w:left="1417"/>
        <w:rPr>
          <w:color w:val="000000" w:themeColor="text1"/>
        </w:rPr>
      </w:pPr>
      <w:r>
        <w:rPr>
          <w:color w:val="000000" w:themeColor="text1"/>
        </w:rPr>
        <w:t>для обеспечения поддержки работоспособности предиктивной модели и WEB-интерфейса разрабатываемого сервиса требуется заключение договора сопровождения с аттестованными компаниями. Закупка осуществляется путем сбора коммерческих предложений и выбора наиболее оптимальных условий сопровождения.</w:t>
      </w: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AF61CA">
      <w:pPr>
        <w:pStyle w:val="HLD"/>
        <w:ind w:firstLine="709"/>
        <w:rPr>
          <w:color w:val="000000" w:themeColor="text1"/>
        </w:rPr>
      </w:pPr>
    </w:p>
    <w:p w:rsidR="00AF61CA" w:rsidRDefault="00AF61CA">
      <w:pPr>
        <w:pStyle w:val="HLD"/>
        <w:ind w:firstLine="708"/>
        <w:rPr>
          <w:color w:val="000000" w:themeColor="text1"/>
        </w:rPr>
      </w:pPr>
    </w:p>
    <w:sectPr w:rsidR="00AF61CA">
      <w:headerReference w:type="default" r:id="rId8"/>
      <w:footerReference w:type="default" r:id="rId9"/>
      <w:pgSz w:w="11906" w:h="16838"/>
      <w:pgMar w:top="737" w:right="567" w:bottom="567" w:left="1134" w:header="142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2C26" w:rsidRDefault="003D2C26">
      <w:pPr>
        <w:spacing w:after="0" w:line="240" w:lineRule="auto"/>
      </w:pPr>
      <w:r>
        <w:separator/>
      </w:r>
    </w:p>
  </w:endnote>
  <w:endnote w:type="continuationSeparator" w:id="0">
    <w:p w:rsidR="003D2C26" w:rsidRDefault="003D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Helvetica 45 Light">
    <w:altName w:val="Malgun Gothic"/>
    <w:panose1 w:val="020B0403020202020204"/>
    <w:charset w:val="CC"/>
    <w:family w:val="swiss"/>
    <w:pitch w:val="variable"/>
    <w:sig w:usb0="800000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1CA" w:rsidRDefault="00000000">
    <w:pPr>
      <w:pStyle w:val="aff4"/>
      <w:spacing w:before="120" w:after="120"/>
      <w:rPr>
        <w:rFonts w:ascii="Times New Roman" w:hAnsi="Times New Roman"/>
        <w:sz w:val="17"/>
      </w:rPr>
    </w:pPr>
    <w:r>
      <w:rPr>
        <w:rFonts w:ascii="Times New Roman" w:hAnsi="Times New Roman"/>
        <w:sz w:val="17"/>
      </w:rPr>
      <w:t xml:space="preserve">Автор: / Телефон / </w:t>
    </w:r>
    <w:proofErr w:type="spellStart"/>
    <w:r>
      <w:rPr>
        <w:rFonts w:ascii="Times New Roman" w:hAnsi="Times New Roman"/>
        <w:sz w:val="17"/>
      </w:rPr>
      <w:t>e-mail</w:t>
    </w:r>
    <w:proofErr w:type="spellEnd"/>
    <w:r>
      <w:rPr>
        <w:rFonts w:ascii="Times New Roman" w:hAnsi="Times New Roman"/>
        <w:sz w:val="17"/>
      </w:rPr>
      <w:t xml:space="preserve">: / Учебная версия </w:t>
    </w:r>
    <w:proofErr w:type="spellStart"/>
    <w:r>
      <w:rPr>
        <w:rFonts w:ascii="Times New Roman" w:hAnsi="Times New Roman"/>
        <w:sz w:val="17"/>
      </w:rPr>
      <w:t>GeekBrains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2C26" w:rsidRDefault="003D2C26">
      <w:pPr>
        <w:spacing w:after="0" w:line="240" w:lineRule="auto"/>
      </w:pPr>
      <w:r>
        <w:separator/>
      </w:r>
    </w:p>
  </w:footnote>
  <w:footnote w:type="continuationSeparator" w:id="0">
    <w:p w:rsidR="003D2C26" w:rsidRDefault="003D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1CA" w:rsidRDefault="00000000">
    <w:pPr>
      <w:framePr w:wrap="around" w:vAnchor="text" w:hAnchor="margin" w:xAlign="center" w:y="1"/>
    </w:pPr>
    <w:r>
      <w:rPr>
        <w:rFonts w:ascii="Times New Roman" w:hAnsi="Times New Roman"/>
        <w:b/>
        <w:sz w:val="20"/>
      </w:rPr>
      <w:fldChar w:fldCharType="begin"/>
    </w:r>
    <w:r>
      <w:rPr>
        <w:rFonts w:ascii="Times New Roman" w:hAnsi="Times New Roman"/>
        <w:b/>
        <w:sz w:val="20"/>
      </w:rPr>
      <w:instrText xml:space="preserve">PAGE </w:instrText>
    </w:r>
    <w:r>
      <w:rPr>
        <w:rFonts w:ascii="Times New Roman" w:hAnsi="Times New Roman"/>
        <w:b/>
        <w:sz w:val="20"/>
      </w:rPr>
      <w:fldChar w:fldCharType="separate"/>
    </w:r>
    <w:r w:rsidR="00E62421">
      <w:rPr>
        <w:rFonts w:ascii="Times New Roman" w:hAnsi="Times New Roman"/>
        <w:b/>
        <w:noProof/>
        <w:sz w:val="20"/>
      </w:rPr>
      <w:t>1</w:t>
    </w:r>
    <w:r>
      <w:rPr>
        <w:rFonts w:ascii="Times New Roman" w:hAnsi="Times New Roman"/>
        <w:b/>
        <w:sz w:val="20"/>
      </w:rPr>
      <w:fldChar w:fldCharType="end"/>
    </w:r>
  </w:p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68"/>
      <w:gridCol w:w="2501"/>
      <w:gridCol w:w="2183"/>
      <w:gridCol w:w="2356"/>
    </w:tblGrid>
    <w:tr w:rsidR="00AF61CA">
      <w:trPr>
        <w:trHeight w:val="841"/>
      </w:trPr>
      <w:tc>
        <w:tcPr>
          <w:tcW w:w="31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Название компании / логотип</w:t>
          </w:r>
        </w:p>
      </w:tc>
      <w:tc>
        <w:tcPr>
          <w:tcW w:w="468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widowControl w:val="0"/>
            <w:spacing w:before="20" w:after="0" w:line="240" w:lineRule="auto"/>
            <w:jc w:val="center"/>
            <w:rPr>
              <w:rFonts w:ascii="Times New Roman" w:hAnsi="Times New Roman"/>
              <w:b/>
              <w:sz w:val="28"/>
            </w:rPr>
          </w:pPr>
          <w:bookmarkStart w:id="22" w:name="Subject_sor"/>
          <w:bookmarkEnd w:id="22"/>
          <w:r>
            <w:rPr>
              <w:rFonts w:ascii="Times New Roman" w:hAnsi="Times New Roman"/>
              <w:b/>
              <w:sz w:val="28"/>
            </w:rPr>
            <w:t>«</w:t>
          </w:r>
          <w:r>
            <w:t>Метрологический контроль атмосферных показателей лабораторных помещений</w:t>
          </w:r>
          <w:r>
            <w:rPr>
              <w:rFonts w:ascii="Times New Roman" w:hAnsi="Times New Roman"/>
              <w:b/>
              <w:sz w:val="28"/>
            </w:rPr>
            <w:t>»</w:t>
          </w:r>
        </w:p>
      </w:tc>
      <w:tc>
        <w:tcPr>
          <w:tcW w:w="235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HLD_0001</w:t>
          </w:r>
        </w:p>
      </w:tc>
    </w:tr>
    <w:tr w:rsidR="00AF61CA">
      <w:trPr>
        <w:trHeight w:val="247"/>
      </w:trPr>
      <w:tc>
        <w:tcPr>
          <w:tcW w:w="31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Дата</w:t>
          </w:r>
        </w:p>
      </w:tc>
      <w:tc>
        <w:tcPr>
          <w:tcW w:w="250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Страница</w:t>
          </w: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Всего страниц</w:t>
          </w:r>
        </w:p>
      </w:tc>
      <w:tc>
        <w:tcPr>
          <w:tcW w:w="235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Версия</w:t>
          </w:r>
        </w:p>
      </w:tc>
    </w:tr>
    <w:tr w:rsidR="00AF61CA">
      <w:tc>
        <w:tcPr>
          <w:tcW w:w="31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01.02.2023</w:t>
          </w:r>
        </w:p>
      </w:tc>
      <w:tc>
        <w:tcPr>
          <w:tcW w:w="250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AF61CA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fldChar w:fldCharType="begin"/>
          </w:r>
          <w:r>
            <w:rPr>
              <w:rFonts w:ascii="Times New Roman" w:hAnsi="Times New Roman"/>
              <w:b/>
              <w:sz w:val="20"/>
            </w:rPr>
            <w:instrText xml:space="preserve">NUMPAGES </w:instrText>
          </w:r>
          <w:r>
            <w:rPr>
              <w:rFonts w:ascii="Times New Roman" w:hAnsi="Times New Roman"/>
              <w:b/>
              <w:sz w:val="20"/>
            </w:rPr>
            <w:fldChar w:fldCharType="separate"/>
          </w:r>
          <w:r>
            <w:rPr>
              <w:rFonts w:ascii="Times New Roman" w:hAnsi="Times New Roman"/>
              <w:b/>
              <w:sz w:val="20"/>
            </w:rPr>
            <w:t>17</w:t>
          </w:r>
          <w:r>
            <w:rPr>
              <w:rFonts w:ascii="Times New Roman" w:hAnsi="Times New Roman"/>
              <w:b/>
              <w:sz w:val="20"/>
            </w:rPr>
            <w:fldChar w:fldCharType="end"/>
          </w:r>
        </w:p>
      </w:tc>
      <w:tc>
        <w:tcPr>
          <w:tcW w:w="235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F61CA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1.7</w:t>
          </w:r>
        </w:p>
      </w:tc>
    </w:tr>
  </w:tbl>
  <w:p w:rsidR="00AF61CA" w:rsidRDefault="00AF61C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63C"/>
    <w:multiLevelType w:val="multilevel"/>
    <w:tmpl w:val="1B143E42"/>
    <w:lvl w:ilvl="0">
      <w:start w:val="1"/>
      <w:numFmt w:val="bullet"/>
      <w:lvlText w:val="–"/>
      <w:lvlJc w:val="left"/>
      <w:pPr>
        <w:ind w:left="1417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hAnsi="Wingdings"/>
      </w:rPr>
    </w:lvl>
  </w:abstractNum>
  <w:abstractNum w:abstractNumId="1" w15:restartNumberingAfterBreak="0">
    <w:nsid w:val="0252429D"/>
    <w:multiLevelType w:val="multilevel"/>
    <w:tmpl w:val="91168160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22" w:hanging="480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146" w:hanging="720"/>
      </w:pPr>
    </w:lvl>
    <w:lvl w:ilvl="4">
      <w:start w:val="1"/>
      <w:numFmt w:val="decimal"/>
      <w:lvlText w:val="%1.%2.%3.%4.%5"/>
      <w:lvlJc w:val="left"/>
      <w:pPr>
        <w:ind w:left="1648" w:hanging="1080"/>
      </w:pPr>
    </w:lvl>
    <w:lvl w:ilvl="5">
      <w:start w:val="1"/>
      <w:numFmt w:val="decimal"/>
      <w:lvlText w:val="%1.%2.%3.%4.%5.%6"/>
      <w:lvlJc w:val="left"/>
      <w:pPr>
        <w:ind w:left="1790" w:hanging="1080"/>
      </w:pPr>
    </w:lvl>
    <w:lvl w:ilvl="6">
      <w:start w:val="1"/>
      <w:numFmt w:val="decimal"/>
      <w:lvlText w:val="%1.%2.%3.%4.%5.%6.%7"/>
      <w:lvlJc w:val="left"/>
      <w:pPr>
        <w:ind w:left="2292" w:hanging="1440"/>
      </w:pPr>
    </w:lvl>
    <w:lvl w:ilvl="7">
      <w:start w:val="1"/>
      <w:numFmt w:val="decimal"/>
      <w:lvlText w:val="%1.%2.%3.%4.%5.%6.%7.%8"/>
      <w:lvlJc w:val="left"/>
      <w:pPr>
        <w:ind w:left="2434" w:hanging="1440"/>
      </w:pPr>
    </w:lvl>
    <w:lvl w:ilvl="8">
      <w:start w:val="1"/>
      <w:numFmt w:val="decimal"/>
      <w:lvlText w:val="%1.%2.%3.%4.%5.%6.%7.%8.%9"/>
      <w:lvlJc w:val="left"/>
      <w:pPr>
        <w:ind w:left="2576" w:hanging="1440"/>
      </w:pPr>
    </w:lvl>
  </w:abstractNum>
  <w:abstractNum w:abstractNumId="2" w15:restartNumberingAfterBreak="0">
    <w:nsid w:val="12090584"/>
    <w:multiLevelType w:val="multilevel"/>
    <w:tmpl w:val="85C6826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DC34E6"/>
    <w:multiLevelType w:val="multilevel"/>
    <w:tmpl w:val="2C7294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A844286"/>
    <w:multiLevelType w:val="multilevel"/>
    <w:tmpl w:val="8976DDD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0661DE"/>
    <w:multiLevelType w:val="multilevel"/>
    <w:tmpl w:val="8214D8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79336CE"/>
    <w:multiLevelType w:val="multilevel"/>
    <w:tmpl w:val="56A0BD2E"/>
    <w:lvl w:ilvl="0">
      <w:start w:val="1"/>
      <w:numFmt w:val="bullet"/>
      <w:lvlText w:val="–"/>
      <w:lvlJc w:val="left"/>
      <w:pPr>
        <w:ind w:left="1276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996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716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34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56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876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5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16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7036" w:hanging="360"/>
      </w:pPr>
      <w:rPr>
        <w:rFonts w:ascii="Wingdings" w:hAnsi="Wingdings"/>
      </w:rPr>
    </w:lvl>
  </w:abstractNum>
  <w:abstractNum w:abstractNumId="7" w15:restartNumberingAfterBreak="0">
    <w:nsid w:val="3E795615"/>
    <w:multiLevelType w:val="multilevel"/>
    <w:tmpl w:val="695A1CB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99A5CB1"/>
    <w:multiLevelType w:val="multilevel"/>
    <w:tmpl w:val="55D05E9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ACA4F01"/>
    <w:multiLevelType w:val="multilevel"/>
    <w:tmpl w:val="35EE759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/>
      </w:rPr>
    </w:lvl>
  </w:abstractNum>
  <w:abstractNum w:abstractNumId="10" w15:restartNumberingAfterBreak="0">
    <w:nsid w:val="61E9000B"/>
    <w:multiLevelType w:val="multilevel"/>
    <w:tmpl w:val="A22E557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914390046">
    <w:abstractNumId w:val="1"/>
  </w:num>
  <w:num w:numId="2" w16cid:durableId="209346122">
    <w:abstractNumId w:val="6"/>
  </w:num>
  <w:num w:numId="3" w16cid:durableId="857238929">
    <w:abstractNumId w:val="3"/>
  </w:num>
  <w:num w:numId="4" w16cid:durableId="74056150">
    <w:abstractNumId w:val="9"/>
  </w:num>
  <w:num w:numId="5" w16cid:durableId="1361277088">
    <w:abstractNumId w:val="0"/>
  </w:num>
  <w:num w:numId="6" w16cid:durableId="25176870">
    <w:abstractNumId w:val="8"/>
  </w:num>
  <w:num w:numId="7" w16cid:durableId="437217259">
    <w:abstractNumId w:val="10"/>
  </w:num>
  <w:num w:numId="8" w16cid:durableId="1912042092">
    <w:abstractNumId w:val="4"/>
  </w:num>
  <w:num w:numId="9" w16cid:durableId="76443818">
    <w:abstractNumId w:val="7"/>
  </w:num>
  <w:num w:numId="10" w16cid:durableId="1349915936">
    <w:abstractNumId w:val="2"/>
  </w:num>
  <w:num w:numId="11" w16cid:durableId="765809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1CA"/>
    <w:rsid w:val="002C152E"/>
    <w:rsid w:val="003D2C26"/>
    <w:rsid w:val="00AF61CA"/>
    <w:rsid w:val="00C9269E"/>
    <w:rsid w:val="00D23D94"/>
    <w:rsid w:val="00E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36126"/>
  <w15:docId w15:val="{4200DE2A-1580-D846-88EF-80D86476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 w:after="200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 w:after="200"/>
      <w:outlineLvl w:val="6"/>
    </w:pPr>
    <w:rPr>
      <w:rFonts w:ascii="Arial" w:hAnsi="Arial"/>
      <w:b/>
      <w:i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 w:after="20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 w:after="20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DocumentControlText">
    <w:name w:val="Document Control Text"/>
    <w:basedOn w:val="a"/>
    <w:link w:val="DocumentControlText0"/>
    <w:pPr>
      <w:spacing w:after="0" w:line="240" w:lineRule="auto"/>
      <w:ind w:firstLine="709"/>
    </w:pPr>
    <w:rPr>
      <w:rFonts w:ascii="Arial" w:hAnsi="Arial"/>
      <w:sz w:val="24"/>
    </w:rPr>
  </w:style>
  <w:style w:type="character" w:customStyle="1" w:styleId="DocumentControlText0">
    <w:name w:val="Document Control Text"/>
    <w:basedOn w:val="1"/>
    <w:link w:val="DocumentControlText"/>
    <w:rPr>
      <w:rFonts w:ascii="Arial" w:hAnsi="Arial"/>
      <w:sz w:val="24"/>
    </w:rPr>
  </w:style>
  <w:style w:type="paragraph" w:customStyle="1" w:styleId="toc10">
    <w:name w:val="toc 10"/>
    <w:next w:val="a"/>
    <w:link w:val="toc100"/>
    <w:pPr>
      <w:ind w:left="1800"/>
    </w:pPr>
  </w:style>
  <w:style w:type="character" w:customStyle="1" w:styleId="toc100">
    <w:name w:val="toc 10"/>
    <w:link w:val="toc10"/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customStyle="1" w:styleId="12">
    <w:name w:val="Неразрешенное упоминание1"/>
    <w:basedOn w:val="13"/>
    <w:link w:val="a3"/>
    <w:rPr>
      <w:color w:val="605E5C"/>
      <w:shd w:val="clear" w:color="auto" w:fill="E1DFDD"/>
    </w:rPr>
  </w:style>
  <w:style w:type="character" w:styleId="a3">
    <w:name w:val="Unresolved Mention"/>
    <w:basedOn w:val="a0"/>
    <w:link w:val="12"/>
    <w:rPr>
      <w:color w:val="605E5C"/>
      <w:shd w:val="clear" w:color="auto" w:fill="E1DFDD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"/>
    <w:link w:val="7"/>
    <w:rPr>
      <w:rFonts w:ascii="Arial" w:hAnsi="Arial"/>
      <w:b/>
      <w:i/>
      <w:sz w:val="22"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6">
    <w:name w:val="annotation text"/>
    <w:basedOn w:val="a"/>
    <w:link w:val="a7"/>
    <w:pPr>
      <w:spacing w:line="240" w:lineRule="auto"/>
    </w:pPr>
    <w:rPr>
      <w:sz w:val="20"/>
    </w:rPr>
  </w:style>
  <w:style w:type="character" w:customStyle="1" w:styleId="a7">
    <w:name w:val="Текст примечания Знак"/>
    <w:basedOn w:val="1"/>
    <w:link w:val="a6"/>
    <w:rPr>
      <w:sz w:val="20"/>
    </w:rPr>
  </w:style>
  <w:style w:type="paragraph" w:styleId="a8">
    <w:name w:val="No Spacing"/>
    <w:link w:val="a9"/>
    <w:pPr>
      <w:spacing w:after="0" w:line="240" w:lineRule="auto"/>
    </w:pPr>
  </w:style>
  <w:style w:type="character" w:customStyle="1" w:styleId="a9">
    <w:name w:val="Без интервала Знак"/>
    <w:link w:val="a8"/>
  </w:style>
  <w:style w:type="paragraph" w:styleId="23">
    <w:name w:val="Quote"/>
    <w:basedOn w:val="a"/>
    <w:next w:val="a"/>
    <w:link w:val="24"/>
    <w:pPr>
      <w:ind w:left="720" w:right="720"/>
    </w:pPr>
    <w:rPr>
      <w:i/>
    </w:rPr>
  </w:style>
  <w:style w:type="character" w:customStyle="1" w:styleId="24">
    <w:name w:val="Цитата 2 Знак"/>
    <w:basedOn w:val="1"/>
    <w:link w:val="23"/>
    <w:rPr>
      <w:i/>
    </w:rPr>
  </w:style>
  <w:style w:type="character" w:customStyle="1" w:styleId="90">
    <w:name w:val="Заголовок 9 Знак"/>
    <w:basedOn w:val="1"/>
    <w:link w:val="9"/>
    <w:rPr>
      <w:rFonts w:ascii="Arial" w:hAnsi="Arial"/>
      <w:i/>
      <w:sz w:val="21"/>
    </w:rPr>
  </w:style>
  <w:style w:type="paragraph" w:customStyle="1" w:styleId="Footnote1">
    <w:name w:val="Footnote"/>
    <w:basedOn w:val="a"/>
    <w:link w:val="Footnote2"/>
    <w:pPr>
      <w:spacing w:after="40" w:line="240" w:lineRule="auto"/>
    </w:pPr>
    <w:rPr>
      <w:sz w:val="18"/>
    </w:rPr>
  </w:style>
  <w:style w:type="character" w:customStyle="1" w:styleId="Footnote2">
    <w:name w:val="Footnote"/>
    <w:basedOn w:val="1"/>
    <w:link w:val="Footnote1"/>
    <w:rPr>
      <w:sz w:val="18"/>
    </w:rPr>
  </w:style>
  <w:style w:type="paragraph" w:customStyle="1" w:styleId="13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aa">
    <w:name w:val="Второй уровень"/>
    <w:basedOn w:val="a"/>
    <w:next w:val="a"/>
    <w:link w:val="ab"/>
    <w:pPr>
      <w:spacing w:before="1134" w:after="851" w:line="240" w:lineRule="auto"/>
      <w:ind w:left="709"/>
      <w:jc w:val="both"/>
    </w:pPr>
    <w:rPr>
      <w:rFonts w:ascii="Times New Roman" w:hAnsi="Times New Roman"/>
      <w:b/>
      <w:color w:val="000000" w:themeColor="text1"/>
      <w:sz w:val="32"/>
    </w:rPr>
  </w:style>
  <w:style w:type="character" w:customStyle="1" w:styleId="ab">
    <w:name w:val="Второй уровень"/>
    <w:basedOn w:val="1"/>
    <w:link w:val="aa"/>
    <w:rPr>
      <w:rFonts w:ascii="Times New Roman" w:hAnsi="Times New Roman"/>
      <w:b/>
      <w:color w:val="000000" w:themeColor="text1"/>
      <w:sz w:val="32"/>
    </w:rPr>
  </w:style>
  <w:style w:type="paragraph" w:customStyle="1" w:styleId="HLD">
    <w:name w:val="HLD"/>
    <w:basedOn w:val="a"/>
    <w:link w:val="HLD0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customStyle="1" w:styleId="HLD0">
    <w:name w:val="HLD"/>
    <w:basedOn w:val="1"/>
    <w:link w:val="HLD"/>
    <w:rPr>
      <w:rFonts w:ascii="Times New Roman" w:hAnsi="Times New Roman"/>
      <w:sz w:val="24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styleId="ac">
    <w:name w:val="annotation subject"/>
    <w:basedOn w:val="a6"/>
    <w:next w:val="a6"/>
    <w:link w:val="ad"/>
    <w:rPr>
      <w:b/>
    </w:rPr>
  </w:style>
  <w:style w:type="character" w:customStyle="1" w:styleId="ad">
    <w:name w:val="Тема примечания Знак"/>
    <w:basedOn w:val="a7"/>
    <w:link w:val="ac"/>
    <w:rPr>
      <w:b/>
      <w:sz w:val="20"/>
    </w:rPr>
  </w:style>
  <w:style w:type="paragraph" w:customStyle="1" w:styleId="14">
    <w:name w:val="Гиперссылка1"/>
    <w:link w:val="ae"/>
    <w:rPr>
      <w:rFonts w:ascii="Helvetica 45 Light" w:hAnsi="Helvetica 45 Light"/>
      <w:sz w:val="20"/>
    </w:rPr>
  </w:style>
  <w:style w:type="character" w:styleId="ae">
    <w:name w:val="Hyperlink"/>
    <w:link w:val="14"/>
    <w:rPr>
      <w:rFonts w:ascii="Helvetica 45 Light" w:hAnsi="Helvetica 45 Light"/>
      <w:color w:val="000000"/>
      <w:sz w:val="20"/>
      <w:u w:val="none"/>
    </w:rPr>
  </w:style>
  <w:style w:type="paragraph" w:customStyle="1" w:styleId="Footnote3">
    <w:name w:val="Footnote"/>
    <w:basedOn w:val="a"/>
    <w:link w:val="Footnote4"/>
    <w:pPr>
      <w:spacing w:after="40" w:line="240" w:lineRule="auto"/>
    </w:pPr>
    <w:rPr>
      <w:sz w:val="18"/>
    </w:rPr>
  </w:style>
  <w:style w:type="character" w:customStyle="1" w:styleId="Footnote4">
    <w:name w:val="Footnote"/>
    <w:basedOn w:val="1"/>
    <w:link w:val="Footnote3"/>
    <w:rPr>
      <w:sz w:val="18"/>
    </w:rPr>
  </w:style>
  <w:style w:type="paragraph" w:customStyle="1" w:styleId="15">
    <w:name w:val="Знак концевой сноски1"/>
    <w:basedOn w:val="13"/>
    <w:link w:val="af"/>
    <w:rPr>
      <w:vertAlign w:val="superscript"/>
    </w:rPr>
  </w:style>
  <w:style w:type="character" w:styleId="af">
    <w:name w:val="endnote reference"/>
    <w:basedOn w:val="a0"/>
    <w:link w:val="15"/>
    <w:rPr>
      <w:vertAlign w:val="superscript"/>
    </w:rPr>
  </w:style>
  <w:style w:type="character" w:customStyle="1" w:styleId="80">
    <w:name w:val="Заголовок 8 Знак"/>
    <w:basedOn w:val="1"/>
    <w:link w:val="8"/>
    <w:rPr>
      <w:rFonts w:ascii="Arial" w:hAnsi="Arial"/>
      <w:i/>
      <w:sz w:val="22"/>
    </w:rPr>
  </w:style>
  <w:style w:type="paragraph" w:customStyle="1" w:styleId="StGen0">
    <w:name w:val="StGen0"/>
    <w:link w:val="StGen00"/>
    <w:pPr>
      <w:spacing w:after="0" w:line="240" w:lineRule="auto"/>
    </w:pPr>
  </w:style>
  <w:style w:type="character" w:customStyle="1" w:styleId="StGen00">
    <w:name w:val="StGen0"/>
    <w:link w:val="StGen0"/>
  </w:style>
  <w:style w:type="paragraph" w:styleId="af0">
    <w:name w:val="table of figures"/>
    <w:basedOn w:val="a"/>
    <w:next w:val="a"/>
    <w:link w:val="af1"/>
    <w:pPr>
      <w:spacing w:after="0"/>
    </w:pPr>
  </w:style>
  <w:style w:type="character" w:customStyle="1" w:styleId="af1">
    <w:name w:val="Перечень рисунков Знак"/>
    <w:basedOn w:val="1"/>
    <w:link w:val="af0"/>
  </w:style>
  <w:style w:type="paragraph" w:styleId="16">
    <w:name w:val="toc 1"/>
    <w:basedOn w:val="a"/>
    <w:next w:val="a"/>
    <w:link w:val="17"/>
    <w:uiPriority w:val="39"/>
    <w:pPr>
      <w:spacing w:after="100"/>
    </w:pPr>
  </w:style>
  <w:style w:type="character" w:customStyle="1" w:styleId="17">
    <w:name w:val="Оглавление 1 Знак"/>
    <w:basedOn w:val="1"/>
    <w:link w:val="16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customStyle="1" w:styleId="af2">
    <w:name w:val="Первый уровень"/>
    <w:basedOn w:val="a"/>
    <w:next w:val="a"/>
    <w:link w:val="af3"/>
    <w:pPr>
      <w:spacing w:before="1134" w:after="851" w:line="240" w:lineRule="auto"/>
      <w:ind w:left="709"/>
      <w:jc w:val="both"/>
    </w:pPr>
    <w:rPr>
      <w:rFonts w:ascii="Times New Roman" w:hAnsi="Times New Roman"/>
      <w:b/>
      <w:caps/>
      <w:color w:val="000000" w:themeColor="text1"/>
      <w:sz w:val="36"/>
    </w:rPr>
  </w:style>
  <w:style w:type="character" w:customStyle="1" w:styleId="af3">
    <w:name w:val="Первый уровень"/>
    <w:basedOn w:val="1"/>
    <w:link w:val="af2"/>
    <w:rPr>
      <w:rFonts w:ascii="Times New Roman" w:hAnsi="Times New Roman"/>
      <w:b/>
      <w:caps/>
      <w:color w:val="000000" w:themeColor="text1"/>
      <w:sz w:val="36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18">
    <w:name w:val="Знак сноски1"/>
    <w:basedOn w:val="13"/>
    <w:link w:val="af4"/>
    <w:rPr>
      <w:vertAlign w:val="superscript"/>
    </w:rPr>
  </w:style>
  <w:style w:type="character" w:styleId="af4">
    <w:name w:val="footnote reference"/>
    <w:basedOn w:val="a0"/>
    <w:link w:val="18"/>
    <w:rPr>
      <w:vertAlign w:val="superscript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f5">
    <w:name w:val="endnote text"/>
    <w:basedOn w:val="a"/>
    <w:link w:val="af6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1"/>
    <w:link w:val="af5"/>
    <w:rPr>
      <w:sz w:val="20"/>
    </w:rPr>
  </w:style>
  <w:style w:type="paragraph" w:styleId="af7">
    <w:name w:val="TOC Heading"/>
    <w:basedOn w:val="10"/>
    <w:next w:val="a"/>
    <w:link w:val="af8"/>
    <w:pPr>
      <w:outlineLvl w:val="8"/>
    </w:pPr>
  </w:style>
  <w:style w:type="character" w:customStyle="1" w:styleId="af8">
    <w:name w:val="Заголовок оглавления Знак"/>
    <w:basedOn w:val="11"/>
    <w:link w:val="af7"/>
    <w:rPr>
      <w:rFonts w:asciiTheme="majorHAnsi" w:hAnsiTheme="majorHAnsi"/>
      <w:color w:val="2F5496" w:themeColor="accent1" w:themeShade="BF"/>
      <w:sz w:val="32"/>
    </w:rPr>
  </w:style>
  <w:style w:type="paragraph" w:customStyle="1" w:styleId="19">
    <w:name w:val="Знак примечания1"/>
    <w:basedOn w:val="13"/>
    <w:link w:val="af9"/>
    <w:rPr>
      <w:sz w:val="16"/>
    </w:rPr>
  </w:style>
  <w:style w:type="character" w:styleId="af9">
    <w:name w:val="annotation reference"/>
    <w:basedOn w:val="a0"/>
    <w:link w:val="19"/>
    <w:rPr>
      <w:sz w:val="16"/>
    </w:rPr>
  </w:style>
  <w:style w:type="paragraph" w:styleId="afa">
    <w:name w:val="header"/>
    <w:basedOn w:val="a"/>
    <w:link w:val="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1"/>
    <w:link w:val="afa"/>
  </w:style>
  <w:style w:type="paragraph" w:customStyle="1" w:styleId="textareawithscroll">
    <w:name w:val="textareawithscroll"/>
    <w:basedOn w:val="13"/>
    <w:link w:val="textareawithscroll0"/>
  </w:style>
  <w:style w:type="character" w:customStyle="1" w:styleId="textareawithscroll0">
    <w:name w:val="textareawithscroll"/>
    <w:basedOn w:val="a0"/>
    <w:link w:val="textareawithscroll"/>
  </w:style>
  <w:style w:type="paragraph" w:styleId="afc">
    <w:name w:val="Subtitle"/>
    <w:next w:val="a"/>
    <w:link w:val="afd"/>
    <w:uiPriority w:val="11"/>
    <w:qFormat/>
    <w:rPr>
      <w:rFonts w:ascii="XO Thames" w:hAnsi="XO Thames"/>
      <w:i/>
      <w:color w:val="616161"/>
      <w:sz w:val="24"/>
    </w:rPr>
  </w:style>
  <w:style w:type="character" w:customStyle="1" w:styleId="afd">
    <w:name w:val="Подзаголовок Знак"/>
    <w:link w:val="afc"/>
    <w:rPr>
      <w:rFonts w:ascii="XO Thames" w:hAnsi="XO Thames"/>
      <w:i/>
      <w:color w:val="616161"/>
      <w:sz w:val="24"/>
    </w:rPr>
  </w:style>
  <w:style w:type="paragraph" w:styleId="afe">
    <w:name w:val="caption"/>
    <w:basedOn w:val="a"/>
    <w:next w:val="a"/>
    <w:link w:val="aff"/>
    <w:pPr>
      <w:spacing w:line="276" w:lineRule="auto"/>
    </w:pPr>
    <w:rPr>
      <w:b/>
      <w:color w:val="4472C4" w:themeColor="accent1"/>
      <w:sz w:val="18"/>
    </w:rPr>
  </w:style>
  <w:style w:type="character" w:customStyle="1" w:styleId="aff">
    <w:name w:val="Название объекта Знак"/>
    <w:basedOn w:val="1"/>
    <w:link w:val="afe"/>
    <w:rPr>
      <w:b/>
      <w:color w:val="4472C4" w:themeColor="accent1"/>
      <w:sz w:val="18"/>
    </w:rPr>
  </w:style>
  <w:style w:type="paragraph" w:styleId="aff0">
    <w:name w:val="Title"/>
    <w:next w:val="a"/>
    <w:link w:val="aff1"/>
    <w:uiPriority w:val="10"/>
    <w:qFormat/>
    <w:rPr>
      <w:rFonts w:ascii="XO Thames" w:hAnsi="XO Thames"/>
      <w:b/>
      <w:sz w:val="52"/>
    </w:rPr>
  </w:style>
  <w:style w:type="character" w:customStyle="1" w:styleId="aff1">
    <w:name w:val="Заголовок Знак"/>
    <w:link w:val="aff0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Table">
    <w:name w:val="Table"/>
    <w:basedOn w:val="HLD"/>
    <w:link w:val="Table0"/>
    <w:pPr>
      <w:jc w:val="left"/>
    </w:pPr>
    <w:rPr>
      <w:sz w:val="20"/>
    </w:rPr>
  </w:style>
  <w:style w:type="character" w:customStyle="1" w:styleId="Table0">
    <w:name w:val="Table"/>
    <w:basedOn w:val="HLD0"/>
    <w:link w:val="Table"/>
    <w:rPr>
      <w:rFonts w:ascii="Times New Roman" w:hAnsi="Times New Roman"/>
      <w:sz w:val="20"/>
    </w:rPr>
  </w:style>
  <w:style w:type="paragraph" w:styleId="aff2">
    <w:name w:val="Intense Quote"/>
    <w:basedOn w:val="a"/>
    <w:next w:val="a"/>
    <w:link w:val="aff3"/>
    <w:pPr>
      <w:ind w:left="720" w:right="720"/>
    </w:pPr>
    <w:rPr>
      <w:i/>
    </w:rPr>
  </w:style>
  <w:style w:type="character" w:customStyle="1" w:styleId="aff3">
    <w:name w:val="Выделенная цитата Знак"/>
    <w:basedOn w:val="1"/>
    <w:link w:val="aff2"/>
    <w:rPr>
      <w:i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ff4">
    <w:name w:val="footer"/>
    <w:basedOn w:val="a"/>
    <w:link w:val="a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Нижний колонтитул Знак"/>
    <w:basedOn w:val="1"/>
    <w:link w:val="aff4"/>
  </w:style>
  <w:style w:type="character" w:customStyle="1" w:styleId="60">
    <w:name w:val="Заголовок 6 Знак"/>
    <w:basedOn w:val="1"/>
    <w:link w:val="6"/>
    <w:rPr>
      <w:rFonts w:ascii="Arial" w:hAnsi="Arial"/>
      <w:b/>
      <w:sz w:val="22"/>
    </w:r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BC2E5" w:themeColor="accent5" w:themeTint="9A"/>
      </w:tblBorders>
    </w:tbl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FFD865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472C4" w:themeColor="accent1"/>
        <w:bottom w:val="single" w:sz="4" w:space="0" w:color="4472C4" w:themeColor="accent1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472C4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F4B184" w:themeColor="accent2" w:themeTint="97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</w:rPr>
    <w:tblPr/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styleId="25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styleId="-6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</w:rPr>
    <w:tblPr/>
  </w:style>
  <w:style w:type="table" w:styleId="-5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</w:rPr>
    <w:tblPr/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60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2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styleId="-20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</w:style>
  <w:style w:type="table" w:styleId="-7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-4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40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9C9C9" w:themeColor="accent3" w:themeTint="98"/>
      </w:tblBorders>
    </w:tblPr>
  </w:style>
  <w:style w:type="table" w:styleId="-50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styleId="aff6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styleId="-70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</w:rPr>
    <w:tblPr/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</w:rPr>
    <w:tblPr/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A9D08E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</w:style>
  <w:style w:type="table" w:styleId="1a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</w:rPr>
    <w:tblPr/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3586</Words>
  <Characters>20445</Characters>
  <Application>Microsoft Office Word</Application>
  <DocSecurity>0</DocSecurity>
  <Lines>170</Lines>
  <Paragraphs>47</Paragraphs>
  <ScaleCrop>false</ScaleCrop>
  <Company/>
  <LinksUpToDate>false</LinksUpToDate>
  <CharactersWithSpaces>23984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Гаценко Владислав Игоревич</cp:lastModifiedBy>
  <cp:revision>4</cp:revision>
  <dcterms:created xsi:type="dcterms:W3CDTF">2023-04-19T09:16:00Z</dcterms:created>
  <dcterms:modified xsi:type="dcterms:W3CDTF">2023-04-29T13:44:00Z</dcterms:modified>
</cp:coreProperties>
</file>