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69B5" w:rsidRPr="007510ED" w:rsidRDefault="00F909A7">
      <w:bookmarkStart w:id="0" w:name="_GoBack"/>
      <w:bookmarkEnd w:id="0"/>
      <w:r w:rsidRPr="007510ED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6B69B5" w:rsidRPr="007510ED" w:rsidRDefault="00F909A7">
      <w:pPr>
        <w:pStyle w:val="aa"/>
      </w:pPr>
      <w:r w:rsidRPr="007510ED">
        <w:rPr>
          <w:rFonts w:ascii="Times New Roman" w:hAnsi="Times New Roman" w:cs="Times New Roman" w:eastAsia="Times New Roman"/>
          <w:color w:val="000000"/>
        </w:rPr>
        <w:t>Краткое технологическое заключение для инвестора</w:t>
      </w:r>
    </w:p>
    <w:p w:rsidR="006B69B5" w:rsidRPr="007510ED" w:rsidRDefault="00F909A7">
      <w:pPr>
        <w:ind w:firstLine="709"/>
        <w:jc w:val="left"/>
      </w:pPr>
      <w:r w:rsidRPr="007510ED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Подготовлено 23.10.2026  |  SP-PM-00E  |  v1.0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6B69B5" w:rsidRPr="007510ED" w:rsidRDefault="00F909A7">
      <w:pPr>
        <w:pStyle w:val="1"/>
      </w:pPr>
      <w:r w:rsidRPr="007510ED">
        <w:rPr>
          <w:rFonts w:ascii="Times New Roman" w:hAnsi="Times New Roman" w:cs="Times New Roman" w:eastAsia="Times New Roman"/>
          <w:color w:val="000000"/>
        </w:rPr>
        <w:t>1 Решение для инвестиционного рассмотрения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6B69B5" w:rsidRPr="007510ED" w:rsidRDefault="00F909A7">
      <w:pPr>
        <w:pStyle w:val="1"/>
      </w:pPr>
      <w:r w:rsidRPr="007510ED">
        <w:rPr>
          <w:rFonts w:ascii="Times New Roman" w:hAnsi="Times New Roman" w:cs="Times New Roman" w:eastAsia="Times New Roman"/>
          <w:color w:val="000000"/>
        </w:rPr>
        <w:t>2 Что удалось подтвердить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 xml:space="preserve">Получены все 13 файлов Drive и четыре локальных источника. Независимо пересчитана модель в Excel и арифметика сводок, проверены </w:t>
      </w:r>
      <w:r w:rsidRPr="007510ED">
        <w:rPr>
          <w:rFonts w:ascii="Times New Roman" w:hAnsi="Times New Roman" w:cs="Times New Roman" w:eastAsia="Times New Roman"/>
          <w:color w:val="000000"/>
        </w:rPr>
        <w:lastRenderedPageBreak/>
        <w:t>архив и конфигурации, выполнены Helm lint/template. Подтверждение относится к этим процедурам и содержанию документов; работоспособность релиза на стенде не проверена.</w:t>
      </w:r>
    </w:p>
    <w:p w:rsidR="006B69B5" w:rsidRPr="007510ED" w:rsidRDefault="00F909A7">
      <w:pPr>
        <w:keepNext/>
        <w:spacing w:line="240" w:lineRule="auto"/>
        <w:jc w:val="left"/>
      </w:pPr>
      <w:r w:rsidRPr="007510ED">
        <w:rPr>
          <w:rFonts w:ascii="Times New Roman" w:hAnsi="Times New Roman" w:cs="Times New Roman" w:eastAsia="Times New Roman"/>
          <w:sz w:val="24"/>
          <w:color w:val="000000"/>
        </w:rPr>
        <w:t>Таблица 1  Показатели и границы подтверждения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6B69B5" w:rsidRPr="007510ED">
        <w:trPr>
          <w:cantSplit/>
          <w:tblHeader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Показатель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Результат и граница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Исходники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Корпоративный GitLab и полный SHA не предоставлены; сборка и тесты NOT TESTED.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SonarQube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2037 по типам, 2053 по важности; A сопровождаемость, C надёжность и безопасность по E12.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SAST/DAST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20 строк, 9 открыты, включая High Linear; статусы внутреннего отчёта, независимого retest нет.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Поставка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Helm версии 5.13.0/2.13.0; Compose latest и порт БД 5432. Чарт прошёл локальные проверки, приложение не запускалось.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Модель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19 листов, 13750 формул, пересчёт без ошибок. Гипотезы выручки и расходы первичными платежами не удостоверены.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Труд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95,4-127,2 чел.-мес. по исходным допущениям; фактический труд и НМА 75,5 млн KZT не подтверждены.</w:t>
            </w:r>
          </w:p>
        </w:tc>
      </w:tr>
      <w:tr w:rsidR="006B69B5" w:rsidRPr="007510ED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Использование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B69B5" w:rsidRPr="007510ED" w:rsidRDefault="00F909A7">
            <w:pPr>
              <w:spacing w:after="60" w:line="252" w:lineRule="auto"/>
              <w:jc w:val="left"/>
            </w:pPr>
            <w:r w:rsidRPr="007510ED">
              <w:rPr>
                <w:rFonts w:ascii="Times New Roman" w:hAnsi="Times New Roman" w:cs="Times New Roman" w:eastAsia="Times New Roman"/>
                <w:sz w:val="22"/>
                <w:color w:val="000000"/>
              </w:rPr>
              <w:t>22 установки, 448 всего и 261 известный активный - REPORTED; у четырёх установок нет активности; число плательщиков требует сверки.</w:t>
            </w:r>
          </w:p>
        </w:tc>
      </w:tr>
    </w:tbl>
    <w:p w:rsidR="006B69B5" w:rsidRPr="007510ED" w:rsidRDefault="006B69B5"/>
    <w:p w:rsidR="006B69B5" w:rsidRPr="007510ED" w:rsidRDefault="00F909A7">
      <w:pPr>
        <w:pStyle w:val="1"/>
      </w:pPr>
      <w:r w:rsidRPr="007510ED">
        <w:rPr>
          <w:rFonts w:ascii="Times New Roman" w:hAnsi="Times New Roman" w:cs="Times New Roman" w:eastAsia="Times New Roman"/>
          <w:color w:val="000000"/>
        </w:rPr>
        <w:t>3 Условия до сделки и принятие остаточного риска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SP-PM-IP-001. Юрист и CTO: Юристам РК и Узбекистана подтвердить цепочку автор→работодатель→ТОО, оформить при необходимости прямое отчуждение с перечнем результатов и актами, проверить последствия прекращения консорциума. До сделки, если предмет включает единоличное исключительное право; альтернативная структура требует отдельного согласования инвестором.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SP-PM-SEC-001. Backend и ИБ: Удалить общий fallback; задать отдельные секреты, провести ротацию, проверить tenant binding, timestamp и защиту от повтора. До сделки при достижимом сценарии; иначе документированное отсутствие используемой интеграции и план устранения.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lastRenderedPageBreak/>
        <w:t>SP-PM-SRC-001. CTO: Предоставить доступ только для чтения к полным репозиториям и CI, зафиксировать remote, полный SHA, branch/tag, SBOM и артефакты релиза. Условие завершения независимого аудита; инвестиционный комитет вправе отдельно принять остаточную неопределённость.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SP-PM-DEP-002. DevOps: Убрать публикацию порта либо привязать к loopback; генерировать пароль при установке, требовать его смену и хранить вне архива. До установки в доступной сети; риск принимается только с подтверждённой сегментацией и ротацией.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После предоставления доступа - независимый retest релиза, программа нагрузки и восстановление с RPO/RTO. Сроки SSO/MFA, автономного режима и журналирования согласовать с целевыми клиентами. Утверждение «блокирующих замечаний нет» не воспроизведено: IP и достижимая High могут стать условиями, препятствующими закрытию сделки.</w:t>
      </w:r>
    </w:p>
    <w:p w:rsidR="006B69B5" w:rsidRPr="007510ED" w:rsidRDefault="00F909A7">
      <w:pPr>
        <w:pStyle w:val="1"/>
      </w:pPr>
      <w:r w:rsidRPr="007510ED">
        <w:rPr>
          <w:rFonts w:ascii="Times New Roman" w:hAnsi="Times New Roman" w:cs="Times New Roman" w:eastAsia="Times New Roman"/>
          <w:color w:val="000000"/>
        </w:rPr>
        <w:t>4 Основания и принятие документа</w:t>
      </w:r>
    </w:p>
    <w:p w:rsidR="006B69B5" w:rsidRPr="007510ED" w:rsidRDefault="00F909A7">
      <w:pPr>
        <w:ind w:firstLine="709"/>
      </w:pPr>
      <w:r w:rsidRPr="007510ED">
        <w:rPr>
          <w:rFonts w:ascii="Times New Roman" w:hAnsi="Times New Roman" w:cs="Times New Roman" w:eastAsia="Times New Roman"/>
          <w:color w:val="000000"/>
        </w:rPr>
        <w:t>Источники: E01-E13, L01/L02; локальные процедуры P01-P05; нормативная база N01,N02,N05. Подробности и критерии закрытия - документы 13-15. Не использовать краткий текст без оговорок полного отчёта. Принятие документа экспертом и утверждение от SKILL PRO учитываются в документе 17.</w:t>
      </w:r>
    </w:p>
    <w:sectPr w:rsidR="006B69B5" w:rsidRPr="007510ED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7783F" w:rsidRPr="007510ED" w:rsidRDefault="00F909A7">
      <w:pPr>
        <w:spacing w:after="0" w:line="240" w:lineRule="auto"/>
      </w:pPr>
      <w:r w:rsidRPr="007510ED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47783F" w:rsidRPr="007510ED" w:rsidRDefault="00F909A7">
      <w:pPr>
        <w:spacing w:after="0" w:line="240" w:lineRule="auto"/>
      </w:pPr>
      <w:r w:rsidRPr="007510ED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B69B5" w:rsidRPr="007510ED" w:rsidRDefault="00F909A7">
    <w:pPr>
      <w:pStyle w:val="a7"/>
      <w:spacing w:line="240" w:lineRule="auto"/>
      <w:jc w:val="center"/>
    </w:pPr>
    <w:r w:rsidRPr="007510ED">
      <w:rPr>
        <w:rFonts w:ascii="Times New Roman" w:hAnsi="Times New Roman" w:cs="Times New Roman" w:eastAsia="Times New Roman"/>
        <w:sz w:val="18"/>
        <w:color w:val="000000"/>
      </w:rPr>
      <w:t xml:space="preserve">SP-PM-00E  |  </w:t>
    </w:r>
    <w:r w:rsidRPr="007510ED">
      <w:rPr>
        <w:rFonts w:ascii="Times New Roman" w:hAnsi="Times New Roman" w:cs="Times New Roman" w:eastAsia="Times New Roman"/>
        <w:color w:val="000000"/>
      </w:rPr>
      <w:fldChar w:fldCharType="begin"/>
    </w:r>
    <w:r w:rsidRPr="007510ED">
      <w:rPr>
        <w:rFonts w:ascii="Times New Roman" w:hAnsi="Times New Roman" w:cs="Times New Roman" w:eastAsia="Times New Roman"/>
        <w:color w:val="000000"/>
      </w:rPr>
      <w:instrText>PAGE</w:instrText>
    </w:r>
    <w:r w:rsidRPr="007510ED">
      <w:rPr>
        <w:rFonts w:ascii="Times New Roman" w:hAnsi="Times New Roman" w:cs="Times New Roman" w:eastAsia="Times New Roman"/>
        <w:color w:val="000000"/>
      </w:rPr>
      <w:fldChar w:fldCharType="separate"/>
    </w:r>
    <w:r w:rsidRPr="007510ED">
      <w:rPr>
        <w:rFonts w:ascii="Times New Roman" w:hAnsi="Times New Roman" w:cs="Times New Roman" w:eastAsia="Times New Roman"/>
        <w:noProof/>
        <w:color w:val="000000"/>
      </w:rPr>
      <w:t>1</w:t>
    </w:r>
    <w:r w:rsidRPr="007510ED">
      <w:rPr>
        <w:rFonts w:ascii="Times New Roman" w:hAnsi="Times New Roman" w:cs="Times New Roman" w:eastAsia="Times New Roman"/>
        <w:color w:val="000000"/>
      </w:rPr>
      <w:fldChar w:fldCharType="end"/>
    </w:r>
    <w:r w:rsidRPr="007510ED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510ED">
      <w:rPr>
        <w:rFonts w:ascii="Times New Roman" w:hAnsi="Times New Roman" w:cs="Times New Roman" w:eastAsia="Times New Roman"/>
        <w:color w:val="000000"/>
      </w:rPr>
      <w:fldChar w:fldCharType="begin"/>
    </w:r>
    <w:r w:rsidRPr="007510ED">
      <w:rPr>
        <w:rFonts w:ascii="Times New Roman" w:hAnsi="Times New Roman" w:cs="Times New Roman" w:eastAsia="Times New Roman"/>
        <w:color w:val="000000"/>
      </w:rPr>
      <w:instrText>NUMPAGES</w:instrText>
    </w:r>
    <w:r w:rsidRPr="007510ED">
      <w:rPr>
        <w:rFonts w:ascii="Times New Roman" w:hAnsi="Times New Roman" w:cs="Times New Roman" w:eastAsia="Times New Roman"/>
        <w:color w:val="000000"/>
      </w:rPr>
      <w:fldChar w:fldCharType="separate"/>
    </w:r>
    <w:r w:rsidRPr="007510ED">
      <w:rPr>
        <w:rFonts w:ascii="Times New Roman" w:hAnsi="Times New Roman" w:cs="Times New Roman" w:eastAsia="Times New Roman"/>
        <w:noProof/>
        <w:color w:val="000000"/>
      </w:rPr>
      <w:t>1</w:t>
    </w:r>
    <w:r w:rsidRPr="007510ED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7783F" w:rsidRPr="007510ED" w:rsidRDefault="00F909A7">
      <w:pPr>
        <w:spacing w:after="0" w:line="240" w:lineRule="auto"/>
      </w:pPr>
      <w:r w:rsidRPr="007510ED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47783F" w:rsidRPr="007510ED" w:rsidRDefault="00F909A7">
      <w:pPr>
        <w:spacing w:after="0" w:line="240" w:lineRule="auto"/>
      </w:pPr>
      <w:r w:rsidRPr="007510ED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B69B5" w:rsidRPr="007510ED" w:rsidRDefault="00F909A7">
    <w:pPr>
      <w:spacing w:line="240" w:lineRule="auto"/>
      <w:jc w:val="right"/>
    </w:pPr>
    <w:r w:rsidRPr="007510ED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83F"/>
    <w:rsid w:val="006B69B5"/>
    <w:rsid w:val="007510ED"/>
    <w:rsid w:val="00AA1D8D"/>
    <w:rsid w:val="00B47730"/>
    <w:rsid w:val="00CB0664"/>
    <w:rsid w:val="00F90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A4BC81-E9D1-4631-B4FD-F192F9CA4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3899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технологическое заключение для инвестора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2026-10-23T09:38:00Z</dcterms:modified>
  <cp:category/>
</cp:coreProperties>
</file>