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79BD" w:rsidRPr="00615C5A" w:rsidRDefault="001032C9">
      <w:bookmarkStart w:id="0" w:name="_GoBack"/>
      <w:bookmarkEnd w:id="0"/>
      <w:r w:rsidRPr="00615C5A">
        <w:rPr>
          <w:rFonts w:ascii="Times New Roman" w:hAnsi="Times New Roman" w:cs="Times New Roman" w:eastAsia="Times New Roman"/>
          <w:color w:val="000000"/>
        </w:rPr>
        <w:t>ТОО «SKILL PRO»</w:t>
      </w:r>
    </w:p>
    <w:p w:rsidR="009479BD" w:rsidRPr="00615C5A" w:rsidRDefault="001032C9">
      <w:pPr>
        <w:pStyle w:val="aa"/>
      </w:pPr>
      <w:r w:rsidRPr="00615C5A">
        <w:rPr>
          <w:rFonts w:ascii="Times New Roman" w:hAnsi="Times New Roman" w:cs="Times New Roman" w:eastAsia="Times New Roman"/>
          <w:color w:val="000000"/>
        </w:rPr>
        <w:t>Программа технологического аудита PanDev Metrics</w:t>
      </w:r>
    </w:p>
    <w:p w:rsidR="009479BD" w:rsidRPr="00615C5A" w:rsidRDefault="001032C9">
      <w:pPr>
        <w:ind w:firstLine="709"/>
        <w:jc w:val="left"/>
      </w:pPr>
      <w:r w:rsidRPr="00615C5A">
        <w:rPr>
          <w:rFonts w:ascii="Times New Roman" w:hAnsi="Times New Roman" w:cs="Times New Roman" w:eastAsia="Times New Roman"/>
          <w:b/>
          <w:color w:val="000000"/>
        </w:rPr>
        <w:t>ПРОЕКТ ДЛЯ ПРОВЕРКИ И ПОДПИСАНИЯ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Подготовлено 23.10.2026  |  SP-PM-02  |  v1.0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Объект - PanDev Metrics, заявленный релиз 2.13.0 от 20.10.2026. Заказчик - ТОО «PANDEV», БИН 230140037871 по представленным материалам. Исполнитель по проекту - ТОО «SKILL PRO»; БИН 170640028768, адрес 010000, г. Астана, район Есиль, ул. Алихан Бокейхан, д. 15, оф. 3, руководитель по карточке A01 - Маукенов Бексултан Багланович.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Материалы подготовлены с применением автоматизированных средств в текущем сеансе. Документы не подписаны и не являются выданным аудиторским заключением ТОО «SKILL PRO». Статус VERIFIED обозначает воспроизведённую локальную процедуру; её принятие от имени SKILL PRO требует проверки и подписи назначенного эксперта. Договор, полномочия, независимость и квалификация физических лиц не подтверждены.</w:t>
      </w:r>
    </w:p>
    <w:p w:rsidR="009479BD" w:rsidRPr="00615C5A" w:rsidRDefault="001032C9">
      <w:r w:rsidRPr="00615C5A">
        <w:rPr>
          <w:rFonts w:ascii="Times New Roman" w:hAnsi="Times New Roman" w:cs="Times New Roman" w:eastAsia="Times New Roman"/>
          <w:color w:val="000000"/>
        </w:rPr>
        <w:br w:type="page"/>
      </w:r>
    </w:p>
    <w:p w:rsidR="009479BD" w:rsidRPr="00615C5A" w:rsidRDefault="001032C9">
      <w:r w:rsidRPr="00615C5A">
        <w:rPr>
          <w:rFonts w:ascii="Times New Roman" w:hAnsi="Times New Roman" w:cs="Times New Roman" w:eastAsia="Times New Roman"/>
          <w:b/>
          <w:color w:val="000000"/>
        </w:rPr>
        <w:lastRenderedPageBreak/>
        <w:t>Содержание</w:t>
      </w:r>
    </w:p>
    <w:p w:rsidR="00615C5A" w:rsidRPr="00615C5A" w:rsidRDefault="001032C9" w:rsidP="00615C5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r w:rsidRPr="00615C5A">
        <w:rPr>
          <w:rFonts w:ascii="Times New Roman" w:hAnsi="Times New Roman" w:cs="Times New Roman" w:eastAsia="Times New Roman"/>
          <w:sz w:val="24"/>
          <w:color w:val="000000"/>
        </w:rPr>
        <w:fldChar w:fldCharType="begin"/>
      </w:r>
      <w:r w:rsidRPr="00615C5A">
        <w:rPr>
          <w:rFonts w:ascii="Times New Roman" w:hAnsi="Times New Roman" w:cs="Times New Roman" w:eastAsia="Times New Roman"/>
          <w:sz w:val="24"/>
          <w:color w:val="000000"/>
        </w:rPr>
        <w:instrText>TOC \o "1-2" \h \z \u</w:instrText>
      </w:r>
      <w:r w:rsidRPr="00615C5A">
        <w:rPr>
          <w:rFonts w:ascii="Times New Roman" w:hAnsi="Times New Roman" w:cs="Times New Roman" w:eastAsia="Times New Roman"/>
          <w:sz w:val="24"/>
          <w:color w:val="000000"/>
        </w:rPr>
        <w:fldChar w:fldCharType="separate"/>
      </w:r>
      <w:hyperlink w:anchor="_Toc243658772" w:history="1">
        <w:r w:rsidR="00615C5A" w:rsidRPr="00615C5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1 Основание цель и границы</w:t>
        </w:r>
        <w:r w:rsidR="00615C5A"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="00615C5A"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="00615C5A"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_Toc243658772 \h </w:instrText>
        </w:r>
        <w:r w:rsidR="00615C5A"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="00615C5A"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 w:rsid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="00615C5A"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15C5A" w:rsidRPr="00615C5A" w:rsidRDefault="00615C5A" w:rsidP="00615C5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73" w:history="1">
        <w:r w:rsidRPr="00615C5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2 Нормативная основа и метод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_Toc243658773 \h </w:instrTex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15C5A" w:rsidRPr="00615C5A" w:rsidRDefault="00615C5A" w:rsidP="00615C5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74" w:history="1">
        <w:r w:rsidRPr="00615C5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3 Исследованные материалы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_Toc243658774 \h </w:instrTex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3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15C5A" w:rsidRPr="00615C5A" w:rsidRDefault="00615C5A" w:rsidP="00615C5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75" w:history="1">
        <w:r w:rsidRPr="00615C5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4 Этапы и зависимости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_Toc243658775 \h </w:instrTex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15C5A" w:rsidRPr="00615C5A" w:rsidRDefault="00615C5A" w:rsidP="00615C5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76" w:history="1">
        <w:r w:rsidRPr="00615C5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5 Уже выполненные локальные процедуры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_Toc243658776 \h </w:instrTex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4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15C5A" w:rsidRPr="00615C5A" w:rsidRDefault="00615C5A" w:rsidP="00615C5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77" w:history="1">
        <w:r w:rsidRPr="00615C5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6 Программа оставшихся испытаний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_Toc243658777 \h </w:instrTex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5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15C5A" w:rsidRPr="00615C5A" w:rsidRDefault="00615C5A" w:rsidP="00615C5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78" w:history="1">
        <w:r w:rsidRPr="00615C5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7 Правила фиксации и остановки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_Toc243658778 \h </w:instrTex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15C5A" w:rsidRPr="00615C5A" w:rsidRDefault="00615C5A" w:rsidP="00615C5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79" w:history="1">
        <w:r w:rsidRPr="00615C5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8 Экспертный вывод и корректирующие действия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_Toc243658779 \h </w:instrTex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615C5A" w:rsidRPr="00615C5A" w:rsidRDefault="00615C5A" w:rsidP="00615C5A">
      <w:pPr>
        <w:pStyle w:val="14"/>
        <w:tabs>
          <w:tab w:val="right" w:leader="dot" w:pos="9345"/>
        </w:tabs>
        <w:spacing w:after="0" w:line="240" w:lineRule="auto"/>
        <w:rPr>
          <w:rFonts w:ascii="Times New Roman" w:hAnsi="Times New Roman" w:cs="Times New Roman" w:eastAsia="Times New Roman"/>
          <w:noProof/>
          <w:sz w:val="24"/>
          <w:lang w:val="ru-KZ" w:eastAsia="ru-KZ"/>
          <w:color w:val="000000"/>
        </w:rPr>
      </w:pPr>
      <w:hyperlink w:anchor="_Toc243658780" w:history="1">
        <w:r w:rsidRPr="00615C5A">
          <w:rPr>
            <w:rFonts w:ascii="Times New Roman" w:hAnsi="Times New Roman" w:cs="Times New Roman" w:eastAsia="Times New Roman"/>
            <w:rStyle w:val="aff8"/>
            <w:noProof/>
            <w:sz w:val="24"/>
            <w:color w:val="000000"/>
          </w:rPr>
          <w:t>9 Приложения и согласование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ab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begin"/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instrText xml:space="preserve"> PAGEREF _Toc243658780 \h </w:instrTex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separate"/>
        </w:r>
        <w:r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t>7</w:t>
        </w:r>
        <w:r w:rsidRPr="00615C5A">
          <w:rPr>
            <w:rFonts w:ascii="Times New Roman" w:hAnsi="Times New Roman" w:cs="Times New Roman" w:eastAsia="Times New Roman"/>
            <w:noProof/>
            <w:webHidden/>
            <w:sz w:val="24"/>
            <w:color w:val="000000"/>
          </w:rPr>
          <w:fldChar w:fldCharType="end"/>
        </w:r>
      </w:hyperlink>
    </w:p>
    <w:p w:rsidR="009479BD" w:rsidRPr="00615C5A" w:rsidRDefault="001032C9" w:rsidP="00615C5A">
      <w:pPr>
        <w:spacing w:after="0" w:line="240" w:lineRule="auto"/>
      </w:pPr>
      <w:r w:rsidRPr="00615C5A">
        <w:rPr>
          <w:rFonts w:ascii="Times New Roman" w:hAnsi="Times New Roman" w:cs="Times New Roman" w:eastAsia="Times New Roman"/>
          <w:sz w:val="24"/>
          <w:color w:val="000000"/>
        </w:rPr>
        <w:fldChar w:fldCharType="end"/>
      </w:r>
    </w:p>
    <w:p w:rsidR="009479BD" w:rsidRPr="00615C5A" w:rsidRDefault="001032C9">
      <w:r w:rsidRPr="00615C5A">
        <w:rPr>
          <w:rFonts w:ascii="Times New Roman" w:hAnsi="Times New Roman" w:cs="Times New Roman" w:eastAsia="Times New Roman"/>
          <w:color w:val="000000"/>
        </w:rPr>
        <w:br w:type="page"/>
      </w:r>
    </w:p>
    <w:p w:rsidR="009479BD" w:rsidRPr="00615C5A" w:rsidRDefault="001032C9">
      <w:pPr>
        <w:pStyle w:val="1"/>
      </w:pPr>
      <w:bookmarkStart w:id="1" w:name="_Toc243658772"/>
      <w:r w:rsidRPr="00615C5A">
        <w:rPr>
          <w:rFonts w:ascii="Times New Roman" w:hAnsi="Times New Roman" w:cs="Times New Roman" w:eastAsia="Times New Roman"/>
          <w:color w:val="000000"/>
        </w:rPr>
        <w:lastRenderedPageBreak/>
        <w:t>1 Основание цель и границы</w:t>
      </w:r>
      <w:bookmarkEnd w:id="1"/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Основание подготовки - предоставленное пользователем задание и материалы. Подписанный договор аудита не предъявлен; основание официального проведения подлежит оформлению в документе 01. Цель: получить проверяемую оценку качества и ограничений продукта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Предмет и границы: документарные процедуры выполнены частично; инструментальный этап действующего продукта предстоит</w:t>
      </w:r>
    </w:p>
    <w:p w:rsidR="009479BD" w:rsidRPr="00615C5A" w:rsidRDefault="001032C9">
      <w:pPr>
        <w:pStyle w:val="1"/>
      </w:pPr>
      <w:bookmarkStart w:id="2" w:name="_Toc243658773"/>
      <w:r w:rsidRPr="00615C5A">
        <w:rPr>
          <w:rFonts w:ascii="Times New Roman" w:hAnsi="Times New Roman" w:cs="Times New Roman" w:eastAsia="Times New Roman"/>
          <w:color w:val="000000"/>
        </w:rPr>
        <w:t>2 Нормативная основа и метод</w:t>
      </w:r>
      <w:bookmarkEnd w:id="2"/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N01 и N02 определяют условия официального аудита качества. N07-N15 используются как справочные ориентиры в применимой части без заявления полного соответствия, аккредитации или сертификации. Обязательность стандартов по договору не установлена. Технические критерии приёмки, предложенные в программе, требуют согласования.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Метод: инвентаризация и SHA-256, извлечение текста и таблиц, OCR сканов, критическое сопоставление дат и доказательств, локальные проверки конфигураций и расчётов при их наличии. Собственные процедуры P01-P05 отделены от результатов внутренних сканеров. Степени подтверждения определены в документе 04.</w:t>
      </w:r>
    </w:p>
    <w:p w:rsidR="009479BD" w:rsidRPr="00615C5A" w:rsidRDefault="001032C9">
      <w:pPr>
        <w:pStyle w:val="1"/>
      </w:pPr>
      <w:bookmarkStart w:id="3" w:name="_Toc243658774"/>
      <w:r w:rsidRPr="00615C5A">
        <w:rPr>
          <w:rFonts w:ascii="Times New Roman" w:hAnsi="Times New Roman" w:cs="Times New Roman" w:eastAsia="Times New Roman"/>
          <w:color w:val="000000"/>
        </w:rPr>
        <w:t>3 Исследованные материалы</w:t>
      </w:r>
      <w:bookmarkEnd w:id="3"/>
    </w:p>
    <w:p w:rsidR="009479BD" w:rsidRPr="00615C5A" w:rsidRDefault="001032C9">
      <w:pPr>
        <w:keepNext/>
        <w:spacing w:line="240" w:lineRule="auto"/>
        <w:jc w:val="left"/>
      </w:pPr>
      <w:r w:rsidRPr="00615C5A">
        <w:rPr>
          <w:rFonts w:ascii="Times New Roman" w:hAnsi="Times New Roman" w:cs="Times New Roman" w:eastAsia="Times New Roman"/>
          <w:sz w:val="24"/>
          <w:color w:val="000000"/>
        </w:rPr>
        <w:t>Таблица 1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8334"/>
      </w:tblGrid>
      <w:tr w:rsidR="009479BD" w:rsidRPr="00615C5A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Материал и место применения</w:t>
            </w:r>
          </w:p>
        </w:tc>
      </w:tr>
      <w:tr w:rsidR="009479BD" w:rsidRPr="00615C5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E01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01_Бюджет_разработки_дорожная_карта_тех.xlsx</w:t>
            </w:r>
          </w:p>
        </w:tc>
      </w:tr>
      <w:tr w:rsidR="009479BD" w:rsidRPr="00615C5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E03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03_Финансовая_модель_2026-2030_от_11.09.2026.xlsx</w:t>
            </w:r>
          </w:p>
        </w:tc>
      </w:tr>
      <w:tr w:rsidR="009479BD" w:rsidRPr="00615C5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E10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10_Отчёт_SAST-DAST_2026-10-17.html</w:t>
            </w:r>
          </w:p>
        </w:tc>
      </w:tr>
      <w:tr w:rsidR="009479BD" w:rsidRPr="00615C5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E12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12_Отчёт_SonarQube_08.10.2026.pdf</w:t>
            </w:r>
          </w:p>
        </w:tc>
      </w:tr>
      <w:tr w:rsidR="009479BD" w:rsidRPr="00615C5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E13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13_Дистрибутив_On-Prem_2.13.zip</w:t>
            </w:r>
          </w:p>
        </w:tc>
      </w:tr>
      <w:tr w:rsidR="009479BD" w:rsidRPr="00615C5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L02</w:t>
            </w:r>
          </w:p>
        </w:tc>
        <w:tc>
          <w:tcPr>
            <w:tcW w:w="833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PanDev_Metrics_технический_аудит_211026.pdf</w:t>
            </w:r>
          </w:p>
        </w:tc>
      </w:tr>
    </w:tbl>
    <w:p w:rsidR="009479BD" w:rsidRPr="00615C5A" w:rsidRDefault="009479BD"/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Контрольные суммы и объём файлов приведены в реестре 00. Копии исходных договоров и персональные сведения в инвесторский архив не включены. L04 - предыдущий проект заключения, самостоятельным доказательством испытаний не является.</w:t>
      </w:r>
    </w:p>
    <w:p w:rsidR="009479BD" w:rsidRPr="00615C5A" w:rsidRDefault="001032C9">
      <w:pPr>
        <w:pStyle w:val="1"/>
      </w:pPr>
      <w:bookmarkStart w:id="4" w:name="_Toc243658775"/>
      <w:r w:rsidRPr="00615C5A">
        <w:rPr>
          <w:rFonts w:ascii="Times New Roman" w:hAnsi="Times New Roman" w:cs="Times New Roman" w:eastAsia="Times New Roman"/>
          <w:color w:val="000000"/>
        </w:rPr>
        <w:t>4 Этапы и зависимости</w:t>
      </w:r>
      <w:bookmarkEnd w:id="4"/>
    </w:p>
    <w:p w:rsidR="009479BD" w:rsidRPr="00615C5A" w:rsidRDefault="001032C9">
      <w:pPr>
        <w:keepNext/>
        <w:spacing w:line="240" w:lineRule="auto"/>
        <w:jc w:val="left"/>
      </w:pPr>
      <w:r w:rsidRPr="00615C5A">
        <w:rPr>
          <w:rFonts w:ascii="Times New Roman" w:hAnsi="Times New Roman" w:cs="Times New Roman" w:eastAsia="Times New Roman"/>
          <w:sz w:val="24"/>
          <w:color w:val="000000"/>
        </w:rPr>
        <w:t>Таблица 2  Этапы программы аудита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4252"/>
        <w:gridCol w:w="4082"/>
      </w:tblGrid>
      <w:tr w:rsidR="009479BD" w:rsidRPr="00615C5A">
        <w:trPr>
          <w:cantSplit/>
          <w:tblHeader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Этап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Работы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Выход и условие перехода</w:t>
            </w:r>
          </w:p>
        </w:tc>
      </w:tr>
      <w:tr w:rsidR="009479BD" w:rsidRPr="00615C5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A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Инвентаризация, SHA-256, версии, права доступа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Реестр 04; существенные пропуски закреплены.</w:t>
            </w:r>
          </w:p>
        </w:tc>
      </w:tr>
      <w:tr w:rsidR="009479BD" w:rsidRPr="00615C5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B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Экспертное изучение 11 направлений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Модель рисков, тестовые требования и fixture.</w:t>
            </w:r>
          </w:p>
        </w:tc>
      </w:tr>
      <w:tr w:rsidR="009479BD" w:rsidRPr="00615C5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C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Сборка и тесты на переданном SHA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Воспроизводимая сборка, тесты, SBOM; связь с digest.</w:t>
            </w:r>
          </w:p>
        </w:tc>
      </w:tr>
      <w:tr w:rsidR="009479BD" w:rsidRPr="00615C5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D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Функциональные, ИБ, нагрузка, восстановление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Письменное разрешение, стенд и утверждённые критерии; протоколы.</w:t>
            </w:r>
          </w:p>
        </w:tc>
      </w:tr>
      <w:tr w:rsidR="009479BD" w:rsidRPr="00615C5A">
        <w:trPr>
          <w:cantSplit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E</w:t>
            </w:r>
          </w:p>
        </w:tc>
        <w:tc>
          <w:tcPr>
            <w:tcW w:w="42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Сверка, retest и заключение</w:t>
            </w:r>
          </w:p>
        </w:tc>
        <w:tc>
          <w:tcPr>
            <w:tcW w:w="408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Разногласия разрешены либо оговорены; реальные подписи RU/KZ.</w:t>
            </w:r>
          </w:p>
        </w:tc>
      </w:tr>
    </w:tbl>
    <w:p w:rsidR="009479BD" w:rsidRPr="00615C5A" w:rsidRDefault="009479BD"/>
    <w:p w:rsidR="009479BD" w:rsidRPr="00615C5A" w:rsidRDefault="001032C9">
      <w:pPr>
        <w:pStyle w:val="1"/>
      </w:pPr>
      <w:bookmarkStart w:id="5" w:name="_Toc243658776"/>
      <w:r w:rsidRPr="00615C5A">
        <w:rPr>
          <w:rFonts w:ascii="Times New Roman" w:hAnsi="Times New Roman" w:cs="Times New Roman" w:eastAsia="Times New Roman"/>
          <w:color w:val="000000"/>
        </w:rPr>
        <w:t>5 Уже выполненные локальные процедуры</w:t>
      </w:r>
      <w:bookmarkEnd w:id="5"/>
    </w:p>
    <w:p w:rsidR="009479BD" w:rsidRPr="00615C5A" w:rsidRDefault="001032C9">
      <w:pPr>
        <w:keepNext/>
        <w:spacing w:line="240" w:lineRule="auto"/>
        <w:jc w:val="left"/>
      </w:pPr>
      <w:r w:rsidRPr="00615C5A">
        <w:rPr>
          <w:rFonts w:ascii="Times New Roman" w:hAnsi="Times New Roman" w:cs="Times New Roman" w:eastAsia="Times New Roman"/>
          <w:sz w:val="24"/>
          <w:color w:val="000000"/>
        </w:rPr>
        <w:t>Таблица 3  Материалы и процедуры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7"/>
        <w:gridCol w:w="3969"/>
        <w:gridCol w:w="4479"/>
      </w:tblGrid>
      <w:tr w:rsidR="009479BD" w:rsidRPr="00615C5A">
        <w:trPr>
          <w:cantSplit/>
          <w:tblHeader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ID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Метод</w:t>
            </w:r>
          </w:p>
        </w:tc>
        <w:tc>
          <w:tcPr>
            <w:tcW w:w="447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b/>
                <w:sz w:val="22"/>
                <w:color w:val="000000"/>
              </w:rPr>
              <w:t>Результат и предел</w:t>
            </w:r>
          </w:p>
        </w:tc>
      </w:tr>
      <w:tr w:rsidR="009479BD" w:rsidRPr="00615C5A">
        <w:trPr>
          <w:cantSplit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P01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Хеширование, извлечение DOCX/PDF/XLSX/HTML и OCR</w:t>
            </w:r>
          </w:p>
        </w:tc>
        <w:tc>
          <w:tcPr>
            <w:tcW w:w="447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17 входных файлов; все 13 Drive получены. OCR не удостоверяет подлинность.</w:t>
            </w:r>
          </w:p>
        </w:tc>
      </w:tr>
      <w:tr w:rsidR="009479BD" w:rsidRPr="00615C5A">
        <w:trPr>
          <w:cantSplit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P02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Разбор ZIP, Compose YAML, .env и Helm values</w:t>
            </w:r>
          </w:p>
        </w:tc>
        <w:tc>
          <w:tcPr>
            <w:tcW w:w="447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Подтверждены плавающие теги, публикация БД, наличие пароля без раскрытия.</w:t>
            </w:r>
          </w:p>
        </w:tc>
      </w:tr>
      <w:tr w:rsidR="009479BD" w:rsidRPr="00615C5A">
        <w:trPr>
          <w:cantSplit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P03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Helm 3.19.0 lint и template</w:t>
            </w:r>
          </w:p>
        </w:tc>
        <w:tc>
          <w:tcPr>
            <w:tcW w:w="447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Типовые варианты успешны. Проверка не обращается к Kubernetes.</w:t>
            </w:r>
          </w:p>
        </w:tc>
      </w:tr>
      <w:tr w:rsidR="009479BD" w:rsidRPr="00615C5A">
        <w:trPr>
          <w:cantSplit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P04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Арифметика сводок и финансовых допущений</w:t>
            </w:r>
          </w:p>
        </w:tc>
        <w:tc>
          <w:tcPr>
            <w:tcW w:w="447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Сверены 20 SAST строк, 22 установки, Sonar и author-month модель.</w:t>
            </w:r>
          </w:p>
        </w:tc>
      </w:tr>
      <w:tr w:rsidR="009479BD" w:rsidRPr="00615C5A">
        <w:trPr>
          <w:cantSplit/>
        </w:trPr>
        <w:tc>
          <w:tcPr>
            <w:tcW w:w="90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P05</w:t>
            </w:r>
          </w:p>
        </w:tc>
        <w:tc>
          <w:tcPr>
            <w:tcW w:w="396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Excel 16.0 CalculateFullRebuild на копии</w:t>
            </w:r>
          </w:p>
        </w:tc>
        <w:tc>
          <w:tcPr>
            <w:tcW w:w="447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9479BD" w:rsidRPr="00615C5A" w:rsidRDefault="001032C9">
            <w:pPr>
              <w:spacing w:after="60" w:line="252" w:lineRule="auto"/>
              <w:jc w:val="left"/>
            </w:pPr>
            <w:r w:rsidRPr="00615C5A">
              <w:rPr>
                <w:rFonts w:ascii="Times New Roman" w:hAnsi="Times New Roman" w:cs="Times New Roman" w:eastAsia="Times New Roman"/>
                <w:sz w:val="22"/>
                <w:color w:val="000000"/>
              </w:rPr>
              <w:t>19 листов, 13750 формул; три сценария, 0 ошибок, caches согласованы.</w:t>
            </w:r>
          </w:p>
        </w:tc>
      </w:tr>
    </w:tbl>
    <w:p w:rsidR="009479BD" w:rsidRPr="00615C5A" w:rsidRDefault="009479BD"/>
    <w:p w:rsidR="009479BD" w:rsidRPr="00615C5A" w:rsidRDefault="001032C9">
      <w:pPr>
        <w:pStyle w:val="1"/>
      </w:pPr>
      <w:bookmarkStart w:id="6" w:name="_Toc243658777"/>
      <w:r w:rsidRPr="00615C5A">
        <w:rPr>
          <w:rFonts w:ascii="Times New Roman" w:hAnsi="Times New Roman" w:cs="Times New Roman" w:eastAsia="Times New Roman"/>
          <w:color w:val="000000"/>
        </w:rPr>
        <w:t>6 Программа оставшихся испытаний</w:t>
      </w:r>
      <w:bookmarkEnd w:id="6"/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FT01 Сбор и доставка событий. Подготовка: Согласованный стенд, фиксированные native-образы, искусственные события двух организаций. Метод: Отправить 100 событий; повторить пачку, переставить порядок, отключить сеть и перезапустить агент. Приёмка: Каждый event ID учтён один раз; подтверждённые элементы сохранены; неподтверждённые повторены; чужой tenant недоступен. Статус NOT TESTED.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FT02 Активное время и стоимость. Подготовка: Публичная методика и утверждённая норма времени. Метод: События 09:00,09:05,09:10; затем интервал простоя 15 мин-1с,15 мин,15 мин+1с; пересечение встречи и двух IDE. Ставка 160000 KZT/160ч. Приёмка: Для непрерывного 10-минутного интервала прямые затраты 166,67 KZT, если методика не добавляет хвост. Граничные ожидания утвердить до теста; пересечения не удваиваются. Статус NOT TESTED.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FT03 DORA. Подготовка: Согласованные определения deployment, incident, restoration и production. Метод: 4 deploy-события, один change failure и восстановление через 30 минут; повтор одного webhook. Отдельно прогнать proxy merge. Приёмка: В event-режиме CFR 25%, восстановление 30 минут по согласованной методике; дубликат не меняет знаменатель. Proxy явно помечен. Статус NOT TESTED.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FT04 Роли и изоляция. Подготовка: Два тенанта, два департамента, viewer/admin/finance и PAT с разными правами. Метод: Чтение и экспорт чужих данных, изменение идентификаторов, отзыв токена, истечение JWT, смена ролей и LDAP-группы. Приёмка: Нет доступа за пределами роли и организации; отозванный токен недействителен; события аудита сохраняются. Статус NOT TESTED.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lastRenderedPageBreak/>
        <w:t>FT05 Git и трекеры. Подготовка: Тестовые проекты и scopes без production-доступа. Метод: Проверить пагинацию, rate-limit, удаление проекта, повтор webhook, смену ветки, несколько задач и потерю токена. Приёмка: Полнота сверена с fixture; ошибки видимы оператору; секреты не попадают в ответы и лог; восстановление не создаёт дубликаты. Статус NOT TESTED.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FT06 ИИ Datavisor MCP и утечки. Подготовка: Локальный тестовый LLM, отдельная DB-role read-only, запрещённые поля-маркеры. Метод: Попытки запросить секреты, чужой департамент, произвольную запись и дорогой SQL; ошибки провайдера и prompt injection. Приёмка: Запрет обеспечивается сервером и БД; таймаут и лимиты работают; в egress нет запрещённых полей. Статус NOT TESTED.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FT07 Лицензия и обновление. Подготовка: Тестовая коммерческая лицензия, доверенное зеркало, резервная копия. Метод: Старт online/offline, окончание аренды, отказ сервера лицензий, неподписанный образ, upgrade N-1→N и восстановление. Приёмка: Поведение совпадает с договором; подпись проверяется; не теряются данные и ключи; RPO/RTO измерены. Статус NOT TESTED.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FT08 Пользовательские модули и экспорт. Подготовка: Согласованная матрица модуль→требование и искусственная БД. Метод: Создать задачу, связать ветку, сформировать финансовый отчёт, CSV/XLSX/PDF, проверить кириллицу и права экспорта. Приёмка: Каждый модуль имеет проверенный сценарий; выгрузка совпадает с UI/эталоном и не раскрывает запрещённые данные. Статус NOT TESTED.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Нагрузочная программа - документ 08. Проверка кода - документ 06. Пентест - документ 09. Правовая цепочка и фактические затраты - документы 11-12. Дедлайн назначается после открытия доступа; предлагаемая последовательность не является уже утверждённым календарём.</w:t>
      </w:r>
    </w:p>
    <w:p w:rsidR="009479BD" w:rsidRPr="00615C5A" w:rsidRDefault="001032C9">
      <w:pPr>
        <w:pStyle w:val="1"/>
      </w:pPr>
      <w:bookmarkStart w:id="7" w:name="_Toc243658778"/>
      <w:r w:rsidRPr="00615C5A">
        <w:rPr>
          <w:rFonts w:ascii="Times New Roman" w:hAnsi="Times New Roman" w:cs="Times New Roman" w:eastAsia="Times New Roman"/>
          <w:color w:val="000000"/>
        </w:rPr>
        <w:lastRenderedPageBreak/>
        <w:t>7 Правила фиксации и остановки</w:t>
      </w:r>
      <w:bookmarkEnd w:id="7"/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Формат протокола: test ID; дата/время UTC+5; оператор; версия инструмента; SHA/digest; конфигурация; команда; fixture; ожидаемый результат; фактический результат; статус; файл доказательства и SHA-256; ограничения; подпись. При росте ошибок, потере данных, внешней отправке fixtures либо риске production-влияния тест немедленно прекращается, стенд изолируется, владелец уведомляется установленным договором способом.</w:t>
      </w:r>
    </w:p>
    <w:p w:rsidR="009479BD" w:rsidRPr="00615C5A" w:rsidRDefault="001032C9">
      <w:pPr>
        <w:pStyle w:val="1"/>
      </w:pPr>
      <w:bookmarkStart w:id="8" w:name="_Toc243658779"/>
      <w:r w:rsidRPr="00615C5A">
        <w:rPr>
          <w:rFonts w:ascii="Times New Roman" w:hAnsi="Times New Roman" w:cs="Times New Roman" w:eastAsia="Times New Roman"/>
          <w:color w:val="000000"/>
        </w:rPr>
        <w:t>8 Экспертный вывод и корректирующие действия</w:t>
      </w:r>
      <w:bookmarkEnd w:id="8"/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Программа допускает завершение только тех испытаний, по которым фактически получены и приняты результаты. Неполученный доступ не заменяется предположениями.</w:t>
      </w:r>
    </w:p>
    <w:p w:rsidR="009479BD" w:rsidRPr="00615C5A" w:rsidRDefault="001032C9">
      <w:pPr>
        <w:pStyle w:val="1"/>
      </w:pPr>
      <w:bookmarkStart w:id="9" w:name="_Toc243658780"/>
      <w:r w:rsidRPr="00615C5A">
        <w:rPr>
          <w:rFonts w:ascii="Times New Roman" w:hAnsi="Times New Roman" w:cs="Times New Roman" w:eastAsia="Times New Roman"/>
          <w:color w:val="000000"/>
        </w:rPr>
        <w:t>9 Приложения и согласование</w:t>
      </w:r>
      <w:bookmarkEnd w:id="9"/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Участники, направления экспертизы, принятые процедуры и решение об утверждении фиксируются в едином листе участников и подписания (документ 17).</w:t>
      </w:r>
    </w:p>
    <w:p w:rsidR="009479BD" w:rsidRPr="00615C5A" w:rsidRDefault="001032C9">
      <w:pPr>
        <w:ind w:firstLine="709"/>
      </w:pPr>
      <w:r w:rsidRPr="00615C5A">
        <w:rPr>
          <w:rFonts w:ascii="Times New Roman" w:hAnsi="Times New Roman" w:cs="Times New Roman" w:eastAsia="Times New Roman"/>
          <w:color w:val="000000"/>
        </w:rPr>
        <w:t>Приложения: реестры 00, 04, 13 и 19; оставшиеся проверки 20; локальные доказательства 06 EVIDENCE.</w:t>
      </w:r>
    </w:p>
    <w:sectPr w:rsidR="009479BD" w:rsidRPr="00615C5A" w:rsidSect="00034616">
      <w:headerReference w:type="default" r:id="rId8"/>
      <w:footerReference w:type="default" r:id="rId9"/>
      <w:pgSz w:w="11906" w:h="16838"/>
      <w:pgMar w:top="1134" w:right="850" w:bottom="1134" w:left="1701" w:header="45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25357" w:rsidRPr="00615C5A" w:rsidRDefault="001032C9">
      <w:pPr>
        <w:spacing w:after="0" w:line="240" w:lineRule="auto"/>
      </w:pPr>
      <w:r w:rsidRPr="00615C5A">
        <w:rPr>
          <w:rFonts w:ascii="Times New Roman" w:hAnsi="Times New Roman" w:cs="Times New Roman" w:eastAsia="Times New Roman"/>
          <w:color w:val="000000"/>
        </w:rPr>
        <w:separator/>
      </w:r>
    </w:p>
  </w:endnote>
  <w:endnote w:type="continuationSeparator" w:id="0">
    <w:p w:rsidR="00225357" w:rsidRPr="00615C5A" w:rsidRDefault="001032C9">
      <w:pPr>
        <w:spacing w:after="0" w:line="240" w:lineRule="auto"/>
      </w:pPr>
      <w:r w:rsidRPr="00615C5A">
        <w:rPr>
          <w:rFonts w:ascii="Times New Roman" w:hAnsi="Times New Roman" w:cs="Times New Roman" w:eastAsia="Times New Roman"/>
          <w:color w:val="000000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479BD" w:rsidRPr="00615C5A" w:rsidRDefault="001032C9">
    <w:pPr>
      <w:pStyle w:val="a7"/>
      <w:spacing w:line="240" w:lineRule="auto"/>
      <w:jc w:val="center"/>
    </w:pPr>
    <w:r w:rsidRPr="00615C5A">
      <w:rPr>
        <w:rFonts w:ascii="Times New Roman" w:hAnsi="Times New Roman" w:cs="Times New Roman" w:eastAsia="Times New Roman"/>
        <w:sz w:val="18"/>
        <w:color w:val="000000"/>
      </w:rPr>
      <w:t xml:space="preserve">SP-PM-02  |  </w:t>
    </w:r>
    <w:r w:rsidRPr="00615C5A">
      <w:rPr>
        <w:rFonts w:ascii="Times New Roman" w:hAnsi="Times New Roman" w:cs="Times New Roman" w:eastAsia="Times New Roman"/>
        <w:color w:val="000000"/>
      </w:rPr>
      <w:fldChar w:fldCharType="begin"/>
    </w:r>
    <w:r w:rsidRPr="00615C5A">
      <w:rPr>
        <w:rFonts w:ascii="Times New Roman" w:hAnsi="Times New Roman" w:cs="Times New Roman" w:eastAsia="Times New Roman"/>
        <w:color w:val="000000"/>
      </w:rPr>
      <w:instrText>PAGE</w:instrText>
    </w:r>
    <w:r w:rsidRPr="00615C5A">
      <w:rPr>
        <w:rFonts w:ascii="Times New Roman" w:hAnsi="Times New Roman" w:cs="Times New Roman" w:eastAsia="Times New Roman"/>
        <w:color w:val="000000"/>
      </w:rPr>
      <w:fldChar w:fldCharType="separate"/>
    </w:r>
    <w:r w:rsidRPr="00615C5A">
      <w:rPr>
        <w:rFonts w:ascii="Times New Roman" w:hAnsi="Times New Roman" w:cs="Times New Roman" w:eastAsia="Times New Roman"/>
        <w:noProof/>
        <w:color w:val="000000"/>
      </w:rPr>
      <w:t>1</w:t>
    </w:r>
    <w:r w:rsidRPr="00615C5A">
      <w:rPr>
        <w:rFonts w:ascii="Times New Roman" w:hAnsi="Times New Roman" w:cs="Times New Roman" w:eastAsia="Times New Roman"/>
        <w:color w:val="000000"/>
      </w:rPr>
      <w:fldChar w:fldCharType="end"/>
    </w:r>
    <w:r w:rsidRPr="00615C5A">
      <w:rPr>
        <w:rFonts w:ascii="Times New Roman" w:hAnsi="Times New Roman" w:cs="Times New Roman" w:eastAsia="Times New Roman"/>
        <w:sz w:val="18"/>
        <w:color w:val="000000"/>
      </w:rPr>
      <w:t xml:space="preserve"> / </w:t>
    </w:r>
    <w:r w:rsidRPr="00615C5A">
      <w:rPr>
        <w:rFonts w:ascii="Times New Roman" w:hAnsi="Times New Roman" w:cs="Times New Roman" w:eastAsia="Times New Roman"/>
        <w:color w:val="000000"/>
      </w:rPr>
      <w:fldChar w:fldCharType="begin"/>
    </w:r>
    <w:r w:rsidRPr="00615C5A">
      <w:rPr>
        <w:rFonts w:ascii="Times New Roman" w:hAnsi="Times New Roman" w:cs="Times New Roman" w:eastAsia="Times New Roman"/>
        <w:color w:val="000000"/>
      </w:rPr>
      <w:instrText>NUMPAGES</w:instrText>
    </w:r>
    <w:r w:rsidRPr="00615C5A">
      <w:rPr>
        <w:rFonts w:ascii="Times New Roman" w:hAnsi="Times New Roman" w:cs="Times New Roman" w:eastAsia="Times New Roman"/>
        <w:color w:val="000000"/>
      </w:rPr>
      <w:fldChar w:fldCharType="separate"/>
    </w:r>
    <w:r w:rsidRPr="00615C5A">
      <w:rPr>
        <w:rFonts w:ascii="Times New Roman" w:hAnsi="Times New Roman" w:cs="Times New Roman" w:eastAsia="Times New Roman"/>
        <w:noProof/>
        <w:color w:val="000000"/>
      </w:rPr>
      <w:t>1</w:t>
    </w:r>
    <w:r w:rsidRPr="00615C5A">
      <w:rPr>
        <w:rFonts w:ascii="Times New Roman" w:hAnsi="Times New Roman" w:cs="Times New Roman" w:eastAsia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25357" w:rsidRPr="00615C5A" w:rsidRDefault="001032C9">
      <w:pPr>
        <w:spacing w:after="0" w:line="240" w:lineRule="auto"/>
      </w:pPr>
      <w:r w:rsidRPr="00615C5A">
        <w:rPr>
          <w:rFonts w:ascii="Times New Roman" w:hAnsi="Times New Roman" w:cs="Times New Roman" w:eastAsia="Times New Roman"/>
          <w:color w:val="000000"/>
        </w:rPr>
        <w:separator/>
      </w:r>
    </w:p>
  </w:footnote>
  <w:footnote w:type="continuationSeparator" w:id="0">
    <w:p w:rsidR="00225357" w:rsidRPr="00615C5A" w:rsidRDefault="001032C9">
      <w:pPr>
        <w:spacing w:after="0" w:line="240" w:lineRule="auto"/>
      </w:pPr>
      <w:r w:rsidRPr="00615C5A">
        <w:rPr>
          <w:rFonts w:ascii="Times New Roman" w:hAnsi="Times New Roman" w:cs="Times New Roman" w:eastAsia="Times New Roman"/>
          <w:color w:val="000000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9479BD" w:rsidRPr="00615C5A" w:rsidRDefault="001032C9">
    <w:pPr>
      <w:spacing w:line="240" w:lineRule="auto"/>
      <w:jc w:val="right"/>
    </w:pPr>
    <w:r w:rsidRPr="00615C5A">
      <w:rPr>
        <w:rFonts w:ascii="Times New Roman" w:hAnsi="Times New Roman" w:cs="Times New Roman" w:eastAsia="Times New Roman"/>
        <w:sz w:val="18"/>
        <w:color w:val="000000"/>
      </w:rPr>
      <w:t>SKILL PRO  |  PANDEV METRICS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eastAsia="Times New Roman"/>
        <w:color w:val="000000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eastAsia="Times New Roman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2C9"/>
    <w:rsid w:val="0015074B"/>
    <w:rsid w:val="00225357"/>
    <w:rsid w:val="0029639D"/>
    <w:rsid w:val="00326F90"/>
    <w:rsid w:val="00452C42"/>
    <w:rsid w:val="00615C5A"/>
    <w:rsid w:val="009479BD"/>
    <w:rsid w:val="00AA1D8D"/>
    <w:rsid w:val="00B47730"/>
    <w:rsid w:val="00CB0664"/>
    <w:rsid w:val="00D156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8E665C-0088-4A88-880F-A367B2BE5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hAnsi="Times New Roman" w:cs="Times New Roman" w:eastAsia="Times New Roman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jc w:val="both"/>
    </w:pPr>
    <w:rPr>
      <w:rFonts w:ascii="Times New Roman" w:hAnsi="Times New Roman" w:cs="Times New Roman" w:eastAsia="Times New Roman"/>
      <w:sz w:val="28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jc w:val="left"/>
      <w:outlineLvl w:val="0"/>
    </w:pPr>
    <w:rPr>
      <w:rFonts w:ascii="Times New Roman" w:hAnsi="Times New Roman" w:cs="Times New Roman" w:eastAsia="Times New Roman"/>
      <w:b/>
      <w:bCs/>
      <w:szCs w:val="28"/>
      <w:color w:val="000000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ascii="Times New Roman" w:hAnsi="Times New Roman" w:cs="Times New Roman" w:eastAsia="Times New Roman"/>
      <w:b/>
      <w:bCs/>
      <w:szCs w:val="26"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Times New Roman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Times New Roman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Times New Roman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Times New Roman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Times New Roman"/>
      <w:szCs w:val="20"/>
      <w:color w:val="00000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Times New Roman"/>
      <w:i/>
      <w:iCs/>
      <w:szCs w:val="20"/>
      <w:color w:val="000000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cs="Times New Roman" w:eastAsia="Times New Roman"/>
      <w:color w:val="000000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cs="Times New Roman" w:eastAsia="Times New Roman"/>
      <w:color w:val="000000"/>
    </w:rPr>
  </w:style>
  <w:style w:type="numbering" w:default="1" w:styleId="a4">
    <w:name w:val="No List"/>
    <w:uiPriority w:val="99"/>
    <w:semiHidden/>
    <w:unhideWhenUsed/>
    <w:rPr>
      <w:rFonts w:ascii="Times New Roman" w:hAnsi="Times New Roman" w:cs="Times New Roman" w:eastAsia="Times New Roman"/>
      <w:color w:val="000000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  <w:rPr>
      <w:rFonts w:ascii="Times New Roman" w:hAnsi="Times New Roman" w:cs="Times New Roman" w:eastAsia="Times New Roman"/>
      <w:color w:val="000000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 w:cs="Times New Roman" w:eastAsia="Times New Roman"/>
      <w:color w:val="000000"/>
    </w:rPr>
  </w:style>
  <w:style w:type="paragraph" w:styleId="a9">
    <w:name w:val="No Spacing"/>
    <w:uiPriority w:val="1"/>
    <w:qFormat/>
    <w:rsid w:val="00FC693F"/>
    <w:pPr>
      <w:spacing w:after="120" w:line="360" w:lineRule="auto"/>
    </w:pPr>
    <w:rPr>
      <w:rFonts w:ascii="Times New Roman" w:hAnsi="Times New Roman" w:cs="Times New Roman" w:eastAsia="Times New Roman"/>
      <w:sz w:val="28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hAnsi="Times New Roman" w:cs="Times New Roman" w:eastAsia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64" w:lineRule="auto"/>
      <w:contextualSpacing/>
      <w:jc w:val="left"/>
    </w:pPr>
    <w:rPr>
      <w:rFonts w:ascii="Times New Roman" w:hAnsi="Times New Roman" w:cs="Times New Roman" w:eastAsia="Times New Roman"/>
      <w:b/>
      <w:spacing w:val="5"/>
      <w:kern w:val="28"/>
      <w:sz w:val="34"/>
      <w:szCs w:val="52"/>
      <w:color w:val="000000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spacing w:val="15"/>
      <w:szCs w:val="24"/>
      <w:color w:val="000000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hAnsi="Times New Roman" w:cs="Times New Roman" w:eastAsia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">
    <w:name w:val="Body Text"/>
    <w:basedOn w:val="a1"/>
    <w:link w:val="af0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rPr>
      <w:rFonts w:ascii="Times New Roman" w:hAnsi="Times New Roman" w:cs="Times New Roman" w:eastAsia="Times New Roman"/>
      <w:color w:val="000000"/>
    </w:r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 w:cs="Times New Roman" w:eastAsia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rFonts w:ascii="Times New Roman" w:hAnsi="Times New Roman" w:cs="Times New Roman" w:eastAsia="Times New Roman"/>
      <w:szCs w:val="16"/>
      <w:color w:val="000000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 w:cs="Times New Roman" w:eastAsia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cs="Times New Roman" w:eastAsia="Times New Roman"/>
      <w:color w:val="000000"/>
    </w:r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  <w:rPr>
      <w:rFonts w:ascii="Times New Roman" w:hAnsi="Times New Roman" w:cs="Times New Roman" w:eastAsia="Times New Roman"/>
      <w:color w:val="000000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360" w:lineRule="auto"/>
    </w:pPr>
    <w:rPr>
      <w:rFonts w:ascii="Times New Roman" w:hAnsi="Times New Roman" w:cs="Times New Roman" w:eastAsia="Times New Roman"/>
      <w:sz w:val="28"/>
      <w:szCs w:val="20"/>
      <w:color w:val="00000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 w:cs="Times New Roman" w:eastAsia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hAnsi="Times New Roman" w:cs="Times New Roman" w:eastAsia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hAnsi="Times New Roman" w:cs="Times New Roman" w:eastAsia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hAnsi="Times New Roman" w:cs="Times New Roman" w:eastAsia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Times New Roman"/>
      <w:b/>
      <w:bCs/>
      <w:szCs w:val="18"/>
      <w:color w:val="000000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 w:cs="Times New Roman" w:eastAsia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/>
      <w:ind w:left="936" w:right="936"/>
    </w:pPr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 w:cs="Times New Roman" w:eastAsia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 w:cs="Times New Roman" w:eastAsia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 w:cs="Times New Roman" w:eastAsia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 w:cs="Times New Roman" w:eastAsia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cs="Times New Roman" w:eastAsia="Times New Roman"/>
      <w:color w:val="000000"/>
    </w:r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rPr>
      <w:rFonts w:ascii="Times New Roman" w:hAnsi="Times New Roman" w:cs="Times New Roman" w:eastAsia="Times New Roman"/>
      <w:color w:val="000000"/>
    </w:rPr>
  </w:style>
  <w:style w:type="table" w:styleId="2a">
    <w:name w:val="Medium Lis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rPr>
      <w:rFonts w:ascii="Times New Roman" w:hAnsi="Times New Roman" w:cs="Times New Roman" w:eastAsia="Times New Roman"/>
      <w:color w:val="000000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2b">
    <w:name w:val="Medium Grid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tblPr/>
      <w:tcPr>
        <w:shd w:val="clear" w:color="auto" w:fill="E6E6E6" w:themeFill="tex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tblPr/>
      <w:tcPr>
        <w:shd w:val="clear" w:color="auto" w:fill="EDF2F8" w:themeFill="accent1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tblPr/>
      <w:tcPr>
        <w:shd w:val="clear" w:color="auto" w:fill="F8EDED" w:themeFill="accent2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tblPr/>
      <w:tcPr>
        <w:shd w:val="clear" w:color="auto" w:fill="F5F8EE" w:themeFill="accent3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tblPr/>
      <w:tcPr>
        <w:shd w:val="clear" w:color="auto" w:fill="F2EFF6" w:themeFill="accent4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tblPr/>
      <w:tcPr>
        <w:shd w:val="clear" w:color="auto" w:fill="EDF6F9" w:themeFill="accent5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tblPr/>
      <w:tcPr>
        <w:shd w:val="clear" w:color="auto" w:fill="FEF4EC" w:themeFill="accent6" w:themeFillTint="19"/>
      </w:tcPr>
    </w:tblStylePr>
    <w:tblStylePr w:type="lastRow"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rPr>
      <w:rFonts w:ascii="Times New Roman" w:hAnsi="Times New Roman" w:cs="Times New Roman" w:eastAsia="Times New Roman"/>
      <w:color w:val="000000"/>
    </w:r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4">
    <w:name w:val="Dark List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F81BD" w:themeFill="accent1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C0504D" w:themeFill="accent2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9BBB59" w:themeFill="accent3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8064A2" w:themeFill="accent4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4BACC6" w:themeFill="accent5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79646" w:themeFill="accent6"/>
    </w:tcPr>
    <w:tblStylePr w:type="firstRow"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rPr>
      <w:rFonts w:ascii="Times New Roman" w:hAnsi="Times New Roman" w:cs="Times New Roman" w:eastAsia="Times New Roman"/>
      <w:color w:val="000000"/>
    </w:r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rPr>
      <w:rFonts w:ascii="Times New Roman" w:hAnsi="Times New Roman" w:cs="Times New Roman" w:eastAsia="Times New Roman"/>
      <w:color w:val="000000"/>
    </w:r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tblPr/>
      <w:tcPr>
        <w:shd w:val="clear" w:color="auto" w:fill="999999" w:themeFill="text1" w:themeFillTint="66"/>
      </w:tcPr>
    </w:tblStylePr>
    <w:tblStylePr w:type="lastRow">
      <w:tblPr/>
      <w:tcPr>
        <w:shd w:val="clear" w:color="auto" w:fill="999999" w:themeFill="text1" w:themeFillTint="66"/>
      </w:tcPr>
    </w:tblStylePr>
    <w:tblStylePr w:type="firstCol">
      <w:tblPr/>
      <w:tcPr>
        <w:shd w:val="clear" w:color="auto" w:fill="000000" w:themeFill="text1" w:themeFillShade="BF"/>
      </w:tcPr>
    </w:tblStylePr>
    <w:tblStylePr w:type="lastCol"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tblPr/>
      <w:tcPr>
        <w:shd w:val="clear" w:color="auto" w:fill="B8CCE4" w:themeFill="accent1" w:themeFillTint="66"/>
      </w:tcPr>
    </w:tblStylePr>
    <w:tblStylePr w:type="lastRow">
      <w:tblPr/>
      <w:tcPr>
        <w:shd w:val="clear" w:color="auto" w:fill="B8CCE4" w:themeFill="accent1" w:themeFillTint="66"/>
      </w:tcPr>
    </w:tblStylePr>
    <w:tblStylePr w:type="firstCol">
      <w:tblPr/>
      <w:tcPr>
        <w:shd w:val="clear" w:color="auto" w:fill="365F91" w:themeFill="accent1" w:themeFillShade="BF"/>
      </w:tcPr>
    </w:tblStylePr>
    <w:tblStylePr w:type="lastCol"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tblPr/>
      <w:tcPr>
        <w:shd w:val="clear" w:color="auto" w:fill="E5B8B7" w:themeFill="accent2" w:themeFillTint="66"/>
      </w:tcPr>
    </w:tblStylePr>
    <w:tblStylePr w:type="lastRow">
      <w:tblPr/>
      <w:tcPr>
        <w:shd w:val="clear" w:color="auto" w:fill="E5B8B7" w:themeFill="accent2" w:themeFillTint="66"/>
      </w:tcPr>
    </w:tblStylePr>
    <w:tblStylePr w:type="firstCol">
      <w:tblPr/>
      <w:tcPr>
        <w:shd w:val="clear" w:color="auto" w:fill="943634" w:themeFill="accent2" w:themeFillShade="BF"/>
      </w:tcPr>
    </w:tblStylePr>
    <w:tblStylePr w:type="lastCol"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tblPr/>
      <w:tcPr>
        <w:shd w:val="clear" w:color="auto" w:fill="D6E3BC" w:themeFill="accent3" w:themeFillTint="66"/>
      </w:tcPr>
    </w:tblStylePr>
    <w:tblStylePr w:type="lastRow">
      <w:tblPr/>
      <w:tcPr>
        <w:shd w:val="clear" w:color="auto" w:fill="D6E3BC" w:themeFill="accent3" w:themeFillTint="66"/>
      </w:tcPr>
    </w:tblStylePr>
    <w:tblStylePr w:type="firstCol">
      <w:tblPr/>
      <w:tcPr>
        <w:shd w:val="clear" w:color="auto" w:fill="76923C" w:themeFill="accent3" w:themeFillShade="BF"/>
      </w:tcPr>
    </w:tblStylePr>
    <w:tblStylePr w:type="lastCol"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tblPr/>
      <w:tcPr>
        <w:shd w:val="clear" w:color="auto" w:fill="CCC0D9" w:themeFill="accent4" w:themeFillTint="66"/>
      </w:tcPr>
    </w:tblStylePr>
    <w:tblStylePr w:type="lastRow">
      <w:tblPr/>
      <w:tcPr>
        <w:shd w:val="clear" w:color="auto" w:fill="CCC0D9" w:themeFill="accent4" w:themeFillTint="66"/>
      </w:tcPr>
    </w:tblStylePr>
    <w:tblStylePr w:type="firstCol">
      <w:tblPr/>
      <w:tcPr>
        <w:shd w:val="clear" w:color="auto" w:fill="5F497A" w:themeFill="accent4" w:themeFillShade="BF"/>
      </w:tcPr>
    </w:tblStylePr>
    <w:tblStylePr w:type="lastCol"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tblPr/>
      <w:tcPr>
        <w:shd w:val="clear" w:color="auto" w:fill="B6DDE8" w:themeFill="accent5" w:themeFillTint="66"/>
      </w:tcPr>
    </w:tblStylePr>
    <w:tblStylePr w:type="lastRow">
      <w:tblPr/>
      <w:tcPr>
        <w:shd w:val="clear" w:color="auto" w:fill="B6DDE8" w:themeFill="accent5" w:themeFillTint="66"/>
      </w:tcPr>
    </w:tblStylePr>
    <w:tblStylePr w:type="firstCol">
      <w:tblPr/>
      <w:tcPr>
        <w:shd w:val="clear" w:color="auto" w:fill="31849B" w:themeFill="accent5" w:themeFillShade="BF"/>
      </w:tcPr>
    </w:tblStylePr>
    <w:tblStylePr w:type="lastCol"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cs="Times New Roman" w:eastAsia="Times New Roman"/>
      <w:color w:val="000000"/>
    </w:r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tblPr/>
      <w:tcPr>
        <w:shd w:val="clear" w:color="auto" w:fill="FBD4B4" w:themeFill="accent6" w:themeFillTint="66"/>
      </w:tcPr>
    </w:tblStylePr>
    <w:tblStylePr w:type="lastRow">
      <w:tblPr/>
      <w:tcPr>
        <w:shd w:val="clear" w:color="auto" w:fill="FBD4B4" w:themeFill="accent6" w:themeFillTint="66"/>
      </w:tcPr>
    </w:tblStylePr>
    <w:tblStylePr w:type="firstCol">
      <w:tblPr/>
      <w:tcPr>
        <w:shd w:val="clear" w:color="auto" w:fill="E36C0A" w:themeFill="accent6" w:themeFillShade="BF"/>
      </w:tcPr>
    </w:tblStylePr>
    <w:tblStylePr w:type="lastCol"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cs="Times New Roman" w:eastAsia="Times New Roman"/>
      <w:color w:val="000000"/>
    </w:rPr>
  </w:style>
  <w:style w:type="paragraph" w:customStyle="1" w:styleId="110">
    <w:name w:val="Оглавление 1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customStyle="1" w:styleId="210">
    <w:name w:val="Оглавление 21"/>
    <w:pPr>
      <w:spacing w:after="0" w:line="240" w:lineRule="auto"/>
    </w:pPr>
    <w:rPr>
      <w:rFonts w:ascii="Times New Roman" w:hAnsi="Times New Roman" w:cs="Times New Roman" w:eastAsia="Times New Roman"/>
      <w:sz w:val="28"/>
      <w:color w:val="000000"/>
    </w:rPr>
  </w:style>
  <w:style w:type="paragraph" w:styleId="14">
    <w:name w:val="toc 1"/>
    <w:basedOn w:val="a1"/>
    <w:next w:val="a1"/>
    <w:autoRedefine/>
    <w:uiPriority w:val="39"/>
    <w:unhideWhenUsed/>
    <w:rsid w:val="001032C9"/>
    <w:pPr>
      <w:spacing w:after="100"/>
    </w:pPr>
    <w:rPr>
      <w:rFonts w:ascii="Times New Roman" w:hAnsi="Times New Roman" w:cs="Times New Roman" w:eastAsia="Times New Roman"/>
      <w:color w:val="000000"/>
    </w:rPr>
  </w:style>
  <w:style w:type="character" w:styleId="aff8">
    <w:name w:val="Hyperlink"/>
    <w:basedOn w:val="a2"/>
    <w:uiPriority w:val="99"/>
    <w:unhideWhenUsed/>
    <w:rsid w:val="001032C9"/>
    <w:rPr>
      <w:rFonts w:ascii="Times New Roman" w:hAnsi="Times New Roman" w:cs="Times New Roman" w:eastAsia="Times New Roman"/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B0DA3B-32A6-49EC-8861-D79FC390E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1144</Words>
  <Characters>7798</Characters>
  <Application>Microsoft Office Word</Application>
  <DocSecurity>0</DocSecurity>
  <Lines>173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технологического аудита PanDev Metrics</dc:title>
  <dc:subject>PanDev Metrics - документарная экспертиза и программы проверки</dc:subject>
  <dc:creator>Проект для ТОО SKILL PRO</dc:creator>
  <cp:keywords/>
  <dc:description>Подготовлено с автоматизированной поддержкой; подписи отсутствуют.</dc:description>
  <cp:lastModifiedBy>PC Electronics</cp:lastModifiedBy>
  <cp:revision>5</cp:revision>
  <dcterms:created xsi:type="dcterms:W3CDTF">2026-10-23T08:40:00Z</dcterms:created>
  <dcterms:modified xsi:type="dcterms:W3CDTF">2026-10-23T09:38:00Z</dcterms:modified>
  <cp:category/>
</cp:coreProperties>
</file>