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5FD5" w:rsidRPr="003A32A5" w:rsidRDefault="001067DD">
      <w:bookmarkStart w:id="0" w:name="_GoBack"/>
      <w:bookmarkEnd w:id="0"/>
      <w:r w:rsidRPr="003A32A5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765FD5" w:rsidRPr="003A32A5" w:rsidRDefault="001067DD">
      <w:pPr>
        <w:pStyle w:val="aa"/>
      </w:pPr>
      <w:r w:rsidRPr="003A32A5">
        <w:rPr>
          <w:rFonts w:ascii="Times New Roman" w:hAnsi="Times New Roman" w:cs="Times New Roman" w:eastAsia="Times New Roman"/>
          <w:color w:val="000000"/>
        </w:rPr>
        <w:t>Протокол документарной оценки архитектуры PanDev Metrics</w:t>
      </w:r>
    </w:p>
    <w:p w:rsidR="00765FD5" w:rsidRPr="003A32A5" w:rsidRDefault="001067DD">
      <w:pPr>
        <w:ind w:firstLine="709"/>
        <w:jc w:val="left"/>
      </w:pPr>
      <w:r w:rsidRPr="003A32A5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Подготовлено 23.10.2026  |  SP-PM-05  |  v1.0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765FD5" w:rsidRPr="003A32A5" w:rsidRDefault="001067DD">
      <w:r w:rsidRPr="003A32A5">
        <w:rPr>
          <w:rFonts w:ascii="Times New Roman" w:hAnsi="Times New Roman" w:cs="Times New Roman" w:eastAsia="Times New Roman"/>
          <w:color w:val="000000"/>
        </w:rPr>
        <w:br w:type="page"/>
      </w:r>
    </w:p>
    <w:p w:rsidR="00765FD5" w:rsidRPr="003A32A5" w:rsidRDefault="001067DD">
      <w:r w:rsidRPr="003A32A5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3A32A5" w:rsidRPr="003A32A5" w:rsidRDefault="001067DD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3A32A5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3A32A5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3A32A5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797" w:history="1">
        <w:r w:rsidR="003A32A5"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3A32A5"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3A32A5"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3A32A5"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_Toc243658797 \h </w:instrText>
        </w:r>
        <w:r w:rsidR="003A32A5"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3A32A5"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3A32A5"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3A32A5" w:rsidRPr="003A32A5" w:rsidRDefault="003A32A5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98" w:history="1">
        <w:r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_Toc243658798 \h </w:instrTex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3A32A5" w:rsidRPr="003A32A5" w:rsidRDefault="003A32A5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99" w:history="1">
        <w:r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_Toc243658799 \h </w:instrTex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3A32A5" w:rsidRPr="003A32A5" w:rsidRDefault="003A32A5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00" w:history="1">
        <w:r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3.2 Архитектура и качество кода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_Toc243658800 \h </w:instrTex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3A32A5" w:rsidRPr="003A32A5" w:rsidRDefault="003A32A5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01" w:history="1">
        <w:r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3.4 Инфраструктура и масштабирование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_Toc243658801 \h </w:instrTex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3A32A5" w:rsidRPr="003A32A5" w:rsidRDefault="003A32A5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02" w:history="1">
        <w:r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3.5 Сбор данных и интеграции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_Toc243658802 \h </w:instrTex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3A32A5" w:rsidRPr="003A32A5" w:rsidRDefault="003A32A5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03" w:history="1">
        <w:r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Архитектурные гипотезы для проверки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_Toc243658803 \h </w:instrTex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3A32A5" w:rsidRPr="003A32A5" w:rsidRDefault="003A32A5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04" w:history="1">
        <w:r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Экспертный вывод и корректирующие действия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_Toc243658804 \h </w:instrTex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3A32A5" w:rsidRPr="003A32A5" w:rsidRDefault="003A32A5" w:rsidP="003A32A5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805" w:history="1">
        <w:r w:rsidRPr="003A32A5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Приложения и согласование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_Toc243658805 \h </w:instrTex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3A32A5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65FD5" w:rsidRPr="003A32A5" w:rsidRDefault="001067DD" w:rsidP="003A32A5">
      <w:pPr>
        <w:spacing w:after="0" w:line="240" w:lineRule="auto"/>
      </w:pPr>
      <w:r w:rsidRPr="003A32A5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765FD5" w:rsidRPr="003A32A5" w:rsidRDefault="001067DD">
      <w:r w:rsidRPr="003A32A5">
        <w:rPr>
          <w:rFonts w:ascii="Times New Roman" w:hAnsi="Times New Roman" w:cs="Times New Roman" w:eastAsia="Times New Roman"/>
          <w:color w:val="000000"/>
        </w:rPr>
        <w:br w:type="page"/>
      </w:r>
    </w:p>
    <w:p w:rsidR="00765FD5" w:rsidRPr="003A32A5" w:rsidRDefault="001067DD">
      <w:pPr>
        <w:pStyle w:val="1"/>
      </w:pPr>
      <w:bookmarkStart w:id="1" w:name="_Toc243658797"/>
      <w:r w:rsidRPr="003A32A5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оценить архитектурные решения и границы масштабирования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Предмет и границы: анализ предоставленного описания и установочных конфигураций; архитектура исходного кода не осмотрена</w:t>
      </w:r>
    </w:p>
    <w:p w:rsidR="00765FD5" w:rsidRPr="003A32A5" w:rsidRDefault="001067DD">
      <w:pPr>
        <w:pStyle w:val="1"/>
      </w:pPr>
      <w:bookmarkStart w:id="2" w:name="_Toc243658798"/>
      <w:r w:rsidRPr="003A32A5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765FD5" w:rsidRPr="003A32A5" w:rsidRDefault="001067DD">
      <w:pPr>
        <w:pStyle w:val="1"/>
      </w:pPr>
      <w:bookmarkStart w:id="3" w:name="_Toc243658799"/>
      <w:r w:rsidRPr="003A32A5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765FD5" w:rsidRPr="003A32A5" w:rsidRDefault="001067DD">
      <w:pPr>
        <w:keepNext/>
        <w:spacing w:line="240" w:lineRule="auto"/>
        <w:jc w:val="left"/>
      </w:pPr>
      <w:r w:rsidRPr="003A32A5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765FD5" w:rsidRPr="003A32A5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765FD5" w:rsidRPr="003A32A5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E01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01_Бюджет_разработки_дорожная_карта_тех.xlsx</w:t>
            </w:r>
          </w:p>
        </w:tc>
      </w:tr>
      <w:tr w:rsidR="00765FD5" w:rsidRPr="003A32A5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E04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04_Договор_Nova_Cloud_29.09.2025.pdf</w:t>
            </w:r>
          </w:p>
        </w:tc>
      </w:tr>
      <w:tr w:rsidR="00765FD5" w:rsidRPr="003A32A5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765FD5" w:rsidRPr="003A32A5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765FD5" w:rsidRPr="003A32A5" w:rsidRDefault="00765FD5"/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lastRenderedPageBreak/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765FD5" w:rsidRPr="003A32A5" w:rsidRDefault="001067DD">
      <w:pPr>
        <w:pStyle w:val="1"/>
      </w:pPr>
      <w:bookmarkStart w:id="4" w:name="_Toc243658800"/>
      <w:r w:rsidRPr="003A32A5">
        <w:rPr>
          <w:rFonts w:ascii="Times New Roman" w:hAnsi="Times New Roman" w:cs="Times New Roman" w:eastAsia="Times New Roman"/>
          <w:color w:val="000000"/>
        </w:rPr>
        <w:t>4 3.2 Архитектура и качество кода</w:t>
      </w:r>
      <w:bookmarkEnd w:id="4"/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Источники: L02 с. 5-6; E12; E13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Заявлен модульный монолит Java 21 / Spring Boot 3.5, GraalVM, 30 Maven-модулей, PostgreSQL, Hibernate и 458 Flyway-миграций; React 19, TypeScript 5.8, Vite 7. Это REPORTED, поскольку POM, lock-файлы и исходники отсутствуют. E13 независимо подтверждает состав установочных конфигураций и версии, объявленные чартом, но не внутренний состав бинарей.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E12 фиксирует 4654 модульных теста, 51% строк, 45,1% ветвлений и 49,2% общего покрытия. Интеграционные тесты исключены из измерения; это не доказывает, что фактическое объединённое покрытие выше на определённую величину. Рейтинг сопровождаемости A не компенсирует C надёжности и C безопасности. Замечания по java:S2077 требуют ручной проверки динамического SQL; отчёт сканера не является доказательством инъекции.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Сопоставимость 169709 строк Sonar, примерно 267 тыс. рабочего кода и 316809 строк blame нельзя проверить без одинакового коммита, правил исключения тестов и автогенерации. Сборка, тесты, ревью SQL, Maven/Flyway и GraalVM NOT TESTED.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Связанные находки: SP-PM-SRC-001 SP-PM-QUA-001 SP-PM-DEP-001.</w:t>
      </w:r>
    </w:p>
    <w:p w:rsidR="00765FD5" w:rsidRPr="003A32A5" w:rsidRDefault="001067DD">
      <w:pPr>
        <w:pStyle w:val="1"/>
      </w:pPr>
      <w:bookmarkStart w:id="5" w:name="_Toc243658801"/>
      <w:r w:rsidRPr="003A32A5">
        <w:rPr>
          <w:rFonts w:ascii="Times New Roman" w:hAnsi="Times New Roman" w:cs="Times New Roman" w:eastAsia="Times New Roman"/>
          <w:color w:val="000000"/>
        </w:rPr>
        <w:t>5 3.4 Инфраструктура и масштабирование</w:t>
      </w:r>
      <w:bookmarkEnd w:id="5"/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Источники: L02 с. 7-8; E04; E13; E01 T11,T21,T22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lastRenderedPageBreak/>
        <w:t>E13 предусматривает одну серверную реплику, PostgreSQL 16 либо внешнюю БД, persistent volume и ограничения ресурсов в Helm. Эти настройки подтверждены статически. Наличие Kubernetes само по себе не даёт высокой доступности БД и приложения. Допущения о 500 и 1000 разработчиках не подтверждены замерами.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В E04 приложение содержит 160 vCPU, 308 ГБ RAM, 1950 ГБ NVMe и 290 ГБ SSD. Это согласованный объём услуги, а не данные фактически выделенных ресурсов, загрузки, местоположения всех копий и выполненных бэкапов. Нужны акт предоставления, инвентаризация ВМ и измерения.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Рост сырых событий следует рассчитывать отдельно от индексов, WAL, реплик и резервных копий. При заявленных 15-140 МБ/разработчик/месяц для 1000 человек получается 15-140 ГБ сырых данных в месяц, 180-1680 ГБ в год без накладных расходов. Эти границы являются сценарием на основе REPORTED, а не измерением.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Связанные находки: SP-PM-ARC-001 SP-PM-ARC-002 SP-PM-DEP-003.</w:t>
      </w:r>
    </w:p>
    <w:p w:rsidR="00765FD5" w:rsidRPr="003A32A5" w:rsidRDefault="001067DD">
      <w:pPr>
        <w:pStyle w:val="1"/>
      </w:pPr>
      <w:bookmarkStart w:id="6" w:name="_Toc243658802"/>
      <w:r w:rsidRPr="003A32A5">
        <w:rPr>
          <w:rFonts w:ascii="Times New Roman" w:hAnsi="Times New Roman" w:cs="Times New Roman" w:eastAsia="Times New Roman"/>
          <w:color w:val="000000"/>
        </w:rPr>
        <w:t>6 3.5 Сбор данных и интеграции</w:t>
      </w:r>
      <w:bookmarkEnd w:id="6"/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Источники: L02 с. 8-9,26; E01 T01,T02,T13,T14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Для IDE, CLI и расширения браузера исходный отчёт заявляет локальные очереди, подтверждение каждого элемента пачки и дедупликацию на сервере. Без кода и стенда не проверены сохранность очереди при сбое, retry/backoff, порядок событий, clock skew и изоляция организаций.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Заявление «код не собирается» следует проверять на каждом типе события и пользовательском действии. Пути файлов, git remote, тексты запросов к ИИ, ячейки БД и стенограммы могут содержать более чувствительные сведения, чем метаданные. По исходному отчёту скриншот вкладки возможен при баг-репорте по действию пользователя.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 xml:space="preserve">Нужны контрактные тесты каждого заявленного коннектора и поддерживаемых версий, минимальные scopes токенов, пагинация, webhook </w:t>
      </w:r>
      <w:r w:rsidRPr="003A32A5">
        <w:rPr>
          <w:rFonts w:ascii="Times New Roman" w:hAnsi="Times New Roman" w:cs="Times New Roman" w:eastAsia="Times New Roman"/>
          <w:color w:val="000000"/>
        </w:rPr>
        <w:lastRenderedPageBreak/>
        <w:t>replay и отзыв доступа. Выгрузка полной матрицы и сетевой capture не предоставлены; сбор и функциональность интеграций NOT TESTED.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Связанные находки: SP-PM-SEC-001 SP-PM-SEC-006 SP-PM-MET-001.</w:t>
      </w:r>
    </w:p>
    <w:p w:rsidR="00765FD5" w:rsidRPr="003A32A5" w:rsidRDefault="001067DD">
      <w:pPr>
        <w:pStyle w:val="1"/>
      </w:pPr>
      <w:bookmarkStart w:id="7" w:name="_Toc243658803"/>
      <w:r w:rsidRPr="003A32A5">
        <w:rPr>
          <w:rFonts w:ascii="Times New Roman" w:hAnsi="Times New Roman" w:cs="Times New Roman" w:eastAsia="Times New Roman"/>
          <w:color w:val="000000"/>
        </w:rPr>
        <w:t>7 Архитектурные гипотезы для проверки</w:t>
      </w:r>
      <w:bookmarkEnd w:id="7"/>
    </w:p>
    <w:p w:rsidR="00765FD5" w:rsidRPr="003A32A5" w:rsidRDefault="001067DD">
      <w:pPr>
        <w:keepNext/>
        <w:spacing w:line="240" w:lineRule="auto"/>
        <w:jc w:val="left"/>
      </w:pPr>
      <w:r w:rsidRPr="003A32A5">
        <w:rPr>
          <w:rFonts w:ascii="Times New Roman" w:hAnsi="Times New Roman" w:cs="Times New Roman" w:eastAsia="Times New Roman"/>
          <w:sz w:val="24"/>
          <w:color w:val="000000"/>
        </w:rPr>
        <w:t>Таблица 2  Архитектурные решения и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231"/>
        <w:gridCol w:w="3969"/>
      </w:tblGrid>
      <w:tr w:rsidR="00765FD5" w:rsidRPr="003A32A5">
        <w:trPr>
          <w:cantSplit/>
          <w:tblHeader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Решение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Возможное преимущество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Что требуется проверить</w:t>
            </w:r>
          </w:p>
        </w:tc>
      </w:tr>
      <w:tr w:rsidR="00765FD5" w:rsidRPr="003A32A5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Модульный монолит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Один артефакт и простая On-Prem эксплуатация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Зависимости модулей, доменные границы, транзакции, циклы, время сборки.</w:t>
            </w:r>
          </w:p>
        </w:tc>
      </w:tr>
      <w:tr w:rsidR="00765FD5" w:rsidRPr="003A32A5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PostgreSQL и витрины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Единое состояние, понятные операции бэкапа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Планы SQL, индексы, блокировки refresh, WAL, IOPS и рост данных.</w:t>
            </w:r>
          </w:p>
        </w:tc>
      </w:tr>
      <w:tr w:rsidR="00765FD5" w:rsidRPr="003A32A5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GraalVM native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Возможный быстрый старт и меньшая память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Reflection/resources, TLS/LDAP, шрифты экспорта, parity с JVM.</w:t>
            </w:r>
          </w:p>
        </w:tc>
      </w:tr>
      <w:tr w:rsidR="00765FD5" w:rsidRPr="003A32A5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Общая кодовая база SaaS/On-Prem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Снижение числа веток поставки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Профили, feature flags, egress и tenant isolation.</w:t>
            </w:r>
          </w:p>
        </w:tc>
      </w:tr>
      <w:tr w:rsidR="00765FD5" w:rsidRPr="003A32A5">
        <w:trPr>
          <w:cantSplit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Агенты и ingestion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Расширяемые источники активности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65FD5" w:rsidRPr="003A32A5" w:rsidRDefault="001067DD">
            <w:pPr>
              <w:spacing w:after="60" w:line="252" w:lineRule="auto"/>
              <w:jc w:val="left"/>
            </w:pPr>
            <w:r w:rsidRPr="003A32A5">
              <w:rPr>
                <w:rFonts w:ascii="Times New Roman" w:hAnsi="Times New Roman" w:cs="Times New Roman" w:eastAsia="Times New Roman"/>
                <w:sz w:val="22"/>
                <w:color w:val="000000"/>
              </w:rPr>
              <w:t>Контракт событий, очередь, дедупликация, атрибуция, clock skew.</w:t>
            </w:r>
          </w:p>
        </w:tc>
      </w:tr>
    </w:tbl>
    <w:p w:rsidR="00765FD5" w:rsidRPr="003A32A5" w:rsidRDefault="00765FD5"/>
    <w:p w:rsidR="00765FD5" w:rsidRPr="003A32A5" w:rsidRDefault="001067DD">
      <w:pPr>
        <w:pStyle w:val="1"/>
      </w:pPr>
      <w:bookmarkStart w:id="8" w:name="_Toc243658804"/>
      <w:r w:rsidRPr="003A32A5">
        <w:rPr>
          <w:rFonts w:ascii="Times New Roman" w:hAnsi="Times New Roman" w:cs="Times New Roman" w:eastAsia="Times New Roman"/>
          <w:color w:val="000000"/>
        </w:rPr>
        <w:t>8 Экспертный вывод и корректирующие действия</w:t>
      </w:r>
      <w:bookmarkEnd w:id="8"/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 xml:space="preserve">SP-PM-SRC-001 - Отсутствует проверяемый исходный код. Предоставить доступ только для чтения к полным репозиториям и CI, зафиксировать remote, полный SHA, branch/tag, SBOM и артефакты релиза. </w:t>
      </w:r>
      <w:r w:rsidRPr="003A32A5">
        <w:rPr>
          <w:rFonts w:ascii="Times New Roman" w:hAnsi="Times New Roman" w:cs="Times New Roman" w:eastAsia="Times New Roman"/>
          <w:color w:val="000000"/>
        </w:rPr>
        <w:lastRenderedPageBreak/>
        <w:t>Критерий закрытия: Независимая сборка и тесты на согласованном SHA; карта SHA→image digest→релиз.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SP-PM-ARC-001 - Масштаб 500-1000 разработчиков не измерен. Испытать native-образ на 30/100/500/1000 разработчиков с оговорёнными потоками, историей данных и одновременно работающими отчётами. Критерий закрытия: Согласованные SLO выполнены; зафиксированы p95/p99, очередь, ошибки, CPU, RAM, IOPS и свежесть витрин.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SP-PM-ARC-002 - RPO RTO и восстановление не подтверждены. Определить RPO/RTO, ответственность, частоту резервирования, срок хранения и мониторинг; провести восстановление на чистом стенде. Критерий закрытия: Измеренные RPO/RTO, проверка полноты и целостности восстановленных данных, протокол ответственных.</w:t>
      </w:r>
    </w:p>
    <w:p w:rsidR="00765FD5" w:rsidRPr="003A32A5" w:rsidRDefault="001067DD">
      <w:pPr>
        <w:pStyle w:val="1"/>
      </w:pPr>
      <w:bookmarkStart w:id="9" w:name="_Toc243658805"/>
      <w:r w:rsidRPr="003A32A5">
        <w:rPr>
          <w:rFonts w:ascii="Times New Roman" w:hAnsi="Times New Roman" w:cs="Times New Roman" w:eastAsia="Times New Roman"/>
          <w:color w:val="000000"/>
        </w:rPr>
        <w:t>9 Приложения и согласование</w:t>
      </w:r>
      <w:bookmarkEnd w:id="9"/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765FD5" w:rsidRPr="003A32A5" w:rsidRDefault="001067DD">
      <w:pPr>
        <w:ind w:firstLine="709"/>
      </w:pPr>
      <w:r w:rsidRPr="003A32A5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765FD5" w:rsidRPr="003A32A5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C0A13" w:rsidRPr="003A32A5" w:rsidRDefault="001067DD">
      <w:pPr>
        <w:spacing w:after="0" w:line="240" w:lineRule="auto"/>
      </w:pPr>
      <w:r w:rsidRPr="003A32A5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AC0A13" w:rsidRPr="003A32A5" w:rsidRDefault="001067DD">
      <w:pPr>
        <w:spacing w:after="0" w:line="240" w:lineRule="auto"/>
      </w:pPr>
      <w:r w:rsidRPr="003A32A5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65FD5" w:rsidRPr="003A32A5" w:rsidRDefault="001067DD">
    <w:pPr>
      <w:pStyle w:val="a7"/>
      <w:spacing w:line="240" w:lineRule="auto"/>
      <w:jc w:val="center"/>
    </w:pPr>
    <w:r w:rsidRPr="003A32A5">
      <w:rPr>
        <w:rFonts w:ascii="Times New Roman" w:hAnsi="Times New Roman" w:cs="Times New Roman" w:eastAsia="Times New Roman"/>
        <w:sz w:val="18"/>
        <w:color w:val="000000"/>
      </w:rPr>
      <w:t xml:space="preserve">SP-PM-05  |  </w:t>
    </w:r>
    <w:r w:rsidRPr="003A32A5">
      <w:rPr>
        <w:rFonts w:ascii="Times New Roman" w:hAnsi="Times New Roman" w:cs="Times New Roman" w:eastAsia="Times New Roman"/>
        <w:color w:val="000000"/>
      </w:rPr>
      <w:fldChar w:fldCharType="begin"/>
    </w:r>
    <w:r w:rsidRPr="003A32A5">
      <w:rPr>
        <w:rFonts w:ascii="Times New Roman" w:hAnsi="Times New Roman" w:cs="Times New Roman" w:eastAsia="Times New Roman"/>
        <w:color w:val="000000"/>
      </w:rPr>
      <w:instrText>PAGE</w:instrText>
    </w:r>
    <w:r w:rsidRPr="003A32A5">
      <w:rPr>
        <w:rFonts w:ascii="Times New Roman" w:hAnsi="Times New Roman" w:cs="Times New Roman" w:eastAsia="Times New Roman"/>
        <w:color w:val="000000"/>
      </w:rPr>
      <w:fldChar w:fldCharType="separate"/>
    </w:r>
    <w:r w:rsidRPr="003A32A5">
      <w:rPr>
        <w:rFonts w:ascii="Times New Roman" w:hAnsi="Times New Roman" w:cs="Times New Roman" w:eastAsia="Times New Roman"/>
        <w:noProof/>
        <w:color w:val="000000"/>
      </w:rPr>
      <w:t>1</w:t>
    </w:r>
    <w:r w:rsidRPr="003A32A5">
      <w:rPr>
        <w:rFonts w:ascii="Times New Roman" w:hAnsi="Times New Roman" w:cs="Times New Roman" w:eastAsia="Times New Roman"/>
        <w:color w:val="000000"/>
      </w:rPr>
      <w:fldChar w:fldCharType="end"/>
    </w:r>
    <w:r w:rsidRPr="003A32A5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3A32A5">
      <w:rPr>
        <w:rFonts w:ascii="Times New Roman" w:hAnsi="Times New Roman" w:cs="Times New Roman" w:eastAsia="Times New Roman"/>
        <w:color w:val="000000"/>
      </w:rPr>
      <w:fldChar w:fldCharType="begin"/>
    </w:r>
    <w:r w:rsidRPr="003A32A5">
      <w:rPr>
        <w:rFonts w:ascii="Times New Roman" w:hAnsi="Times New Roman" w:cs="Times New Roman" w:eastAsia="Times New Roman"/>
        <w:color w:val="000000"/>
      </w:rPr>
      <w:instrText>NUMPAGES</w:instrText>
    </w:r>
    <w:r w:rsidRPr="003A32A5">
      <w:rPr>
        <w:rFonts w:ascii="Times New Roman" w:hAnsi="Times New Roman" w:cs="Times New Roman" w:eastAsia="Times New Roman"/>
        <w:color w:val="000000"/>
      </w:rPr>
      <w:fldChar w:fldCharType="separate"/>
    </w:r>
    <w:r w:rsidRPr="003A32A5">
      <w:rPr>
        <w:rFonts w:ascii="Times New Roman" w:hAnsi="Times New Roman" w:cs="Times New Roman" w:eastAsia="Times New Roman"/>
        <w:noProof/>
        <w:color w:val="000000"/>
      </w:rPr>
      <w:t>1</w:t>
    </w:r>
    <w:r w:rsidRPr="003A32A5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C0A13" w:rsidRPr="003A32A5" w:rsidRDefault="001067DD">
      <w:pPr>
        <w:spacing w:after="0" w:line="240" w:lineRule="auto"/>
      </w:pPr>
      <w:r w:rsidRPr="003A32A5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AC0A13" w:rsidRPr="003A32A5" w:rsidRDefault="001067DD">
      <w:pPr>
        <w:spacing w:after="0" w:line="240" w:lineRule="auto"/>
      </w:pPr>
      <w:r w:rsidRPr="003A32A5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65FD5" w:rsidRPr="003A32A5" w:rsidRDefault="001067DD">
    <w:pPr>
      <w:spacing w:line="240" w:lineRule="auto"/>
      <w:jc w:val="right"/>
    </w:pPr>
    <w:r w:rsidRPr="003A32A5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7DD"/>
    <w:rsid w:val="0015074B"/>
    <w:rsid w:val="0029639D"/>
    <w:rsid w:val="00326F90"/>
    <w:rsid w:val="003A32A5"/>
    <w:rsid w:val="00583908"/>
    <w:rsid w:val="00765FD5"/>
    <w:rsid w:val="00864579"/>
    <w:rsid w:val="00AA1D8D"/>
    <w:rsid w:val="00AC0A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1067DD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1067DD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DF5F9A-9625-4658-BCEE-634861359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980</Words>
  <Characters>8021</Characters>
  <Application>Microsoft Office Word</Application>
  <DocSecurity>0</DocSecurity>
  <Lines>200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документарной оценки архитектуры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