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5544" w:rsidRPr="00740F24" w:rsidRDefault="008E6C17">
      <w:bookmarkStart w:id="0" w:name="_GoBack"/>
      <w:bookmarkEnd w:id="0"/>
      <w:r w:rsidRPr="00740F24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7C5544" w:rsidRPr="00740F24" w:rsidRDefault="008E6C17">
      <w:pPr>
        <w:pStyle w:val="aa"/>
      </w:pPr>
      <w:r w:rsidRPr="00740F24">
        <w:rPr>
          <w:rFonts w:ascii="Times New Roman" w:hAnsi="Times New Roman" w:cs="Times New Roman" w:eastAsia="Times New Roman"/>
          <w:color w:val="000000"/>
        </w:rPr>
        <w:t>Проверка расчётов труда бюджета и дорожной карты PanDev Metrics</w:t>
      </w:r>
    </w:p>
    <w:p w:rsidR="007C5544" w:rsidRPr="00740F24" w:rsidRDefault="008E6C17">
      <w:pPr>
        <w:ind w:firstLine="709"/>
        <w:jc w:val="left"/>
      </w:pPr>
      <w:r w:rsidRPr="00740F24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Подготовлено 23.10.2026  |  SP-PM-12  |  v1.0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7C5544" w:rsidRPr="00740F24" w:rsidRDefault="008E6C17">
      <w:r w:rsidRPr="00740F24">
        <w:rPr>
          <w:rFonts w:ascii="Times New Roman" w:hAnsi="Times New Roman" w:cs="Times New Roman" w:eastAsia="Times New Roman"/>
          <w:color w:val="000000"/>
        </w:rPr>
        <w:br w:type="page"/>
      </w:r>
    </w:p>
    <w:p w:rsidR="007C5544" w:rsidRPr="00740F24" w:rsidRDefault="008E6C17">
      <w:r w:rsidRPr="00740F24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740F24" w:rsidRPr="00740F24" w:rsidRDefault="008E6C17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740F24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740F24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984" w:history="1">
        <w:r w:rsidR="00740F24"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740F24"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740F24"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740F24"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_Toc243658984 \h </w:instrText>
        </w:r>
        <w:r w:rsidR="00740F24"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740F24"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740F24"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85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_Toc243658985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86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_Toc243658986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87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3.10 Трудозатраты бюджет и дорожная карта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_Toc243658987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88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3.11 Команда и инженерные процессы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_Toc243658988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89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Чувствительность авторо месяцев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_Toc243658989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90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Годовой бюджет разработки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_Toc243658990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91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Проверка сценариев Excel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_Toc243658991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92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Ёмкость и реалистичность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_Toc243658992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93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Периметр затрат и бухгалтерские ограничения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_Toc243658993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94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Экспертный вывод и корректирующие действия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_Toc243658994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0F24" w:rsidRPr="00740F24" w:rsidRDefault="00740F24" w:rsidP="00740F24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95" w:history="1">
        <w:r w:rsidRPr="00740F24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12 Приложения и согласование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_Toc243658995 \h </w:instrTex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740F24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C5544" w:rsidRPr="00740F24" w:rsidRDefault="008E6C17" w:rsidP="00740F24">
      <w:pPr>
        <w:spacing w:after="0" w:line="240" w:lineRule="auto"/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7C5544" w:rsidRPr="00740F24" w:rsidRDefault="008E6C17">
      <w:r w:rsidRPr="00740F24">
        <w:rPr>
          <w:rFonts w:ascii="Times New Roman" w:hAnsi="Times New Roman" w:cs="Times New Roman" w:eastAsia="Times New Roman"/>
          <w:color w:val="000000"/>
        </w:rPr>
        <w:br w:type="page"/>
      </w:r>
    </w:p>
    <w:p w:rsidR="007C5544" w:rsidRPr="00740F24" w:rsidRDefault="008E6C17">
      <w:pPr>
        <w:pStyle w:val="1"/>
      </w:pPr>
      <w:bookmarkStart w:id="1" w:name="_Toc243658984"/>
      <w:r w:rsidRPr="00740F24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проверить арифметику и согласованность финансовых предпосылок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Предмет и границы: не финансовый аудит и не оценка справедливой стоимости; платежи и документы НМА отсутствуют</w:t>
      </w:r>
    </w:p>
    <w:p w:rsidR="007C5544" w:rsidRPr="00740F24" w:rsidRDefault="008E6C17">
      <w:pPr>
        <w:pStyle w:val="1"/>
      </w:pPr>
      <w:bookmarkStart w:id="2" w:name="_Toc243658985"/>
      <w:r w:rsidRPr="00740F24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7C5544" w:rsidRPr="00740F24" w:rsidRDefault="008E6C17">
      <w:pPr>
        <w:pStyle w:val="1"/>
      </w:pPr>
      <w:bookmarkStart w:id="3" w:name="_Toc243658986"/>
      <w:r w:rsidRPr="00740F24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7C5544" w:rsidRPr="00740F24" w:rsidRDefault="008E6C17">
      <w:pPr>
        <w:keepNext/>
        <w:spacing w:line="240" w:lineRule="auto"/>
        <w:jc w:val="left"/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7C5544" w:rsidRPr="00740F24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7C5544" w:rsidRPr="00740F24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7C5544" w:rsidRPr="00740F24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E02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02_Бизнес-план_2026-2030_ред_11.09.2026.pdf</w:t>
            </w:r>
          </w:p>
        </w:tc>
      </w:tr>
      <w:tr w:rsidR="007C5544" w:rsidRPr="00740F24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E03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03_Финансовая_модель_2026-2030_от_11.09.2026.xlsx</w:t>
            </w:r>
          </w:p>
        </w:tc>
      </w:tr>
      <w:tr w:rsidR="007C5544" w:rsidRPr="00740F24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L03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PanDev_Бюджет_разработки_оргструктура_дорожная_карта.xlsx</w:t>
            </w:r>
          </w:p>
        </w:tc>
      </w:tr>
      <w:tr w:rsidR="007C5544" w:rsidRPr="00740F24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7C5544" w:rsidRPr="00740F24" w:rsidRDefault="007C5544"/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7C5544" w:rsidRPr="00740F24" w:rsidRDefault="008E6C17">
      <w:pPr>
        <w:pStyle w:val="1"/>
      </w:pPr>
      <w:bookmarkStart w:id="4" w:name="_Toc243658987"/>
      <w:r w:rsidRPr="00740F24">
        <w:rPr>
          <w:rFonts w:ascii="Times New Roman" w:hAnsi="Times New Roman" w:cs="Times New Roman" w:eastAsia="Times New Roman"/>
          <w:color w:val="000000"/>
        </w:rPr>
        <w:t>4 3.10 Трудозатраты бюджет и дорожная карта</w:t>
      </w:r>
      <w:bookmarkEnd w:id="4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Источники: E01,E02,E03,L03; L02 с. 13-15,24; P04,P05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В Excel 16.0 на копии модели пересчитаны все 19 листов и 13750 формул; ошибок формул нет, исходные caches совпали с пересчётом при допуске max(10⁻⁷, |x|×10⁻¹⁰). Проверены базовый, негативный и стресс-сценарии; реальные платежи и экономические допущения этим не подтверждаются.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Статический бюджет E01 согласуется с годовыми итогами модели после округления. Разработка в 2026: модель $179730,73; факт января-августа плюс план сентября-декабря $116603,76. Это разные периметры. Инструменты индексируются, поэтому суммирование базовых строк без индекса даёт иной итог. Проверены различия E01 и L03: 432 ячейки, включая текст и расширенную roadmap, а не 432 ошибки.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Оценка 75,5 млн KZT требует документов капитализации и первичных затрат. Метод авторо-месяцев чувствителен к двойному учёту и коэффициенту занятости. Выполнимость roadmap нельзя доказать долей валовой ёмкости всех ролей. Внешний пентест, сертификаты и юридическая работа должны иметь отдельные предложения и бюджет.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Связанные находки: SP-PM-FIN-001 SP-PM-FIN-002 SP-PM-FIN-003.</w:t>
      </w:r>
    </w:p>
    <w:p w:rsidR="007C5544" w:rsidRPr="00740F24" w:rsidRDefault="008E6C17">
      <w:pPr>
        <w:pStyle w:val="1"/>
      </w:pPr>
      <w:bookmarkStart w:id="5" w:name="_Toc243658988"/>
      <w:r w:rsidRPr="00740F24">
        <w:rPr>
          <w:rFonts w:ascii="Times New Roman" w:hAnsi="Times New Roman" w:cs="Times New Roman" w:eastAsia="Times New Roman"/>
          <w:color w:val="000000"/>
        </w:rPr>
        <w:t>5 3.11 Команда и инженерные процессы</w:t>
      </w:r>
      <w:bookmarkEnd w:id="5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Источники: E01 Оргструктура; E06-E09; L02 с. 15-16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 xml:space="preserve">E01 отражает состав на 19.10.2026, L03 - на 30.09.2026. Разработка и продукт: восемь действующих участников и отдельная вакансия; роли </w:t>
      </w:r>
      <w:r w:rsidRPr="00740F24">
        <w:rPr>
          <w:rFonts w:ascii="Times New Roman" w:hAnsi="Times New Roman" w:cs="Times New Roman" w:eastAsia="Times New Roman"/>
          <w:color w:val="000000"/>
        </w:rPr>
        <w:lastRenderedPageBreak/>
        <w:t>включают продукт, дизайн и QA, а не только программирование. План модели на конец 2026 - восемь единиц, поэтому vacancy нельзя автоматически добавить к доступной ёмкости.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Сведения о 72% строк у трёх авторов сервера и 83% строк у двух авторов веба остаются REPORTED: blame и история отсутствуют. Доля строк не равна bus-factor; нужно проверить реальную взаимозаменяемость на сборке, релизе, расследовании инцидента и восстановлении без ключевого автора.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Документированные MR и защищённые ветки не доказывают независимое одобрение каждого изменения. Запросить реальные настройки approvals, выборку MR, Code Owners и журнал отзыва доступов. Подтвердить DevOps/ИБ-функцию отдельным ответственным и выделенной ёмкостью, поскольку в штатной таблице она не выделена явно.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Связанные находки: SP-PM-SRC-001 SP-PM-FIN-002 SP-PM-SEC-007.</w:t>
      </w:r>
    </w:p>
    <w:p w:rsidR="007C5544" w:rsidRPr="00740F24" w:rsidRDefault="008E6C17">
      <w:pPr>
        <w:pStyle w:val="1"/>
      </w:pPr>
      <w:bookmarkStart w:id="6" w:name="_Toc243658989"/>
      <w:r w:rsidRPr="00740F24">
        <w:rPr>
          <w:rFonts w:ascii="Times New Roman" w:hAnsi="Times New Roman" w:cs="Times New Roman" w:eastAsia="Times New Roman"/>
          <w:color w:val="000000"/>
        </w:rPr>
        <w:t>6 Чувствительность авторо месяцев</w:t>
      </w:r>
      <w:bookmarkEnd w:id="6"/>
    </w:p>
    <w:p w:rsidR="007C5544" w:rsidRPr="00740F24" w:rsidRDefault="008E6C17">
      <w:pPr>
        <w:keepNext/>
        <w:spacing w:line="240" w:lineRule="auto"/>
        <w:jc w:val="left"/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t>Таблица 2  Чувствительность оценки трудозатрат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948"/>
        <w:gridCol w:w="3969"/>
      </w:tblGrid>
      <w:tr w:rsidR="007C5544" w:rsidRPr="00740F24">
        <w:trPr>
          <w:cantSplit/>
          <w:tblHeader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Коэффициент занятости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159 авторо месяцев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Стоимость при $2125 и 490 KZT/USD</w:t>
            </w:r>
          </w:p>
        </w:tc>
      </w:tr>
      <w:tr w:rsidR="007C5544" w:rsidRPr="00740F24">
        <w:trPr>
          <w:cantSplit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0.4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63.60 чел.-мес.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66.224 млн KZT</w:t>
            </w:r>
          </w:p>
        </w:tc>
      </w:tr>
      <w:tr w:rsidR="007C5544" w:rsidRPr="00740F24">
        <w:trPr>
          <w:cantSplit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0.5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79.50 чел.-мес.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82.779 млн KZT</w:t>
            </w:r>
          </w:p>
        </w:tc>
      </w:tr>
      <w:tr w:rsidR="007C5544" w:rsidRPr="00740F24">
        <w:trPr>
          <w:cantSplit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0.6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95.40 чел.-мес.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99.335 млн KZT</w:t>
            </w:r>
          </w:p>
        </w:tc>
      </w:tr>
      <w:tr w:rsidR="007C5544" w:rsidRPr="00740F24">
        <w:trPr>
          <w:cantSplit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0.7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111.30 чел.-мес.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115.891 млн KZT</w:t>
            </w:r>
          </w:p>
        </w:tc>
      </w:tr>
      <w:tr w:rsidR="007C5544" w:rsidRPr="00740F24">
        <w:trPr>
          <w:cantSplit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0.8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127.20 чел.-мес.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132.447 млн KZT</w:t>
            </w:r>
          </w:p>
        </w:tc>
      </w:tr>
      <w:tr w:rsidR="007C5544" w:rsidRPr="00740F24">
        <w:trPr>
          <w:cantSplit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1.0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159.00 чел.-мес.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165.559 млн KZT</w:t>
            </w:r>
          </w:p>
        </w:tc>
      </w:tr>
    </w:tbl>
    <w:p w:rsidR="007C5544" w:rsidRPr="00740F24" w:rsidRDefault="007C5544"/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 xml:space="preserve">Ставка $2125 и курс 490 - допущения исходного аудита, не текущая рыночная котировка. Не используется курс валюты на дату подготовки. Для воссоздания 383×0,6-0,8=229,8-306,4 чел.-мес. При разных ставках по </w:t>
      </w:r>
      <w:r w:rsidRPr="00740F24">
        <w:rPr>
          <w:rFonts w:ascii="Times New Roman" w:hAnsi="Times New Roman" w:cs="Times New Roman" w:eastAsia="Times New Roman"/>
          <w:color w:val="000000"/>
        </w:rPr>
        <w:lastRenderedPageBreak/>
        <w:t>границам $2500/$3500 диапазон 281,505-525,476 млн KZT. Это сценарий замещения, не стоимость бизнеса и не доказательство капитализации.</w:t>
      </w:r>
    </w:p>
    <w:p w:rsidR="007C5544" w:rsidRPr="00740F24" w:rsidRDefault="008E6C17">
      <w:pPr>
        <w:pStyle w:val="1"/>
      </w:pPr>
      <w:bookmarkStart w:id="7" w:name="_Toc243658990"/>
      <w:r w:rsidRPr="00740F24">
        <w:rPr>
          <w:rFonts w:ascii="Times New Roman" w:hAnsi="Times New Roman" w:cs="Times New Roman" w:eastAsia="Times New Roman"/>
          <w:color w:val="000000"/>
        </w:rPr>
        <w:t>7 Годовой бюджет разработки</w:t>
      </w:r>
      <w:bookmarkEnd w:id="7"/>
    </w:p>
    <w:p w:rsidR="007C5544" w:rsidRPr="00740F24" w:rsidRDefault="008E6C17">
      <w:pPr>
        <w:keepNext/>
        <w:spacing w:line="240" w:lineRule="auto"/>
        <w:jc w:val="left"/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t>Таблица 3  Годовой бюджет разработки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361"/>
        <w:gridCol w:w="1361"/>
        <w:gridCol w:w="1361"/>
        <w:gridCol w:w="1361"/>
        <w:gridCol w:w="1191"/>
      </w:tblGrid>
      <w:tr w:rsidR="007C5544" w:rsidRPr="00740F24">
        <w:trPr>
          <w:cantSplit/>
          <w:tblHeader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Показатель USD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2026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2027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2028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2029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2030</w:t>
            </w:r>
          </w:p>
        </w:tc>
      </w:tr>
      <w:tr w:rsidR="007C5544" w:rsidRPr="00740F24">
        <w:trPr>
          <w:cantSplit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 драйверной модели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179731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240907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458129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699757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941010</w:t>
            </w:r>
          </w:p>
        </w:tc>
      </w:tr>
      <w:tr w:rsidR="007C5544" w:rsidRPr="00740F24">
        <w:trPr>
          <w:cantSplit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В ОПиУ факт плюс план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116604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240907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458129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699757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941010</w:t>
            </w:r>
          </w:p>
        </w:tc>
      </w:tr>
      <w:tr w:rsidR="007C5544" w:rsidRPr="00740F24">
        <w:trPr>
          <w:cantSplit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Штат разработки на конец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8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11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22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29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36</w:t>
            </w:r>
          </w:p>
        </w:tc>
      </w:tr>
      <w:tr w:rsidR="007C5544" w:rsidRPr="00740F24">
        <w:trPr>
          <w:cantSplit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Безопасность отдельной строкой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18000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42000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72000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108000</w:t>
            </w:r>
          </w:p>
        </w:tc>
      </w:tr>
    </w:tbl>
    <w:p w:rsidR="007C5544" w:rsidRPr="00740F24" w:rsidRDefault="007C5544"/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Источник: E01 Бюджет_разработки B6:F18; сверка E03 Драйверы_Расходы BO:BS. Значения округлены до целого USD. В 2026 показатель $116604 состоит из $47994 факта и $68610 плана; он не противоречит отдельному расчёту всего года по драйверам $179731.</w:t>
      </w:r>
    </w:p>
    <w:p w:rsidR="007C5544" w:rsidRPr="00740F24" w:rsidRDefault="008E6C17">
      <w:pPr>
        <w:pStyle w:val="1"/>
      </w:pPr>
      <w:bookmarkStart w:id="8" w:name="_Toc243658991"/>
      <w:r w:rsidRPr="00740F24">
        <w:rPr>
          <w:rFonts w:ascii="Times New Roman" w:hAnsi="Times New Roman" w:cs="Times New Roman" w:eastAsia="Times New Roman"/>
          <w:color w:val="000000"/>
        </w:rPr>
        <w:t>8 Проверка сценариев Excel</w:t>
      </w:r>
      <w:bookmarkEnd w:id="8"/>
    </w:p>
    <w:p w:rsidR="007C5544" w:rsidRPr="00740F24" w:rsidRDefault="008E6C17">
      <w:pPr>
        <w:keepNext/>
        <w:spacing w:line="240" w:lineRule="auto"/>
        <w:jc w:val="left"/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t>Таблица 4  Результаты пересчёта сценариев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721"/>
        <w:gridCol w:w="2721"/>
        <w:gridCol w:w="2211"/>
      </w:tblGrid>
      <w:tr w:rsidR="007C5544" w:rsidRPr="00740F24">
        <w:trPr>
          <w:cantSplit/>
          <w:tblHeader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Сценарий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Выручка 2027 USD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EBITDA 2027 USD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Штат на конец 2027</w:t>
            </w:r>
          </w:p>
        </w:tc>
      </w:tr>
      <w:tr w:rsidR="007C5544" w:rsidRPr="00740F24">
        <w:trPr>
          <w:cantSplit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856944.98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106851.58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23</w:t>
            </w:r>
          </w:p>
        </w:tc>
      </w:tr>
      <w:tr w:rsidR="007C5544" w:rsidRPr="00740F24">
        <w:trPr>
          <w:cantSplit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671471.67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-1601.71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19</w:t>
            </w:r>
          </w:p>
        </w:tc>
      </w:tr>
      <w:tr w:rsidR="007C5544" w:rsidRPr="00740F24">
        <w:trPr>
          <w:cantSplit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3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380832.25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-190260.55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17</w:t>
            </w:r>
          </w:p>
        </w:tc>
      </w:tr>
    </w:tbl>
    <w:p w:rsidR="007C5544" w:rsidRPr="00740F24" w:rsidRDefault="007C5544"/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Сценарий 1 - база, 2 - негатив, 3 - стресс. Показатели получены после изменения Допущения!F19 на копии в Excel 16.0 и полного пересчёта. В исходные файлы изменения не вносились. После проверки сценарий копии возвращён к 1. Достоверность исходной выручки и конверсий не подтверждена.</w:t>
      </w:r>
    </w:p>
    <w:p w:rsidR="007C5544" w:rsidRPr="00740F24" w:rsidRDefault="008E6C17">
      <w:pPr>
        <w:pStyle w:val="1"/>
      </w:pPr>
      <w:bookmarkStart w:id="9" w:name="_Toc243658992"/>
      <w:r w:rsidRPr="00740F24">
        <w:rPr>
          <w:rFonts w:ascii="Times New Roman" w:hAnsi="Times New Roman" w:cs="Times New Roman" w:eastAsia="Times New Roman"/>
          <w:color w:val="000000"/>
        </w:rPr>
        <w:lastRenderedPageBreak/>
        <w:t>9 Ёмкость и реалистичность</w:t>
      </w:r>
      <w:bookmarkEnd w:id="9"/>
    </w:p>
    <w:p w:rsidR="007C5544" w:rsidRPr="00740F24" w:rsidRDefault="008E6C17">
      <w:pPr>
        <w:keepNext/>
        <w:spacing w:line="240" w:lineRule="auto"/>
        <w:jc w:val="left"/>
      </w:pPr>
      <w:r w:rsidRPr="00740F24">
        <w:rPr>
          <w:rFonts w:ascii="Times New Roman" w:hAnsi="Times New Roman" w:cs="Times New Roman" w:eastAsia="Times New Roman"/>
          <w:sz w:val="24"/>
          <w:color w:val="000000"/>
        </w:rPr>
        <w:t>Таблица 5  Трудоёмкость и валовая ёмкость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551"/>
        <w:gridCol w:w="2268"/>
      </w:tblGrid>
      <w:tr w:rsidR="007C5544" w:rsidRPr="00740F24">
        <w:trPr>
          <w:cantSplit/>
          <w:tblHeader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Период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Задачи чел мес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Валовая ёмкость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Доля</w:t>
            </w:r>
          </w:p>
        </w:tc>
      </w:tr>
      <w:tr w:rsidR="007C5544" w:rsidRPr="00740F24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0-6 месяцев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4.85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48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10.10%</w:t>
            </w:r>
          </w:p>
        </w:tc>
      </w:tr>
      <w:tr w:rsidR="007C5544" w:rsidRPr="00740F24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2027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9.5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132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7.20%</w:t>
            </w:r>
          </w:p>
        </w:tc>
      </w:tr>
      <w:tr w:rsidR="007C5544" w:rsidRPr="00740F24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2028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6.0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264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2.27%</w:t>
            </w:r>
          </w:p>
        </w:tc>
      </w:tr>
      <w:tr w:rsidR="007C5544" w:rsidRPr="00740F24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2029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3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348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C5544" w:rsidRPr="00740F24" w:rsidRDefault="008E6C17">
            <w:pPr>
              <w:spacing w:after="60" w:line="252" w:lineRule="auto"/>
              <w:jc w:val="left"/>
            </w:pPr>
            <w:r w:rsidRPr="00740F24">
              <w:rPr>
                <w:rFonts w:ascii="Times New Roman" w:hAnsi="Times New Roman" w:cs="Times New Roman" w:eastAsia="Times New Roman"/>
                <w:sz w:val="22"/>
                <w:color w:val="000000"/>
              </w:rPr>
              <w:t>0.86%</w:t>
            </w:r>
          </w:p>
        </w:tc>
      </w:tr>
    </w:tbl>
    <w:p w:rsidR="007C5544" w:rsidRPr="00740F24" w:rsidRDefault="007C5544"/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Для первых шести месяцев 4,85/48=10,10%. При условно доступной доле 60% знаменатель 28,8 и доля 16,84%; при 40% - 19,2 и 25,26%. Это чувствительность предположения, а не установленная занятость команды. Для 2027 средний фактический штат при постепенном найме будет меньше конца года 11; DevOps и ИБ не выделены отдельной строкой. Сроки должны строиться по ролям и зависимостям.</w:t>
      </w:r>
    </w:p>
    <w:p w:rsidR="007C5544" w:rsidRPr="00740F24" w:rsidRDefault="008E6C17">
      <w:pPr>
        <w:pStyle w:val="1"/>
      </w:pPr>
      <w:bookmarkStart w:id="10" w:name="_Toc243658993"/>
      <w:r w:rsidRPr="00740F24">
        <w:rPr>
          <w:rFonts w:ascii="Times New Roman" w:hAnsi="Times New Roman" w:cs="Times New Roman" w:eastAsia="Times New Roman"/>
          <w:color w:val="000000"/>
        </w:rPr>
        <w:t>10 Периметр затрат и бухгалтерские ограничения</w:t>
      </w:r>
      <w:bookmarkEnd w:id="10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E01 G9 говорит о налогах только на штат РК, но E03 N36 = N10×(1+Допущения!F13), то есть коэффициент 12,4% применён к агрегату разработки без явного деления по юрисдикциям. Это упрощение модели следует раскрыть. Статья инфраструктуры имеет разные описания в E01/L03/E03; назначение и отсутствие двойного учёта нужно согласовать. Первичные акты капитализации 75,5 млн KZT, регистр НМА и платежи отсутствуют; срок пять лет из L02 нельзя автоматически сопоставить с общим параметром 36 месяцев в E03 F72 без раздельного реестра активов.</w:t>
      </w:r>
    </w:p>
    <w:p w:rsidR="007C5544" w:rsidRPr="00740F24" w:rsidRDefault="008E6C17">
      <w:pPr>
        <w:pStyle w:val="1"/>
      </w:pPr>
      <w:bookmarkStart w:id="11" w:name="_Toc243658994"/>
      <w:r w:rsidRPr="00740F24">
        <w:rPr>
          <w:rFonts w:ascii="Times New Roman" w:hAnsi="Times New Roman" w:cs="Times New Roman" w:eastAsia="Times New Roman"/>
          <w:color w:val="000000"/>
        </w:rPr>
        <w:t>11 Экспертный вывод и корректирующие действия</w:t>
      </w:r>
      <w:bookmarkEnd w:id="11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 xml:space="preserve"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</w:t>
      </w:r>
      <w:r w:rsidRPr="00740F24">
        <w:rPr>
          <w:rFonts w:ascii="Times New Roman" w:hAnsi="Times New Roman" w:cs="Times New Roman" w:eastAsia="Times New Roman"/>
          <w:color w:val="000000"/>
        </w:rPr>
        <w:lastRenderedPageBreak/>
        <w:t>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SP-PM-FIN-001 - Оценка труда не равна фактическим затратам. Пересчитать по person-month без двойного учёта, сопоставить табели, выплаты, акты и документы капитализации. Критерий закрытия: Воспроизводимый Git-extract и сверка с бухгалтерским регистром; отдельные выводы технического и финансового эксперта.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SP-PM-FIN-002 - Ёмкость дорожной карты завышена методикой знаменателя. Помесячный role-based план ёмкости, критический путь, зависимости, отдельный бюджет внешних работ и резерв. Критерий закрытия: Нагрузка задач по каждой роли не превышает доступные FTE; подтверждены сроки найма и подрядчики.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SP-PM-FIN-003 - Бюджетные комментарии не полностью отражают модель. Разнести затраты по юрлицу и функциям, утвердить назначение инфраструктурной статьи и единый bridge к ОПиУ. Критерий закрытия: Согласованная таблица юрисдикция×роль×начисления и назначение каждой статьи, без изменения фактов задним числом.</w:t>
      </w:r>
    </w:p>
    <w:p w:rsidR="007C5544" w:rsidRPr="00740F24" w:rsidRDefault="008E6C17">
      <w:pPr>
        <w:pStyle w:val="1"/>
      </w:pPr>
      <w:bookmarkStart w:id="12" w:name="_Toc243658995"/>
      <w:r w:rsidRPr="00740F24">
        <w:rPr>
          <w:rFonts w:ascii="Times New Roman" w:hAnsi="Times New Roman" w:cs="Times New Roman" w:eastAsia="Times New Roman"/>
          <w:color w:val="000000"/>
        </w:rPr>
        <w:t>12 Приложения и согласование</w:t>
      </w:r>
      <w:bookmarkEnd w:id="12"/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7C5544" w:rsidRPr="00740F24" w:rsidRDefault="008E6C17">
      <w:pPr>
        <w:ind w:firstLine="709"/>
      </w:pPr>
      <w:r w:rsidRPr="00740F24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7C5544" w:rsidRPr="00740F24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B494F" w:rsidRPr="00740F24" w:rsidRDefault="008E6C17">
      <w:pPr>
        <w:spacing w:after="0" w:line="240" w:lineRule="auto"/>
      </w:pPr>
      <w:r w:rsidRPr="00740F24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EB494F" w:rsidRPr="00740F24" w:rsidRDefault="008E6C17">
      <w:pPr>
        <w:spacing w:after="0" w:line="240" w:lineRule="auto"/>
      </w:pPr>
      <w:r w:rsidRPr="00740F24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5544" w:rsidRPr="00740F24" w:rsidRDefault="008E6C17">
    <w:pPr>
      <w:pStyle w:val="a7"/>
      <w:spacing w:line="240" w:lineRule="auto"/>
      <w:jc w:val="center"/>
    </w:pPr>
    <w:r w:rsidRPr="00740F24">
      <w:rPr>
        <w:rFonts w:ascii="Times New Roman" w:hAnsi="Times New Roman" w:cs="Times New Roman" w:eastAsia="Times New Roman"/>
        <w:sz w:val="18"/>
        <w:color w:val="000000"/>
      </w:rPr>
      <w:t xml:space="preserve">SP-PM-12  |  </w:t>
    </w:r>
    <w:r w:rsidRPr="00740F24">
      <w:rPr>
        <w:rFonts w:ascii="Times New Roman" w:hAnsi="Times New Roman" w:cs="Times New Roman" w:eastAsia="Times New Roman"/>
        <w:color w:val="000000"/>
      </w:rPr>
      <w:fldChar w:fldCharType="begin"/>
    </w:r>
    <w:r w:rsidRPr="00740F24">
      <w:rPr>
        <w:rFonts w:ascii="Times New Roman" w:hAnsi="Times New Roman" w:cs="Times New Roman" w:eastAsia="Times New Roman"/>
        <w:color w:val="000000"/>
      </w:rPr>
      <w:instrText>PAGE</w:instrText>
    </w:r>
    <w:r w:rsidRPr="00740F24">
      <w:rPr>
        <w:rFonts w:ascii="Times New Roman" w:hAnsi="Times New Roman" w:cs="Times New Roman" w:eastAsia="Times New Roman"/>
        <w:color w:val="000000"/>
      </w:rPr>
      <w:fldChar w:fldCharType="separate"/>
    </w:r>
    <w:r w:rsidRPr="00740F24">
      <w:rPr>
        <w:rFonts w:ascii="Times New Roman" w:hAnsi="Times New Roman" w:cs="Times New Roman" w:eastAsia="Times New Roman"/>
        <w:noProof/>
        <w:color w:val="000000"/>
      </w:rPr>
      <w:t>1</w:t>
    </w:r>
    <w:r w:rsidRPr="00740F24">
      <w:rPr>
        <w:rFonts w:ascii="Times New Roman" w:hAnsi="Times New Roman" w:cs="Times New Roman" w:eastAsia="Times New Roman"/>
        <w:color w:val="000000"/>
      </w:rPr>
      <w:fldChar w:fldCharType="end"/>
    </w:r>
    <w:r w:rsidRPr="00740F24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40F24">
      <w:rPr>
        <w:rFonts w:ascii="Times New Roman" w:hAnsi="Times New Roman" w:cs="Times New Roman" w:eastAsia="Times New Roman"/>
        <w:color w:val="000000"/>
      </w:rPr>
      <w:fldChar w:fldCharType="begin"/>
    </w:r>
    <w:r w:rsidRPr="00740F24">
      <w:rPr>
        <w:rFonts w:ascii="Times New Roman" w:hAnsi="Times New Roman" w:cs="Times New Roman" w:eastAsia="Times New Roman"/>
        <w:color w:val="000000"/>
      </w:rPr>
      <w:instrText>NUMPAGES</w:instrText>
    </w:r>
    <w:r w:rsidRPr="00740F24">
      <w:rPr>
        <w:rFonts w:ascii="Times New Roman" w:hAnsi="Times New Roman" w:cs="Times New Roman" w:eastAsia="Times New Roman"/>
        <w:color w:val="000000"/>
      </w:rPr>
      <w:fldChar w:fldCharType="separate"/>
    </w:r>
    <w:r w:rsidRPr="00740F24">
      <w:rPr>
        <w:rFonts w:ascii="Times New Roman" w:hAnsi="Times New Roman" w:cs="Times New Roman" w:eastAsia="Times New Roman"/>
        <w:noProof/>
        <w:color w:val="000000"/>
      </w:rPr>
      <w:t>1</w:t>
    </w:r>
    <w:r w:rsidRPr="00740F24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B494F" w:rsidRPr="00740F24" w:rsidRDefault="008E6C17">
      <w:pPr>
        <w:spacing w:after="0" w:line="240" w:lineRule="auto"/>
      </w:pPr>
      <w:r w:rsidRPr="00740F24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EB494F" w:rsidRPr="00740F24" w:rsidRDefault="008E6C17">
      <w:pPr>
        <w:spacing w:after="0" w:line="240" w:lineRule="auto"/>
      </w:pPr>
      <w:r w:rsidRPr="00740F24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5544" w:rsidRPr="00740F24" w:rsidRDefault="008E6C17">
    <w:pPr>
      <w:spacing w:line="240" w:lineRule="auto"/>
      <w:jc w:val="right"/>
    </w:pPr>
    <w:r w:rsidRPr="00740F24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135"/>
    <w:rsid w:val="00740F24"/>
    <w:rsid w:val="007C5544"/>
    <w:rsid w:val="008E6C17"/>
    <w:rsid w:val="00A61A0D"/>
    <w:rsid w:val="00AA1D8D"/>
    <w:rsid w:val="00B47730"/>
    <w:rsid w:val="00CB0664"/>
    <w:rsid w:val="00EB4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8E6C17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8E6C17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286A9D-7714-4F92-A384-62C7F2BAC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1360</Words>
  <Characters>9265</Characters>
  <Application>Microsoft Office Word</Application>
  <DocSecurity>0</DocSecurity>
  <Lines>257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расчётов труда бюджета и дорожной карты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