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5E29" w:rsidRPr="007C3FD0" w:rsidRDefault="000D1D40">
      <w:bookmarkStart w:id="0" w:name="_GoBack"/>
      <w:bookmarkEnd w:id="0"/>
      <w:r w:rsidRPr="007C3FD0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EE5E29" w:rsidRPr="007C3FD0" w:rsidRDefault="000D1D40">
      <w:pPr>
        <w:pStyle w:val="aa"/>
      </w:pPr>
      <w:r w:rsidRPr="007C3FD0">
        <w:rPr>
          <w:rFonts w:ascii="Times New Roman" w:hAnsi="Times New Roman" w:cs="Times New Roman" w:eastAsia="Times New Roman"/>
          <w:color w:val="000000"/>
        </w:rPr>
        <w:t>План корректирующих мероприятий PanDev Metrics</w:t>
      </w:r>
    </w:p>
    <w:p w:rsidR="00EE5E29" w:rsidRPr="007C3FD0" w:rsidRDefault="000D1D40">
      <w:pPr>
        <w:ind w:firstLine="709"/>
        <w:jc w:val="left"/>
      </w:pPr>
      <w:r w:rsidRPr="007C3FD0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Подготовлено 23.10.2026  |  SP-PM-14  |  v1.0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EE5E29" w:rsidRPr="007C3FD0" w:rsidRDefault="000D1D40">
      <w:r w:rsidRPr="007C3FD0">
        <w:rPr>
          <w:rFonts w:ascii="Times New Roman" w:hAnsi="Times New Roman" w:cs="Times New Roman" w:eastAsia="Times New Roman"/>
          <w:color w:val="000000"/>
        </w:rPr>
        <w:br w:type="page"/>
      </w:r>
    </w:p>
    <w:p w:rsidR="00EE5E29" w:rsidRPr="007C3FD0" w:rsidRDefault="000D1D40">
      <w:r w:rsidRPr="007C3FD0">
        <w:rPr>
          <w:rFonts w:ascii="Times New Roman" w:hAnsi="Times New Roman" w:cs="Times New Roman" w:eastAsia="Times New Roman"/>
          <w:b/>
          <w:color w:val="000000"/>
        </w:rPr>
        <w:lastRenderedPageBreak/>
        <w:t>Содержание</w:t>
      </w:r>
    </w:p>
    <w:p w:rsidR="007C3FD0" w:rsidRPr="007C3FD0" w:rsidRDefault="000D1D40" w:rsidP="007C3FD0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r w:rsidRPr="007C3FD0">
        <w:rPr>
          <w:rFonts w:ascii="Times New Roman" w:hAnsi="Times New Roman" w:cs="Times New Roman" w:eastAsia="Times New Roman"/>
          <w:sz w:val="24"/>
          <w:color w:val="000000"/>
        </w:rPr>
        <w:fldChar w:fldCharType="begin"/>
      </w:r>
      <w:r w:rsidRPr="007C3FD0">
        <w:rPr>
          <w:rFonts w:ascii="Times New Roman" w:hAnsi="Times New Roman" w:cs="Times New Roman" w:eastAsia="Times New Roman"/>
          <w:sz w:val="24"/>
          <w:color w:val="000000"/>
        </w:rPr>
        <w:instrText>TOC \o "1-2" \h \z \u</w:instrText>
      </w:r>
      <w:r w:rsidRPr="007C3FD0">
        <w:rPr>
          <w:rFonts w:ascii="Times New Roman" w:hAnsi="Times New Roman" w:cs="Times New Roman" w:eastAsia="Times New Roman"/>
          <w:sz w:val="24"/>
          <w:color w:val="000000"/>
        </w:rPr>
        <w:fldChar w:fldCharType="separate"/>
      </w:r>
      <w:hyperlink w:anchor="_Toc243659062" w:history="1">
        <w:r w:rsidR="007C3FD0" w:rsidRPr="007C3FD0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 Основание цель и границы</w:t>
        </w:r>
        <w:r w:rsidR="007C3FD0"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="007C3FD0"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="007C3FD0"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_Toc243659062 \h </w:instrText>
        </w:r>
        <w:r w:rsidR="007C3FD0"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="007C3FD0"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 w:rsid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="007C3FD0"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C3FD0" w:rsidRPr="007C3FD0" w:rsidRDefault="007C3FD0" w:rsidP="007C3FD0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63" w:history="1">
        <w:r w:rsidRPr="007C3FD0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 Нормативная основа и метод</w: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_Toc243659063 \h </w:instrTex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C3FD0" w:rsidRPr="007C3FD0" w:rsidRDefault="007C3FD0" w:rsidP="007C3FD0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64" w:history="1">
        <w:r w:rsidRPr="007C3FD0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3 Исследованные материалы</w: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_Toc243659064 \h </w:instrTex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C3FD0" w:rsidRPr="007C3FD0" w:rsidRDefault="007C3FD0" w:rsidP="007C3FD0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65" w:history="1">
        <w:r w:rsidRPr="007C3FD0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4 Приоритеты и контрольные точки</w: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_Toc243659065 \h </w:instrTex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C3FD0" w:rsidRPr="007C3FD0" w:rsidRDefault="007C3FD0" w:rsidP="007C3FD0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66" w:history="1">
        <w:r w:rsidRPr="007C3FD0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5 План по каждой находке</w: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_Toc243659066 \h </w:instrTex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C3FD0" w:rsidRPr="007C3FD0" w:rsidRDefault="007C3FD0" w:rsidP="007C3FD0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67" w:history="1">
        <w:r w:rsidRPr="007C3FD0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6 Планирование ресурсов</w: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_Toc243659067 \h </w:instrTex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9</w: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C3FD0" w:rsidRPr="007C3FD0" w:rsidRDefault="007C3FD0" w:rsidP="007C3FD0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68" w:history="1">
        <w:r w:rsidRPr="007C3FD0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7 Экспертный вывод и корректирующие действия</w: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_Toc243659068 \h </w:instrTex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10</w: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C3FD0" w:rsidRPr="007C3FD0" w:rsidRDefault="007C3FD0" w:rsidP="007C3FD0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69" w:history="1">
        <w:r w:rsidRPr="007C3FD0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8 Приложения и согласование</w: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_Toc243659069 \h </w:instrTex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10</w:t>
        </w:r>
        <w:r w:rsidRPr="007C3FD0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EE5E29" w:rsidRPr="007C3FD0" w:rsidRDefault="000D1D40" w:rsidP="007C3FD0">
      <w:pPr>
        <w:spacing w:after="0" w:line="240" w:lineRule="auto"/>
      </w:pPr>
      <w:r w:rsidRPr="007C3FD0">
        <w:rPr>
          <w:rFonts w:ascii="Times New Roman" w:hAnsi="Times New Roman" w:cs="Times New Roman" w:eastAsia="Times New Roman"/>
          <w:sz w:val="24"/>
          <w:color w:val="000000"/>
        </w:rPr>
        <w:fldChar w:fldCharType="end"/>
      </w:r>
    </w:p>
    <w:p w:rsidR="00EE5E29" w:rsidRPr="007C3FD0" w:rsidRDefault="000D1D40">
      <w:r w:rsidRPr="007C3FD0">
        <w:rPr>
          <w:rFonts w:ascii="Times New Roman" w:hAnsi="Times New Roman" w:cs="Times New Roman" w:eastAsia="Times New Roman"/>
          <w:color w:val="000000"/>
        </w:rPr>
        <w:br w:type="page"/>
      </w:r>
    </w:p>
    <w:p w:rsidR="00EE5E29" w:rsidRPr="007C3FD0" w:rsidRDefault="000D1D40">
      <w:pPr>
        <w:pStyle w:val="1"/>
      </w:pPr>
      <w:bookmarkStart w:id="1" w:name="_Toc243659062"/>
      <w:r w:rsidRPr="007C3FD0">
        <w:rPr>
          <w:rFonts w:ascii="Times New Roman" w:hAnsi="Times New Roman" w:cs="Times New Roman" w:eastAsia="Times New Roman"/>
          <w:color w:val="000000"/>
        </w:rPr>
        <w:lastRenderedPageBreak/>
        <w:t>1 Основание цель и границы</w:t>
      </w:r>
      <w:bookmarkEnd w:id="1"/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Основание подготовки - предоставленное пользователем задание и материалы. Подписанный договор аудита не предъявлен; основание официального проведения подлежит оформлению в документе 01. Цель: определить очерёдность устранения и доказательства закрытия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Предмет и границы: сроки предложены относительно подписания и получения доступа; бюджет и исполнители не утверждены</w:t>
      </w:r>
    </w:p>
    <w:p w:rsidR="00EE5E29" w:rsidRPr="007C3FD0" w:rsidRDefault="000D1D40">
      <w:pPr>
        <w:pStyle w:val="1"/>
      </w:pPr>
      <w:bookmarkStart w:id="2" w:name="_Toc243659063"/>
      <w:r w:rsidRPr="007C3FD0">
        <w:rPr>
          <w:rFonts w:ascii="Times New Roman" w:hAnsi="Times New Roman" w:cs="Times New Roman" w:eastAsia="Times New Roman"/>
          <w:color w:val="000000"/>
        </w:rPr>
        <w:t>2 Нормативная основа и метод</w:t>
      </w:r>
      <w:bookmarkEnd w:id="2"/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N01 и N02 определяют условия официального аудита качества. N07-N15 используются как справочные ориентиры в применимой части без заявления полного соответствия, аккредитации или сертификации. Обязательность стандартов по договору не установлена. Технические критерии приёмки, предложенные в программе, требуют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Метод: инвентаризация и SHA-256, извлечение текста и таблиц, OCR сканов, критическое сопоставление дат и доказательств, локальные проверки конфигураций и расчётов при их наличии. Собственные процедуры P01-P05 отделены от результатов внутренних сканеров. Степени подтверждения определены в документе 04.</w:t>
      </w:r>
    </w:p>
    <w:p w:rsidR="00EE5E29" w:rsidRPr="007C3FD0" w:rsidRDefault="000D1D40">
      <w:pPr>
        <w:pStyle w:val="1"/>
      </w:pPr>
      <w:bookmarkStart w:id="3" w:name="_Toc243659064"/>
      <w:r w:rsidRPr="007C3FD0">
        <w:rPr>
          <w:rFonts w:ascii="Times New Roman" w:hAnsi="Times New Roman" w:cs="Times New Roman" w:eastAsia="Times New Roman"/>
          <w:color w:val="000000"/>
        </w:rPr>
        <w:t>3 Исследованные материалы</w:t>
      </w:r>
      <w:bookmarkEnd w:id="3"/>
    </w:p>
    <w:p w:rsidR="00EE5E29" w:rsidRPr="007C3FD0" w:rsidRDefault="000D1D40">
      <w:pPr>
        <w:keepNext/>
        <w:spacing w:line="240" w:lineRule="auto"/>
        <w:jc w:val="left"/>
      </w:pPr>
      <w:r w:rsidRPr="007C3FD0">
        <w:rPr>
          <w:rFonts w:ascii="Times New Roman" w:hAnsi="Times New Roman" w:cs="Times New Roman" w:eastAsia="Times New Roman"/>
          <w:sz w:val="24"/>
          <w:color w:val="000000"/>
        </w:rPr>
        <w:t>Таблица 1  Материалы и процедуры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8334"/>
      </w:tblGrid>
      <w:tr w:rsidR="00EE5E29" w:rsidRPr="007C3FD0">
        <w:trPr>
          <w:cantSplit/>
          <w:tblHeader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ID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Материал и место применения</w:t>
            </w:r>
          </w:p>
        </w:tc>
      </w:tr>
      <w:tr w:rsidR="00EE5E29" w:rsidRPr="007C3FD0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E01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01_Бюджет_разработки_дорожная_карта_тех.xlsx</w:t>
            </w:r>
          </w:p>
        </w:tc>
      </w:tr>
      <w:tr w:rsidR="00EE5E29" w:rsidRPr="007C3FD0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E03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03_Финансовая_модель_2026-2030_от_11.09.2026.xlsx</w:t>
            </w:r>
          </w:p>
        </w:tc>
      </w:tr>
      <w:tr w:rsidR="00EE5E29" w:rsidRPr="007C3FD0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E10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10_Отчёт_SAST-DAST_2026-10-17.html</w:t>
            </w:r>
          </w:p>
        </w:tc>
      </w:tr>
      <w:tr w:rsidR="00EE5E29" w:rsidRPr="007C3FD0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E13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13_Дистрибутив_On-Prem_2.13.zip</w:t>
            </w:r>
          </w:p>
        </w:tc>
      </w:tr>
      <w:tr w:rsidR="00EE5E29" w:rsidRPr="007C3FD0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L02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PanDev_Metrics_технический_аудит_211026.pdf</w:t>
            </w:r>
          </w:p>
        </w:tc>
      </w:tr>
    </w:tbl>
    <w:p w:rsidR="00EE5E29" w:rsidRPr="007C3FD0" w:rsidRDefault="00EE5E29"/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lastRenderedPageBreak/>
        <w:t>Контрольные суммы и объём файлов приведены в реестре 00. Копии исходных договоров и персональные сведения в инвесторский архив не включены. L04 - предыдущий проект заключения, самостоятельным доказательством испытаний не является.</w:t>
      </w:r>
    </w:p>
    <w:p w:rsidR="00EE5E29" w:rsidRPr="007C3FD0" w:rsidRDefault="000D1D40">
      <w:pPr>
        <w:pStyle w:val="1"/>
      </w:pPr>
      <w:bookmarkStart w:id="4" w:name="_Toc243659065"/>
      <w:r w:rsidRPr="007C3FD0">
        <w:rPr>
          <w:rFonts w:ascii="Times New Roman" w:hAnsi="Times New Roman" w:cs="Times New Roman" w:eastAsia="Times New Roman"/>
          <w:color w:val="000000"/>
        </w:rPr>
        <w:t>4 Приоритеты и контрольные точки</w:t>
      </w:r>
      <w:bookmarkEnd w:id="4"/>
    </w:p>
    <w:p w:rsidR="00EE5E29" w:rsidRPr="007C3FD0" w:rsidRDefault="000D1D40">
      <w:pPr>
        <w:keepNext/>
        <w:spacing w:line="240" w:lineRule="auto"/>
        <w:jc w:val="left"/>
      </w:pPr>
      <w:r w:rsidRPr="007C3FD0">
        <w:rPr>
          <w:rFonts w:ascii="Times New Roman" w:hAnsi="Times New Roman" w:cs="Times New Roman" w:eastAsia="Times New Roman"/>
          <w:sz w:val="24"/>
          <w:color w:val="000000"/>
        </w:rPr>
        <w:t>Таблица 2  Этапы корректирующих мероприятий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969"/>
        <w:gridCol w:w="3231"/>
      </w:tblGrid>
      <w:tr w:rsidR="00EE5E29" w:rsidRPr="007C3FD0">
        <w:trPr>
          <w:cantSplit/>
          <w:tblHeader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Контрольная точка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Работы</w:t>
            </w:r>
          </w:p>
        </w:tc>
        <w:tc>
          <w:tcPr>
            <w:tcW w:w="32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Приёмка</w:t>
            </w:r>
          </w:p>
        </w:tc>
      </w:tr>
      <w:tr w:rsidR="00EE5E29" w:rsidRPr="007C3FD0">
        <w:trPr>
          <w:cantSplit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До инвестиционного решения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Раскрыть исходники, связать релиз с digest; закрыть/обосновать Linear; подтвердить IP-цепочку; сверить traction и НМА.</w:t>
            </w:r>
          </w:p>
        </w:tc>
        <w:tc>
          <w:tcPr>
            <w:tcW w:w="32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Принятые первичные доказательства; условие сделки либо явно согласованный остаточный риск.</w:t>
            </w:r>
          </w:p>
        </w:tc>
      </w:tr>
      <w:tr w:rsidR="00EE5E29" w:rsidRPr="007C3FD0">
        <w:trPr>
          <w:cantSplit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До каждой промышленной установки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Убрать готовый секрет, закрыть порт БД, настроить CORS/TLS и backup, закрепить образы.</w:t>
            </w:r>
          </w:p>
        </w:tc>
        <w:tc>
          <w:tcPr>
            <w:tcW w:w="32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Проверка hardening и восстановления на конкретной конфигурации.</w:t>
            </w:r>
          </w:p>
        </w:tc>
      </w:tr>
      <w:tr w:rsidR="00EE5E29" w:rsidRPr="007C3FD0">
        <w:trPr>
          <w:cantSplit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Предлагаемые 0-30 дней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Реестр данных, владельцы рисков, согласование стенда, Sonar reconciliation, pipeline secrets/SCA.</w:t>
            </w:r>
          </w:p>
        </w:tc>
        <w:tc>
          <w:tcPr>
            <w:tcW w:w="32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Ответственные, график, отредактированная сводка, журналы CI.</w:t>
            </w:r>
          </w:p>
        </w:tc>
      </w:tr>
      <w:tr w:rsidR="00EE5E29" w:rsidRPr="007C3FD0">
        <w:trPr>
          <w:cantSplit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Предлагаемые 31-90 дней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Независимый пентест и retest, метрики fixture, release provenance, штатная поддержка.</w:t>
            </w:r>
          </w:p>
        </w:tc>
        <w:tc>
          <w:tcPr>
            <w:tcW w:w="32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Протоколы и отсутствие неурегулированных достижимых Critical/High.</w:t>
            </w:r>
          </w:p>
        </w:tc>
      </w:tr>
      <w:tr w:rsidR="00EE5E29" w:rsidRPr="007C3FD0">
        <w:trPr>
          <w:cantSplit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До обязательств 500-1000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Нагрузка, ресурсные профили, HA/DR по SLA, RPO/RTO.</w:t>
            </w:r>
          </w:p>
        </w:tc>
        <w:tc>
          <w:tcPr>
            <w:tcW w:w="32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Результаты по каждому целевому профилю.</w:t>
            </w:r>
          </w:p>
        </w:tc>
      </w:tr>
      <w:tr w:rsidR="00EE5E29" w:rsidRPr="007C3FD0">
        <w:trPr>
          <w:cantSplit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По клиентскому спросу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SSO/MFA, air-gap, политика LTS, локальный LLM.</w:t>
            </w:r>
          </w:p>
        </w:tc>
        <w:tc>
          <w:tcPr>
            <w:tcW w:w="32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E5E29" w:rsidRPr="007C3FD0" w:rsidRDefault="000D1D40">
            <w:pPr>
              <w:spacing w:after="60" w:line="252" w:lineRule="auto"/>
              <w:jc w:val="left"/>
            </w:pPr>
            <w:r w:rsidRPr="007C3FD0">
              <w:rPr>
                <w:rFonts w:ascii="Times New Roman" w:hAnsi="Times New Roman" w:cs="Times New Roman" w:eastAsia="Times New Roman"/>
                <w:sz w:val="22"/>
                <w:color w:val="000000"/>
              </w:rPr>
              <w:t>Согласованная roadmap и тесты потребителя.</w:t>
            </w:r>
          </w:p>
        </w:tc>
      </w:tr>
    </w:tbl>
    <w:p w:rsidR="00EE5E29" w:rsidRPr="007C3FD0" w:rsidRDefault="00EE5E29"/>
    <w:p w:rsidR="00EE5E29" w:rsidRPr="007C3FD0" w:rsidRDefault="000D1D40">
      <w:pPr>
        <w:pStyle w:val="1"/>
      </w:pPr>
      <w:bookmarkStart w:id="5" w:name="_Toc243659066"/>
      <w:r w:rsidRPr="007C3FD0">
        <w:rPr>
          <w:rFonts w:ascii="Times New Roman" w:hAnsi="Times New Roman" w:cs="Times New Roman" w:eastAsia="Times New Roman"/>
          <w:color w:val="000000"/>
        </w:rPr>
        <w:t>5 План по каждой находке</w:t>
      </w:r>
      <w:bookmarkEnd w:id="5"/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SP-PM-SRC-001. Владелец: CTO. Предоставить доступ только для чтения к полным репозиториям и CI, зафиксировать remote, полный SHA, branch/tag, SBOM и артефакты релиза. Закрытие: Независимая сборка и тесты на согласованном SHA; карта SHA→image digest→релиз. Срок: до соответствующего условия сделки/эксплуатации.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lastRenderedPageBreak/>
        <w:t>SP-PM-SEC-001. Владелец: Backend и ИБ. Удалить общий fallback; задать отдельные секреты, провести ротацию, проверить tenant binding, timestamp и защиту от повтора. Закрытие: Отрицательные и положительные тесты подписей на релизном digest; список затронутых установок и подтверждение ротации. Срок: до соответствующего условия сделки/эксплуатации.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SP-PM-SEC-002. Владелец: Backend и DevOps. Явно задать разрешённый origin, запретить небезопасный fallback, ограничить Basic и browser-extension origins. Закрытие: Тест разрешённого и чужого origin с/без credentials и Basic; deployment содержит FRONT_URL. Срок: до соответствующего условия сделки/эксплуатации.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SP-PM-SEC-003. Владелец: DevOps. Проверить UID образа; настроить runAsNonRoot, readOnlyRootFilesystem, запрет escalation и drop capabilities с учётом nginx. Закрытие: Smoke-тест на непривилегированном порту, эффективные права и запись только в выделенные каталоги. Срок: согласовать в первые 30 дней.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SP-PM-SEC-004. Владелец: Руководитель ИБ. Независимый пентест релизного native-образа с двумя тенантами, IdP/LDAP, TLS, файлами, WebSocket и включённым тестовым LLM. Закрытие: Протокол охвата, идентификаторы сборки, устранение и retest Critical/High. Срок: до соответствующего условия сделки/эксплуатации.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 xml:space="preserve">SP-PM-SEC-005. Владелец: Backend и ИБ. Проверить завершение миграции, историю ключей, ротацию и отключение legacy; спроектировать индивидуальную аутентификацию агентов. Закрытие: Отчёт ротации без значений ключей; негативные тесты подмены и downgrade; сроки окончания </w:t>
      </w:r>
      <w:r w:rsidRPr="007C3FD0">
        <w:rPr>
          <w:rFonts w:ascii="Times New Roman" w:hAnsi="Times New Roman" w:cs="Times New Roman" w:eastAsia="Times New Roman"/>
          <w:color w:val="000000"/>
        </w:rPr>
        <w:lastRenderedPageBreak/>
        <w:t>поддержки legacy. Срок: согласовать в первые 30 дней.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SP-PM-SEC-006. Владелец: CPO и ИБ. Реестр полей и получателей, минимизация, сроки хранения, маскирование, режим метаданных, локальный LLM и egress allowlist. Закрытие: Эталонные данные и сетевой capture подтверждают заявленные потоки; утверждены основания обработки и удаления. Срок: до соответствующего условия сделки/эксплуатации.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SP-PM-SEC-007. Владелец: CTO и DevOps. Релизные теги, дайджесты, подпись и проверка перед обновлением; SBOM и gate для секретов и зависимостей. Закрытие: Офлайн проверка подписи, воспроизводимая привязка SBOM и digest; негативный тест неподписанного обновления. Срок: до соответствующего условия сделки/эксплуатации.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SP-PM-SEC-008. Владелец: ИБ и DevOps. Ограничить роли и сеть, очищать диагностические журналы, согласовать CSP и HTTPS/HSTS на прокси. Закрытие: Тесты ролей и сетевой доступности; журналы не содержат секретов и данных других департаментов. Срок: согласовать в первые 30 дней.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SP-PM-DEP-001. Владелец: DevOps. Закрепить digest всех образов и подписанный BOM релиза; вести зеркало и политику поддерживаемых версий. Закрытие: Повторная установка получает идентичные digest; manifest сопоставлен с полными SHA исходников. Срок: до соответствующего условия сделки/эксплуатации.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 xml:space="preserve">SP-PM-DEP-002. Владелец: DevOps. Убрать публикацию порта либо привязать к loopback; генерировать пароль при установке, требовать его смену и хранить вне архива. Закрытие: Отрицательный внешний сетевой тест на согласованном стенде, новый секрет и запрет запуска с примером. Срок: </w:t>
      </w:r>
      <w:r w:rsidRPr="007C3FD0">
        <w:rPr>
          <w:rFonts w:ascii="Times New Roman" w:hAnsi="Times New Roman" w:cs="Times New Roman" w:eastAsia="Times New Roman"/>
          <w:color w:val="000000"/>
        </w:rPr>
        <w:lastRenderedPageBreak/>
        <w:t>до соответствующего условия сделки/эксплуатации.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SP-PM-DEP-003. Владелец: DevOps и QA. Добавить preflight, проверки приложения, документировать обязательный TLS и сетевую изоляцию, проверить обновление и восстановление. Закрытие: Успешный прогон установки и отказов с журналами; утверждённая матрица обязанностей клиента и поставщика. Срок: согласовать в первые 30 дней.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SP-PM-ARC-001. Владелец: Backend и QA. Испытать native-образ на 30/100/500/1000 разработчиков с оговорёнными потоками, историей данных и одновременно работающими отчётами. Закрытие: Согласованные SLO выполнены; зафиксированы p95/p99, очередь, ошибки, CPU, RAM, IOPS и свежесть витрин. Срок: до соответствующего условия сделки/эксплуатации.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SP-PM-ARC-002. Владелец: DevOps. Определить RPO/RTO, ответственность, частоту резервирования, срок хранения и мониторинг; провести восстановление на чистом стенде. Закрытие: Измеренные RPO/RTO, проверка полноты и целостности восстановленных данных, протокол ответственных. Срок: до соответствующего условия сделки/эксплуатации.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SP-PM-QUA-001. Владелец: QA и Backend. Выгрузить issues со статусами, типами, impact и legacy severity, дату snapshot и настройки Quality Gate. Закрытие: Количество уникальных открытых issue IDs согласовано во всех представлениях; roadmap обновлён с датой. Срок: согласовать в первые 30 дней.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 xml:space="preserve">SP-PM-MET-001. Владелец: CPO и QA. Эталон событий, границы метода и явные определения DORA; исключить двойной учёт, тестировать offline и пропуски, провести проверку AI-оценки на контрольных задачах. Закрытие: Детерминированное совпадение с эталоном в пределах </w:t>
      </w:r>
      <w:r w:rsidRPr="007C3FD0">
        <w:rPr>
          <w:rFonts w:ascii="Times New Roman" w:hAnsi="Times New Roman" w:cs="Times New Roman" w:eastAsia="Times New Roman"/>
          <w:color w:val="000000"/>
        </w:rPr>
        <w:lastRenderedPageBreak/>
        <w:t>утверждённого допуска; опубликованы ограничения и покрытие источников. Срок: до соответствующего условия сделки/эксплуатации.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SP-PM-IP-001. Владелец: Юрист и CTO. Юристам РК и Узбекистана подтвердить цепочку автор→работодатель→ТОО, оформить при необходимости прямое отчуждение с перечнем результатов и актами, проверить последствия прекращения консорциума. Закрытие: Подписанные документы по всем существенным авторам и версиям; полный blame-map; подтверждённые полномочия и отсутствие обременений. Срок: до соответствующего условия сделки/эксплуатации.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SP-PM-FIN-001. Владелец: CTO и финансовый директор. Пересчитать по person-month без двойного учёта, сопоставить табели, выплаты, акты и документы капитализации. Закрытие: Воспроизводимый Git-extract и сверка с бухгалтерским регистром; отдельные выводы технического и финансового эксперта. Срок: согласовать в первые 30 дней.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SP-PM-FIN-002. Владелец: CTO и CPO. Помесячный role-based план ёмкости, критический путь, зависимости, отдельный бюджет внешних работ и резерв. Закрытие: Нагрузка задач по каждой роли не превышает доступные FTE; подтверждены сроки найма и подрядчики. Срок: согласовать в первые 30 дней.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SP-PM-FIN-003. Владелец: Финансовый директор. Разнести затраты по юрлицу и функциям, утвердить назначение инфраструктурной статьи и единый bridge к ОПиУ. Закрытие: Согласованная таблица юрисдикция×роль×начисления и назначение каждой статьи, без изменения фактов задним числом. Срок: согласовать в первые 30 дней.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lastRenderedPageBreak/>
        <w:t>SP-PM-MAT-001. Владелец: CPO и финансы. Сверить installation ID, legal customer ID, договор, пилот/платный статус, период и оплату; определить активность и обезличить выгрузку. Закрытие: Один согласованный snapshot с числами установок, уникальных клиентов, пилотов, плательщиков и active window. Срок: согласовать в первые 30 дней.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SP-PM-REG-001. Владелец: Юрист и ИБ. Составить матрицу применимости по конкретному клиенту и потокам, проверить локализацию, передачу, доступ поддержки и договорные роли. Закрытие: Подписанное правовое заключение и технические доказательства по каждой применимой строке. Срок: до соответствующего условия сделки/эксплуатации. Текущий статус: открыто для проверки и согласования.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SP-PM-GOV-001. Владелец: Руководитель SKILL PRO. Заполнить реквизиты по действующим документам, назначить экспертов, принять результаты, выполнить недостающие испытания и оформить RU/KZ. Закрытие: Лист подписания, полный набор доказательств и две языковые версии; выдача не позднее 30 календарных дней после действительного завершения. Срок: до соответствующего условия сделки/эксплуатации. Текущий статус: открыто для проверки и согласования.</w:t>
      </w:r>
    </w:p>
    <w:p w:rsidR="00EE5E29" w:rsidRPr="007C3FD0" w:rsidRDefault="000D1D40">
      <w:pPr>
        <w:pStyle w:val="1"/>
      </w:pPr>
      <w:bookmarkStart w:id="6" w:name="_Toc243659067"/>
      <w:r w:rsidRPr="007C3FD0">
        <w:rPr>
          <w:rFonts w:ascii="Times New Roman" w:hAnsi="Times New Roman" w:cs="Times New Roman" w:eastAsia="Times New Roman"/>
          <w:color w:val="000000"/>
        </w:rPr>
        <w:t>6 Планирование ресурсов</w:t>
      </w:r>
      <w:bookmarkEnd w:id="6"/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Не суммировать повторно одни и те же работы из разных рисков: закрепление digest, SBOM и подписи закрывают несколько строк. Внешние пентест, правовая экспертиза и сертификаты закупаются отдельно. Планировать роль, FTE-месяцы, dependency, результат, внешний счёт и резерв, а не распределять все задачи пропорционально общей численности. Значения E01 - исходная предварительная оценка команды, не смета Исполнителя.</w:t>
      </w:r>
    </w:p>
    <w:p w:rsidR="00EE5E29" w:rsidRPr="007C3FD0" w:rsidRDefault="000D1D40">
      <w:pPr>
        <w:pStyle w:val="1"/>
      </w:pPr>
      <w:bookmarkStart w:id="7" w:name="_Toc243659068"/>
      <w:r w:rsidRPr="007C3FD0">
        <w:rPr>
          <w:rFonts w:ascii="Times New Roman" w:hAnsi="Times New Roman" w:cs="Times New Roman" w:eastAsia="Times New Roman"/>
          <w:color w:val="000000"/>
        </w:rPr>
        <w:lastRenderedPageBreak/>
        <w:t>7 Экспертный вывод и корректирующие действия</w:t>
      </w:r>
      <w:bookmarkEnd w:id="7"/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План готов к согласованию владельцев и сроков. Он не подтверждает выполнение мероприятий или принятие риска.</w:t>
      </w:r>
    </w:p>
    <w:p w:rsidR="00EE5E29" w:rsidRPr="007C3FD0" w:rsidRDefault="000D1D40">
      <w:pPr>
        <w:pStyle w:val="1"/>
      </w:pPr>
      <w:bookmarkStart w:id="8" w:name="_Toc243659069"/>
      <w:r w:rsidRPr="007C3FD0">
        <w:rPr>
          <w:rFonts w:ascii="Times New Roman" w:hAnsi="Times New Roman" w:cs="Times New Roman" w:eastAsia="Times New Roman"/>
          <w:color w:val="000000"/>
        </w:rPr>
        <w:t>8 Приложения и согласование</w:t>
      </w:r>
      <w:bookmarkEnd w:id="8"/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Участники, направления экспертизы, принятые процедуры и решение об утверждении фиксируются в едином листе участников и подписания (документ 17).</w:t>
      </w:r>
    </w:p>
    <w:p w:rsidR="00EE5E29" w:rsidRPr="007C3FD0" w:rsidRDefault="000D1D40">
      <w:pPr>
        <w:ind w:firstLine="709"/>
      </w:pPr>
      <w:r w:rsidRPr="007C3FD0">
        <w:rPr>
          <w:rFonts w:ascii="Times New Roman" w:hAnsi="Times New Roman" w:cs="Times New Roman" w:eastAsia="Times New Roman"/>
          <w:color w:val="000000"/>
        </w:rPr>
        <w:t>Приложения: реестры 00, 04, 13 и 19; оставшиеся проверки 20; локальные доказательства 06 EVIDENCE.</w:t>
      </w:r>
    </w:p>
    <w:sectPr w:rsidR="00EE5E29" w:rsidRPr="007C3FD0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2C4E" w:rsidRPr="007C3FD0" w:rsidRDefault="000D1D40">
      <w:pPr>
        <w:spacing w:after="0" w:line="240" w:lineRule="auto"/>
      </w:pPr>
      <w:r w:rsidRPr="007C3FD0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002C4E" w:rsidRPr="007C3FD0" w:rsidRDefault="000D1D40">
      <w:pPr>
        <w:spacing w:after="0" w:line="240" w:lineRule="auto"/>
      </w:pPr>
      <w:r w:rsidRPr="007C3FD0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E5E29" w:rsidRPr="007C3FD0" w:rsidRDefault="000D1D40">
    <w:pPr>
      <w:pStyle w:val="a7"/>
      <w:spacing w:line="240" w:lineRule="auto"/>
      <w:jc w:val="center"/>
    </w:pPr>
    <w:r w:rsidRPr="007C3FD0">
      <w:rPr>
        <w:rFonts w:ascii="Times New Roman" w:hAnsi="Times New Roman" w:cs="Times New Roman" w:eastAsia="Times New Roman"/>
        <w:sz w:val="18"/>
        <w:color w:val="000000"/>
      </w:rPr>
      <w:t xml:space="preserve">SP-PM-14  |  </w:t>
    </w:r>
    <w:r w:rsidRPr="007C3FD0">
      <w:rPr>
        <w:rFonts w:ascii="Times New Roman" w:hAnsi="Times New Roman" w:cs="Times New Roman" w:eastAsia="Times New Roman"/>
        <w:color w:val="000000"/>
      </w:rPr>
      <w:fldChar w:fldCharType="begin"/>
    </w:r>
    <w:r w:rsidRPr="007C3FD0">
      <w:rPr>
        <w:rFonts w:ascii="Times New Roman" w:hAnsi="Times New Roman" w:cs="Times New Roman" w:eastAsia="Times New Roman"/>
        <w:color w:val="000000"/>
      </w:rPr>
      <w:instrText>PAGE</w:instrText>
    </w:r>
    <w:r w:rsidRPr="007C3FD0">
      <w:rPr>
        <w:rFonts w:ascii="Times New Roman" w:hAnsi="Times New Roman" w:cs="Times New Roman" w:eastAsia="Times New Roman"/>
        <w:color w:val="000000"/>
      </w:rPr>
      <w:fldChar w:fldCharType="separate"/>
    </w:r>
    <w:r w:rsidRPr="007C3FD0">
      <w:rPr>
        <w:rFonts w:ascii="Times New Roman" w:hAnsi="Times New Roman" w:cs="Times New Roman" w:eastAsia="Times New Roman"/>
        <w:noProof/>
        <w:color w:val="000000"/>
      </w:rPr>
      <w:t>1</w:t>
    </w:r>
    <w:r w:rsidRPr="007C3FD0">
      <w:rPr>
        <w:rFonts w:ascii="Times New Roman" w:hAnsi="Times New Roman" w:cs="Times New Roman" w:eastAsia="Times New Roman"/>
        <w:color w:val="000000"/>
      </w:rPr>
      <w:fldChar w:fldCharType="end"/>
    </w:r>
    <w:r w:rsidRPr="007C3FD0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7C3FD0">
      <w:rPr>
        <w:rFonts w:ascii="Times New Roman" w:hAnsi="Times New Roman" w:cs="Times New Roman" w:eastAsia="Times New Roman"/>
        <w:color w:val="000000"/>
      </w:rPr>
      <w:fldChar w:fldCharType="begin"/>
    </w:r>
    <w:r w:rsidRPr="007C3FD0">
      <w:rPr>
        <w:rFonts w:ascii="Times New Roman" w:hAnsi="Times New Roman" w:cs="Times New Roman" w:eastAsia="Times New Roman"/>
        <w:color w:val="000000"/>
      </w:rPr>
      <w:instrText>NUMPAGES</w:instrText>
    </w:r>
    <w:r w:rsidRPr="007C3FD0">
      <w:rPr>
        <w:rFonts w:ascii="Times New Roman" w:hAnsi="Times New Roman" w:cs="Times New Roman" w:eastAsia="Times New Roman"/>
        <w:color w:val="000000"/>
      </w:rPr>
      <w:fldChar w:fldCharType="separate"/>
    </w:r>
    <w:r w:rsidRPr="007C3FD0">
      <w:rPr>
        <w:rFonts w:ascii="Times New Roman" w:hAnsi="Times New Roman" w:cs="Times New Roman" w:eastAsia="Times New Roman"/>
        <w:noProof/>
        <w:color w:val="000000"/>
      </w:rPr>
      <w:t>1</w:t>
    </w:r>
    <w:r w:rsidRPr="007C3FD0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2C4E" w:rsidRPr="007C3FD0" w:rsidRDefault="000D1D40">
      <w:pPr>
        <w:spacing w:after="0" w:line="240" w:lineRule="auto"/>
      </w:pPr>
      <w:r w:rsidRPr="007C3FD0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002C4E" w:rsidRPr="007C3FD0" w:rsidRDefault="000D1D40">
      <w:pPr>
        <w:spacing w:after="0" w:line="240" w:lineRule="auto"/>
      </w:pPr>
      <w:r w:rsidRPr="007C3FD0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E5E29" w:rsidRPr="007C3FD0" w:rsidRDefault="000D1D40">
    <w:pPr>
      <w:spacing w:line="240" w:lineRule="auto"/>
      <w:jc w:val="right"/>
    </w:pPr>
    <w:r w:rsidRPr="007C3FD0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4E"/>
    <w:rsid w:val="00034616"/>
    <w:rsid w:val="0006063C"/>
    <w:rsid w:val="000D1D40"/>
    <w:rsid w:val="0015074B"/>
    <w:rsid w:val="0029639D"/>
    <w:rsid w:val="002F3A9D"/>
    <w:rsid w:val="00326F90"/>
    <w:rsid w:val="007C3FD0"/>
    <w:rsid w:val="00AA1D8D"/>
    <w:rsid w:val="00B47730"/>
    <w:rsid w:val="00CB0664"/>
    <w:rsid w:val="00D4782D"/>
    <w:rsid w:val="00EE5E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A8E665C-0088-4A88-880F-A367B2BE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styleId="14">
    <w:name w:val="toc 1"/>
    <w:basedOn w:val="a1"/>
    <w:next w:val="a1"/>
    <w:autoRedefine/>
    <w:uiPriority w:val="39"/>
    <w:unhideWhenUsed/>
    <w:rsid w:val="000D1D40"/>
    <w:pPr>
      <w:spacing w:after="100"/>
    </w:pPr>
    <w:rPr>
      <w:rFonts w:ascii="Times New Roman" w:hAnsi="Times New Roman" w:cs="Times New Roman" w:eastAsia="Times New Roman"/>
      <w:color w:val="000000"/>
    </w:rPr>
  </w:style>
  <w:style w:type="character" w:styleId="aff8">
    <w:name w:val="Hyperlink"/>
    <w:basedOn w:val="a2"/>
    <w:uiPriority w:val="99"/>
    <w:unhideWhenUsed/>
    <w:rsid w:val="000D1D40"/>
    <w:rPr>
      <w:rFonts w:ascii="Times New Roman" w:hAnsi="Times New Roman" w:cs="Times New Roman" w:eastAsia="Times New Roman"/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0C63FA-36BE-4047-914F-8600C4111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1771</Words>
  <Characters>12276</Characters>
  <Application>Microsoft Office Word</Application>
  <DocSecurity>0</DocSecurity>
  <Lines>306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корректирующих мероприятий PanDev Metrics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5</cp:revision>
  <dcterms:created xsi:type="dcterms:W3CDTF">2026-10-23T08:40:00Z</dcterms:created>
  <dcterms:modified xsi:type="dcterms:W3CDTF">2026-10-23T09:39:00Z</dcterms:modified>
  <cp:category/>
</cp:coreProperties>
</file>