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D614" w14:textId="77777777" w:rsidR="00ED53B9" w:rsidRPr="0055567A" w:rsidRDefault="00000000">
      <w:pPr>
        <w:spacing w:after="160"/>
        <w:jc w:val="center"/>
        <w:rPr>
          <w:lang w:val="es-CO"/>
        </w:rPr>
      </w:pPr>
      <w:r w:rsidRPr="0055567A">
        <w:rPr>
          <w:b/>
          <w:bCs/>
          <w:sz w:val="32"/>
          <w:szCs w:val="32"/>
          <w:lang w:val="es-CO"/>
        </w:rPr>
        <w:t>Detección temprana de deforestación en la Amazonía colombiana mediante Sentinel-2 y aprendizaje automático</w:t>
      </w:r>
    </w:p>
    <w:p w14:paraId="490CA140" w14:textId="77777777" w:rsidR="0055567A" w:rsidRPr="00AB146D" w:rsidRDefault="0055567A" w:rsidP="0055567A">
      <w:pPr>
        <w:spacing w:after="80"/>
        <w:jc w:val="center"/>
        <w:rPr>
          <w:lang w:val="es-CO"/>
        </w:rPr>
      </w:pPr>
      <w:r w:rsidRPr="00AB146D">
        <w:rPr>
          <w:b/>
          <w:bCs/>
          <w:lang w:val="es-CO"/>
        </w:rPr>
        <w:t>CL</w:t>
      </w:r>
      <w:r>
        <w:rPr>
          <w:b/>
          <w:bCs/>
          <w:lang w:val="es-CO"/>
        </w:rPr>
        <w:t>RCV</w:t>
      </w:r>
    </w:p>
    <w:p w14:paraId="4E21DCBF" w14:textId="77777777" w:rsidR="00ED53B9" w:rsidRPr="0055567A" w:rsidRDefault="00000000">
      <w:pPr>
        <w:spacing w:after="280"/>
        <w:jc w:val="center"/>
        <w:rPr>
          <w:lang w:val="es-CO"/>
        </w:rPr>
      </w:pPr>
      <w:r w:rsidRPr="0055567A">
        <w:rPr>
          <w:lang w:val="es-CO"/>
        </w:rPr>
        <w:t>Gia Mariana Calle Higuita, Juan Diego Llorente Ortega, Juan José Restrepo Higuita, Manuela Caro Villada, Jerónimo Velásquez Escobar.</w:t>
      </w:r>
    </w:p>
    <w:p w14:paraId="041E79AF" w14:textId="77777777" w:rsidR="00ED53B9" w:rsidRPr="0055567A" w:rsidRDefault="00000000">
      <w:pPr>
        <w:pStyle w:val="Ttulo2"/>
        <w:spacing w:before="280" w:after="160"/>
        <w:rPr>
          <w:lang w:val="es-CO"/>
        </w:rPr>
      </w:pPr>
      <w:r w:rsidRPr="0055567A">
        <w:rPr>
          <w:lang w:val="es-CO"/>
        </w:rPr>
        <w:t>Problema del negocio</w:t>
      </w:r>
    </w:p>
    <w:p w14:paraId="202EF070" w14:textId="77777777" w:rsidR="00ED53B9" w:rsidRPr="0055567A" w:rsidRDefault="00000000">
      <w:pPr>
        <w:spacing w:after="160" w:line="300" w:lineRule="auto"/>
        <w:jc w:val="both"/>
        <w:rPr>
          <w:lang w:val="es-CO"/>
        </w:rPr>
      </w:pPr>
      <w:r w:rsidRPr="0055567A">
        <w:rPr>
          <w:lang w:val="es-CO"/>
        </w:rPr>
        <w:t>Según el Boletín 42 de Detección Temprana de Deforestación del Sistema de Monitoreo de Bosques y Carbono (</w:t>
      </w:r>
      <w:proofErr w:type="spellStart"/>
      <w:r w:rsidRPr="0055567A">
        <w:rPr>
          <w:lang w:val="es-CO"/>
        </w:rPr>
        <w:t>SMByC</w:t>
      </w:r>
      <w:proofErr w:type="spellEnd"/>
      <w:r w:rsidRPr="0055567A">
        <w:rPr>
          <w:lang w:val="es-CO"/>
        </w:rPr>
        <w:t xml:space="preserve">) del IDEAM, durante 2024 se deforestaron aproximadamente 107.000 hectáreas en Colombia, un 35 % más que las 79.000 hectáreas registradas en 2023 (IDEAM, 2025a). La región amazónica concentra históricamente la mayor proporción de pérdida, con los departamentos de Caquetá, Meta, Guaviare y Putumayo en las primeras posiciones nacionales. Las causas directas reportadas son </w:t>
      </w:r>
      <w:proofErr w:type="spellStart"/>
      <w:r w:rsidRPr="0055567A">
        <w:rPr>
          <w:lang w:val="es-CO"/>
        </w:rPr>
        <w:t>praderización</w:t>
      </w:r>
      <w:proofErr w:type="spellEnd"/>
      <w:r w:rsidRPr="0055567A">
        <w:rPr>
          <w:lang w:val="es-CO"/>
        </w:rPr>
        <w:t xml:space="preserve"> para acaparamiento de tierras, ganadería extensiva, apertura de vías no planificadas, cultivos de uso ilícito y tala ilegal.</w:t>
      </w:r>
    </w:p>
    <w:p w14:paraId="43CAC590" w14:textId="77777777" w:rsidR="00ED53B9" w:rsidRPr="0055567A" w:rsidRDefault="00000000">
      <w:pPr>
        <w:spacing w:after="160" w:line="300" w:lineRule="auto"/>
        <w:jc w:val="both"/>
        <w:rPr>
          <w:lang w:val="es-CO"/>
        </w:rPr>
      </w:pPr>
      <w:r w:rsidRPr="0055567A">
        <w:rPr>
          <w:lang w:val="es-CO"/>
        </w:rPr>
        <w:t xml:space="preserve">El Boletín 45 del </w:t>
      </w:r>
      <w:proofErr w:type="spellStart"/>
      <w:r w:rsidRPr="0055567A">
        <w:rPr>
          <w:lang w:val="es-CO"/>
        </w:rPr>
        <w:t>SMByC</w:t>
      </w:r>
      <w:proofErr w:type="spellEnd"/>
      <w:r w:rsidRPr="0055567A">
        <w:rPr>
          <w:lang w:val="es-CO"/>
        </w:rPr>
        <w:t xml:space="preserve">-IDEAM (cuarto trimestre de 2025, publicado en abril de 2026) reporta 36.129 hectáreas con alertas tempranas en la Amazonía colombiana entre octubre y diciembre de 2025, un aumento de 16.330 hectáreas respecto al mismo trimestre de 2024 (IDEAM, 2026). Los departamentos con mayor incremento fueron Caquetá (+9.078 ha), Meta (+3.151 ha) y Guaviare (+2.758 ha). Para ese trimestre se identificaron 21 núcleos activos, entre los cuales destacan </w:t>
      </w:r>
      <w:proofErr w:type="spellStart"/>
      <w:r w:rsidRPr="0055567A">
        <w:rPr>
          <w:lang w:val="es-CO"/>
        </w:rPr>
        <w:t>Cuemaní</w:t>
      </w:r>
      <w:proofErr w:type="spellEnd"/>
      <w:r w:rsidRPr="0055567A">
        <w:rPr>
          <w:lang w:val="es-CO"/>
        </w:rPr>
        <w:t xml:space="preserve"> (San Vicente del Caguán y Cartagena del </w:t>
      </w:r>
      <w:proofErr w:type="spellStart"/>
      <w:r w:rsidRPr="0055567A">
        <w:rPr>
          <w:lang w:val="es-CO"/>
        </w:rPr>
        <w:t>Chairá</w:t>
      </w:r>
      <w:proofErr w:type="spellEnd"/>
      <w:r w:rsidRPr="0055567A">
        <w:rPr>
          <w:lang w:val="es-CO"/>
        </w:rPr>
        <w:t xml:space="preserve">, Caquetá), </w:t>
      </w:r>
      <w:proofErr w:type="spellStart"/>
      <w:r w:rsidRPr="0055567A">
        <w:rPr>
          <w:lang w:val="es-CO"/>
        </w:rPr>
        <w:t>Yaguara</w:t>
      </w:r>
      <w:proofErr w:type="spellEnd"/>
      <w:r w:rsidRPr="0055567A">
        <w:rPr>
          <w:lang w:val="es-CO"/>
        </w:rPr>
        <w:t xml:space="preserve"> II (Meta y Guaviare), Mapiripán y Uribe (Meta) y Solano (Caquetá). El estimado anual preliminar de deforestación en la Amazonía colombiana para 2025 es de 72.409 hectáreas, un 6 % más que las 68.330 hectáreas estimadas para 2024. La cifra definitiva está prevista para julio de 2026.</w:t>
      </w:r>
    </w:p>
    <w:p w14:paraId="550A0D16" w14:textId="77777777" w:rsidR="00ED53B9" w:rsidRPr="0055567A" w:rsidRDefault="00000000">
      <w:pPr>
        <w:spacing w:after="160" w:line="300" w:lineRule="auto"/>
        <w:jc w:val="both"/>
        <w:rPr>
          <w:lang w:val="es-CO"/>
        </w:rPr>
      </w:pPr>
      <w:r w:rsidRPr="0055567A">
        <w:rPr>
          <w:lang w:val="es-CO"/>
        </w:rPr>
        <w:t xml:space="preserve">El </w:t>
      </w:r>
      <w:proofErr w:type="spellStart"/>
      <w:r w:rsidRPr="0055567A">
        <w:rPr>
          <w:lang w:val="es-CO"/>
        </w:rPr>
        <w:t>SMByC</w:t>
      </w:r>
      <w:proofErr w:type="spellEnd"/>
      <w:r w:rsidRPr="0055567A">
        <w:rPr>
          <w:lang w:val="es-CO"/>
        </w:rPr>
        <w:t xml:space="preserve"> publica boletines trimestrales de alertas tempranas con base en imágenes Landsat, Sentinel-1 y Sentinel-2. La latencia trimestral limita la capacidad de respuesta operativa de autoridades ambientales, Parques Nacionales Naturales y organizaciones como la Fundación para la Conservación y el Desarrollo Sostenible frente a núcleos activos de deforestación.</w:t>
      </w:r>
    </w:p>
    <w:p w14:paraId="7DA4F4C8" w14:textId="77777777" w:rsidR="00ED53B9" w:rsidRPr="0055567A" w:rsidRDefault="00000000">
      <w:pPr>
        <w:spacing w:after="160" w:line="300" w:lineRule="auto"/>
        <w:jc w:val="both"/>
        <w:rPr>
          <w:lang w:val="es-CO"/>
        </w:rPr>
      </w:pPr>
      <w:r w:rsidRPr="0055567A">
        <w:rPr>
          <w:lang w:val="es-CO"/>
        </w:rPr>
        <w:t>El proyecto aborda la siguiente pregunta: ¿con qué desempeño puede un modelo supervisado de clasificación, entrenado sobre composiciones trimestrales de Sentinel-2, detectar polígonos de deforestación en un área de interés del arco amazónico colombiano, usando Hansen Global Forest Change como referencia de entrenamiento? El sistema se concibe como un complemento académico al reporte institucional, con un ciclo de actualización más corto y código de acceso abierto. Las experiencias publicadas por Pacheco-</w:t>
      </w:r>
      <w:proofErr w:type="spellStart"/>
      <w:r w:rsidRPr="0055567A">
        <w:rPr>
          <w:lang w:val="es-CO"/>
        </w:rPr>
        <w:t>Pascagaza</w:t>
      </w:r>
      <w:proofErr w:type="spellEnd"/>
      <w:r w:rsidRPr="0055567A">
        <w:rPr>
          <w:lang w:val="es-CO"/>
        </w:rPr>
        <w:t xml:space="preserve"> et al. (2022) para México y Colombia, y por Hansen et al. (2013) a escala global, indican que los modelos de aprendizaje automático aplicados sobre observaciones de media resolución alcanzan niveles de concordancia útiles frente a las bases de referencia institucionales.</w:t>
      </w:r>
    </w:p>
    <w:p w14:paraId="4201E741" w14:textId="77777777" w:rsidR="0055567A" w:rsidRPr="0055567A" w:rsidRDefault="0055567A">
      <w:pPr>
        <w:spacing w:after="160" w:line="300" w:lineRule="auto"/>
        <w:jc w:val="both"/>
        <w:rPr>
          <w:lang w:val="es-CO"/>
        </w:rPr>
      </w:pPr>
    </w:p>
    <w:p w14:paraId="3C4F9D29" w14:textId="77777777" w:rsidR="00ED53B9" w:rsidRPr="0055567A" w:rsidRDefault="00000000">
      <w:pPr>
        <w:pStyle w:val="Ttulo2"/>
        <w:spacing w:before="280" w:after="160"/>
        <w:rPr>
          <w:lang w:val="es-CO"/>
        </w:rPr>
      </w:pPr>
      <w:r w:rsidRPr="0055567A">
        <w:rPr>
          <w:lang w:val="es-CO"/>
        </w:rPr>
        <w:lastRenderedPageBreak/>
        <w:t>Formulación matemática del problema</w:t>
      </w:r>
    </w:p>
    <w:p w14:paraId="554CF526" w14:textId="77777777" w:rsidR="00ED53B9" w:rsidRPr="0055567A" w:rsidRDefault="00000000">
      <w:pPr>
        <w:spacing w:after="160" w:line="300" w:lineRule="auto"/>
        <w:jc w:val="both"/>
        <w:rPr>
          <w:lang w:val="es-CO"/>
        </w:rPr>
      </w:pPr>
      <w:r w:rsidRPr="0055567A">
        <w:rPr>
          <w:lang w:val="es-CO"/>
        </w:rPr>
        <w:t xml:space="preserve">El problema se formaliza como una tarea de clasificación binaria a nivel de píxel sobre una grilla espacial. Sea </w:t>
      </w:r>
      <w:r>
        <w:rPr>
          <w:i/>
          <w:iCs/>
        </w:rPr>
        <w:t>Ω</w:t>
      </w:r>
      <w:r w:rsidRPr="0055567A">
        <w:rPr>
          <w:i/>
          <w:iCs/>
          <w:lang w:val="es-CO"/>
        </w:rPr>
        <w:t xml:space="preserve"> ⊂ ℝ²</w:t>
      </w:r>
      <w:r w:rsidRPr="0055567A">
        <w:rPr>
          <w:lang w:val="es-CO"/>
        </w:rPr>
        <w:t xml:space="preserve"> el área de interés discretizada en una grilla regular de píxeles indexados por </w:t>
      </w:r>
      <w:r w:rsidRPr="0055567A">
        <w:rPr>
          <w:i/>
          <w:iCs/>
          <w:lang w:val="es-CO"/>
        </w:rPr>
        <w:t xml:space="preserve">s ∈ </w:t>
      </w:r>
      <w:r>
        <w:rPr>
          <w:i/>
          <w:iCs/>
        </w:rPr>
        <w:t>Ω</w:t>
      </w:r>
      <w:r w:rsidRPr="0055567A">
        <w:rPr>
          <w:lang w:val="es-CO"/>
        </w:rPr>
        <w:t xml:space="preserve">. Para cada píxel y cada año </w:t>
      </w:r>
      <w:r w:rsidRPr="0055567A">
        <w:rPr>
          <w:i/>
          <w:iCs/>
          <w:lang w:val="es-CO"/>
        </w:rPr>
        <w:t>t</w:t>
      </w:r>
      <w:r w:rsidRPr="0055567A">
        <w:rPr>
          <w:lang w:val="es-CO"/>
        </w:rPr>
        <w:t xml:space="preserve"> se observa un vector de atributos </w:t>
      </w:r>
      <w:proofErr w:type="gramStart"/>
      <w:r w:rsidRPr="0055567A">
        <w:rPr>
          <w:i/>
          <w:iCs/>
          <w:lang w:val="es-CO"/>
        </w:rPr>
        <w:t>x</w:t>
      </w:r>
      <w:r w:rsidRPr="0055567A">
        <w:rPr>
          <w:lang w:val="es-CO"/>
        </w:rPr>
        <w:t>(</w:t>
      </w:r>
      <w:proofErr w:type="gramEnd"/>
      <w:r w:rsidRPr="0055567A">
        <w:rPr>
          <w:i/>
          <w:iCs/>
          <w:lang w:val="es-CO"/>
        </w:rPr>
        <w:t>s, t</w:t>
      </w:r>
      <w:r w:rsidRPr="0055567A">
        <w:rPr>
          <w:lang w:val="es-CO"/>
        </w:rPr>
        <w:t>) ∈ ℝ</w:t>
      </w:r>
      <w:r>
        <w:t>ᵈ</w:t>
      </w:r>
      <w:r w:rsidRPr="0055567A">
        <w:rPr>
          <w:lang w:val="es-CO"/>
        </w:rPr>
        <w:t xml:space="preserve"> derivado de composiciones trimestrales de Sentinel-2 (bandas espectrales e índices), y una etiqueta </w:t>
      </w:r>
      <w:proofErr w:type="gramStart"/>
      <w:r w:rsidRPr="0055567A">
        <w:rPr>
          <w:i/>
          <w:iCs/>
          <w:lang w:val="es-CO"/>
        </w:rPr>
        <w:t>y</w:t>
      </w:r>
      <w:r w:rsidRPr="0055567A">
        <w:rPr>
          <w:lang w:val="es-CO"/>
        </w:rPr>
        <w:t>(</w:t>
      </w:r>
      <w:proofErr w:type="gramEnd"/>
      <w:r w:rsidRPr="0055567A">
        <w:rPr>
          <w:i/>
          <w:iCs/>
          <w:lang w:val="es-CO"/>
        </w:rPr>
        <w:t>s, t</w:t>
      </w:r>
      <w:r w:rsidRPr="0055567A">
        <w:rPr>
          <w:lang w:val="es-CO"/>
        </w:rPr>
        <w:t xml:space="preserve">) ∈ {0, 1}, donde 1 indica pérdida de cobertura arbórea durante el año </w:t>
      </w:r>
      <w:r w:rsidRPr="0055567A">
        <w:rPr>
          <w:i/>
          <w:iCs/>
          <w:lang w:val="es-CO"/>
        </w:rPr>
        <w:t>t</w:t>
      </w:r>
      <w:r w:rsidRPr="0055567A">
        <w:rPr>
          <w:lang w:val="es-CO"/>
        </w:rPr>
        <w:t xml:space="preserve"> según Hansen Global Forest Change y 0 indica permanencia.</w:t>
      </w:r>
    </w:p>
    <w:p w14:paraId="0465A90C" w14:textId="77777777" w:rsidR="00ED53B9" w:rsidRPr="0055567A" w:rsidRDefault="00000000">
      <w:pPr>
        <w:spacing w:after="160" w:line="300" w:lineRule="auto"/>
        <w:jc w:val="both"/>
        <w:rPr>
          <w:lang w:val="es-CO"/>
        </w:rPr>
      </w:pPr>
      <w:r w:rsidRPr="0055567A">
        <w:rPr>
          <w:lang w:val="es-CO"/>
        </w:rPr>
        <w:t>El objetivo es aprender una función de decisión que asigne a cada píxel una probabilidad de deforestación:</w:t>
      </w:r>
    </w:p>
    <w:p w14:paraId="4B12D699" w14:textId="77777777" w:rsidR="00ED53B9" w:rsidRDefault="00000000">
      <w:pPr>
        <w:spacing w:before="80" w:after="160" w:line="320" w:lineRule="auto"/>
        <w:jc w:val="center"/>
      </w:pPr>
      <w:r>
        <w:rPr>
          <w:b/>
          <w:bCs/>
          <w:i/>
          <w:iCs/>
        </w:rPr>
        <w:t>f</w:t>
      </w:r>
      <w:r>
        <w:t>: ℝᵈ → [0, 1</w:t>
      </w:r>
      <w:proofErr w:type="gramStart"/>
      <w:r>
        <w:t>],   ŷ(</w:t>
      </w:r>
      <w:proofErr w:type="gramEnd"/>
      <w:r>
        <w:t>s, t) = 𝟙[</w:t>
      </w:r>
      <w:proofErr w:type="gramStart"/>
      <w:r>
        <w:t>f(x(</w:t>
      </w:r>
      <w:proofErr w:type="gramEnd"/>
      <w:r>
        <w:t>s, t)) ≥ τ]</w:t>
      </w:r>
    </w:p>
    <w:p w14:paraId="2CBF8FFD" w14:textId="77777777" w:rsidR="00ED53B9" w:rsidRPr="0055567A" w:rsidRDefault="00000000">
      <w:pPr>
        <w:spacing w:after="160" w:line="300" w:lineRule="auto"/>
        <w:jc w:val="both"/>
        <w:rPr>
          <w:lang w:val="es-CO"/>
        </w:rPr>
      </w:pPr>
      <w:r w:rsidRPr="0055567A">
        <w:rPr>
          <w:lang w:val="es-CO"/>
        </w:rPr>
        <w:t xml:space="preserve">donde </w:t>
      </w:r>
      <w:r>
        <w:rPr>
          <w:i/>
          <w:iCs/>
        </w:rPr>
        <w:t>τ</w:t>
      </w:r>
      <w:r w:rsidRPr="0055567A">
        <w:rPr>
          <w:lang w:val="es-CO"/>
        </w:rPr>
        <w:t xml:space="preserve"> es un umbral de decisión calibrado sobre el conjunto de validación. La estimación de los parámetros del modelo se realiza por minimización del riesgo empírico regularizado sobre el conjunto de entrenamiento </w:t>
      </w:r>
      <w:r>
        <w:rPr>
          <w:i/>
          <w:iCs/>
        </w:rPr>
        <w:t>𝒟</w:t>
      </w:r>
      <w:r w:rsidRPr="0055567A">
        <w:rPr>
          <w:lang w:val="es-CO"/>
        </w:rPr>
        <w:t xml:space="preserve"> = {(</w:t>
      </w:r>
      <w:r w:rsidRPr="0055567A">
        <w:rPr>
          <w:i/>
          <w:iCs/>
          <w:lang w:val="es-CO"/>
        </w:rPr>
        <w:t>x</w:t>
      </w:r>
      <w:r>
        <w:t>ᵢ</w:t>
      </w:r>
      <w:r w:rsidRPr="0055567A">
        <w:rPr>
          <w:lang w:val="es-CO"/>
        </w:rPr>
        <w:t xml:space="preserve">, </w:t>
      </w:r>
      <w:r w:rsidRPr="0055567A">
        <w:rPr>
          <w:i/>
          <w:iCs/>
          <w:lang w:val="es-CO"/>
        </w:rPr>
        <w:t>y</w:t>
      </w:r>
      <w:r>
        <w:t>ᵢ</w:t>
      </w:r>
      <w:proofErr w:type="gramStart"/>
      <w:r w:rsidRPr="0055567A">
        <w:rPr>
          <w:lang w:val="es-CO"/>
        </w:rPr>
        <w:t>)}</w:t>
      </w:r>
      <w:r>
        <w:t>ᵢ</w:t>
      </w:r>
      <w:proofErr w:type="gramEnd"/>
      <w:r w:rsidRPr="0055567A">
        <w:rPr>
          <w:lang w:val="es-CO"/>
        </w:rPr>
        <w:t>₌₁ⁿ:</w:t>
      </w:r>
    </w:p>
    <w:p w14:paraId="4C039FAC" w14:textId="77777777" w:rsidR="00ED53B9" w:rsidRPr="0055567A" w:rsidRDefault="00000000">
      <w:pPr>
        <w:spacing w:before="80" w:after="160" w:line="320" w:lineRule="auto"/>
        <w:jc w:val="center"/>
        <w:rPr>
          <w:lang w:val="es-CO"/>
        </w:rPr>
      </w:pPr>
      <w:r>
        <w:rPr>
          <w:i/>
          <w:iCs/>
        </w:rPr>
        <w:t>θ</w:t>
      </w:r>
      <w:r w:rsidRPr="0055567A">
        <w:rPr>
          <w:i/>
          <w:iCs/>
          <w:lang w:val="es-CO"/>
        </w:rPr>
        <w:t>̂</w:t>
      </w:r>
      <w:r w:rsidRPr="0055567A">
        <w:rPr>
          <w:lang w:val="es-CO"/>
        </w:rPr>
        <w:t xml:space="preserve"> = </w:t>
      </w:r>
      <w:proofErr w:type="spellStart"/>
      <w:r w:rsidRPr="0055567A">
        <w:rPr>
          <w:lang w:val="es-CO"/>
        </w:rPr>
        <w:t>arg</w:t>
      </w:r>
      <w:proofErr w:type="spellEnd"/>
      <w:r w:rsidRPr="0055567A">
        <w:rPr>
          <w:lang w:val="es-CO"/>
        </w:rPr>
        <w:t xml:space="preserve"> min</w:t>
      </w:r>
      <w:r>
        <w:rPr>
          <w:i/>
          <w:iCs/>
        </w:rPr>
        <w:t>ᵧ</w:t>
      </w:r>
      <w:r w:rsidRPr="0055567A">
        <w:rPr>
          <w:lang w:val="es-CO"/>
        </w:rPr>
        <w:t xml:space="preserve"> [ (1/n) </w:t>
      </w:r>
      <w:r>
        <w:t>Σᵢ</w:t>
      </w:r>
      <w:r w:rsidRPr="0055567A">
        <w:rPr>
          <w:lang w:val="es-CO"/>
        </w:rPr>
        <w:t xml:space="preserve"> </w:t>
      </w:r>
      <w:proofErr w:type="gramStart"/>
      <w:r w:rsidRPr="0055567A">
        <w:rPr>
          <w:lang w:val="es-CO"/>
        </w:rPr>
        <w:t>ℒ(</w:t>
      </w:r>
      <w:proofErr w:type="gramEnd"/>
      <w:r w:rsidRPr="0055567A">
        <w:rPr>
          <w:i/>
          <w:iCs/>
          <w:lang w:val="es-CO"/>
        </w:rPr>
        <w:t>y</w:t>
      </w:r>
      <w:r>
        <w:t>ᵢ</w:t>
      </w:r>
      <w:r w:rsidRPr="0055567A">
        <w:rPr>
          <w:lang w:val="es-CO"/>
        </w:rPr>
        <w:t>, f</w:t>
      </w:r>
      <w:r>
        <w:rPr>
          <w:i/>
          <w:iCs/>
        </w:rPr>
        <w:t>ᵧ</w:t>
      </w:r>
      <w:r w:rsidRPr="0055567A">
        <w:rPr>
          <w:lang w:val="es-CO"/>
        </w:rPr>
        <w:t>(</w:t>
      </w:r>
      <w:r w:rsidRPr="0055567A">
        <w:rPr>
          <w:i/>
          <w:iCs/>
          <w:lang w:val="es-CO"/>
        </w:rPr>
        <w:t>x</w:t>
      </w:r>
      <w:r>
        <w:t>ᵢ</w:t>
      </w:r>
      <w:r w:rsidRPr="0055567A">
        <w:rPr>
          <w:lang w:val="es-CO"/>
        </w:rPr>
        <w:t xml:space="preserve">)) + </w:t>
      </w:r>
      <w:proofErr w:type="spellStart"/>
      <w:r>
        <w:t>λΩ</w:t>
      </w:r>
      <w:proofErr w:type="spellEnd"/>
      <w:r w:rsidRPr="0055567A">
        <w:rPr>
          <w:lang w:val="es-CO"/>
        </w:rPr>
        <w:t>(</w:t>
      </w:r>
      <w:r>
        <w:rPr>
          <w:i/>
          <w:iCs/>
        </w:rPr>
        <w:t>θ</w:t>
      </w:r>
      <w:proofErr w:type="gramStart"/>
      <w:r w:rsidRPr="0055567A">
        <w:rPr>
          <w:lang w:val="es-CO"/>
        </w:rPr>
        <w:t>) ]</w:t>
      </w:r>
      <w:proofErr w:type="gramEnd"/>
    </w:p>
    <w:p w14:paraId="42115D41" w14:textId="77777777" w:rsidR="00ED53B9" w:rsidRPr="0055567A" w:rsidRDefault="00000000">
      <w:pPr>
        <w:spacing w:after="160" w:line="300" w:lineRule="auto"/>
        <w:jc w:val="both"/>
        <w:rPr>
          <w:lang w:val="es-CO"/>
        </w:rPr>
      </w:pPr>
      <w:r w:rsidRPr="0055567A">
        <w:rPr>
          <w:lang w:val="es-CO"/>
        </w:rPr>
        <w:t>La razón de prevalencia de la clase positiva es severamente desbalanceada (</w:t>
      </w:r>
      <w:proofErr w:type="gramStart"/>
      <w:r w:rsidRPr="0055567A">
        <w:rPr>
          <w:lang w:val="es-CO"/>
        </w:rPr>
        <w:t>P(</w:t>
      </w:r>
      <w:proofErr w:type="gramEnd"/>
      <w:r w:rsidRPr="0055567A">
        <w:rPr>
          <w:i/>
          <w:iCs/>
          <w:lang w:val="es-CO"/>
        </w:rPr>
        <w:t>y</w:t>
      </w:r>
      <w:r w:rsidRPr="0055567A">
        <w:rPr>
          <w:lang w:val="es-CO"/>
        </w:rPr>
        <w:t xml:space="preserve"> = 1) &lt; 0,02 en el área de interés), lo que motiva el uso de la función de pérdida focal (Lin et al., 2017) en lugar de entropía cruzada estándar:</w:t>
      </w:r>
    </w:p>
    <w:p w14:paraId="2F33634D" w14:textId="77777777" w:rsidR="00ED53B9" w:rsidRPr="0055567A" w:rsidRDefault="00000000">
      <w:pPr>
        <w:spacing w:before="80" w:after="160" w:line="320" w:lineRule="auto"/>
        <w:jc w:val="center"/>
        <w:rPr>
          <w:lang w:val="es-CO"/>
        </w:rPr>
      </w:pPr>
      <w:proofErr w:type="spellStart"/>
      <w:r w:rsidRPr="0055567A">
        <w:rPr>
          <w:lang w:val="es-CO"/>
        </w:rPr>
        <w:t>ℒ</w:t>
      </w:r>
      <w:proofErr w:type="gramStart"/>
      <w:r w:rsidRPr="0055567A">
        <w:rPr>
          <w:i/>
          <w:iCs/>
          <w:lang w:val="es-CO"/>
        </w:rPr>
        <w:t>focal</w:t>
      </w:r>
      <w:proofErr w:type="spellEnd"/>
      <w:r w:rsidRPr="0055567A">
        <w:rPr>
          <w:lang w:val="es-CO"/>
        </w:rPr>
        <w:t>(</w:t>
      </w:r>
      <w:proofErr w:type="gramEnd"/>
      <w:r w:rsidRPr="0055567A">
        <w:rPr>
          <w:lang w:val="es-CO"/>
        </w:rPr>
        <w:t>y, p) = -</w:t>
      </w:r>
      <w:r>
        <w:t>α</w:t>
      </w:r>
      <w:r w:rsidRPr="0055567A">
        <w:rPr>
          <w:i/>
          <w:iCs/>
          <w:lang w:val="es-CO"/>
        </w:rPr>
        <w:t>t</w:t>
      </w:r>
      <w:r w:rsidRPr="0055567A">
        <w:rPr>
          <w:lang w:val="es-CO"/>
        </w:rPr>
        <w:t xml:space="preserve"> (1 - </w:t>
      </w:r>
      <w:proofErr w:type="gramStart"/>
      <w:r w:rsidRPr="0055567A">
        <w:rPr>
          <w:lang w:val="es-CO"/>
        </w:rPr>
        <w:t>p</w:t>
      </w:r>
      <w:r w:rsidRPr="0055567A">
        <w:rPr>
          <w:i/>
          <w:iCs/>
          <w:lang w:val="es-CO"/>
        </w:rPr>
        <w:t>t</w:t>
      </w:r>
      <w:r w:rsidRPr="0055567A">
        <w:rPr>
          <w:lang w:val="es-CO"/>
        </w:rPr>
        <w:t>)</w:t>
      </w:r>
      <w:r>
        <w:rPr>
          <w:i/>
          <w:iCs/>
        </w:rPr>
        <w:t>γ</w:t>
      </w:r>
      <w:proofErr w:type="gramEnd"/>
      <w:r w:rsidRPr="0055567A">
        <w:rPr>
          <w:lang w:val="es-CO"/>
        </w:rPr>
        <w:t xml:space="preserve"> log(p</w:t>
      </w:r>
      <w:r w:rsidRPr="0055567A">
        <w:rPr>
          <w:i/>
          <w:iCs/>
          <w:lang w:val="es-CO"/>
        </w:rPr>
        <w:t>t</w:t>
      </w:r>
      <w:r w:rsidRPr="0055567A">
        <w:rPr>
          <w:lang w:val="es-CO"/>
        </w:rPr>
        <w:t>)</w:t>
      </w:r>
    </w:p>
    <w:p w14:paraId="61754EE5" w14:textId="77777777" w:rsidR="00ED53B9" w:rsidRPr="0055567A" w:rsidRDefault="00000000">
      <w:pPr>
        <w:spacing w:after="160" w:line="300" w:lineRule="auto"/>
        <w:jc w:val="both"/>
        <w:rPr>
          <w:lang w:val="es-CO"/>
        </w:rPr>
      </w:pPr>
      <w:r w:rsidRPr="0055567A">
        <w:rPr>
          <w:lang w:val="es-CO"/>
        </w:rPr>
        <w:t xml:space="preserve">donde </w:t>
      </w:r>
      <w:r w:rsidRPr="0055567A">
        <w:rPr>
          <w:i/>
          <w:iCs/>
          <w:lang w:val="es-CO"/>
        </w:rPr>
        <w:t>p</w:t>
      </w:r>
      <w:r w:rsidRPr="0055567A">
        <w:rPr>
          <w:lang w:val="es-CO"/>
        </w:rPr>
        <w:t xml:space="preserve">ₜ = p si </w:t>
      </w:r>
      <w:r w:rsidRPr="0055567A">
        <w:rPr>
          <w:i/>
          <w:iCs/>
          <w:lang w:val="es-CO"/>
        </w:rPr>
        <w:t>y</w:t>
      </w:r>
      <w:r w:rsidRPr="0055567A">
        <w:rPr>
          <w:lang w:val="es-CO"/>
        </w:rPr>
        <w:t xml:space="preserve"> = 1, y </w:t>
      </w:r>
      <w:r w:rsidRPr="0055567A">
        <w:rPr>
          <w:i/>
          <w:iCs/>
          <w:lang w:val="es-CO"/>
        </w:rPr>
        <w:t>p</w:t>
      </w:r>
      <w:r w:rsidRPr="0055567A">
        <w:rPr>
          <w:lang w:val="es-CO"/>
        </w:rPr>
        <w:t xml:space="preserve">ₜ = 1 - p en caso contrario. El término (1 - </w:t>
      </w:r>
      <w:proofErr w:type="gramStart"/>
      <w:r w:rsidRPr="0055567A">
        <w:rPr>
          <w:i/>
          <w:iCs/>
          <w:lang w:val="es-CO"/>
        </w:rPr>
        <w:t>p</w:t>
      </w:r>
      <w:r w:rsidRPr="0055567A">
        <w:rPr>
          <w:lang w:val="es-CO"/>
        </w:rPr>
        <w:t>ₜ)</w:t>
      </w:r>
      <w:r>
        <w:rPr>
          <w:i/>
          <w:iCs/>
        </w:rPr>
        <w:t>γ</w:t>
      </w:r>
      <w:proofErr w:type="gramEnd"/>
      <w:r w:rsidRPr="0055567A">
        <w:rPr>
          <w:lang w:val="es-CO"/>
        </w:rPr>
        <w:t xml:space="preserve"> reduce el aporte de los ejemplos fáciles y concentra el ajuste en los ejemplos difíciles. Los valores iniciales adoptados son </w:t>
      </w:r>
      <w:r>
        <w:rPr>
          <w:i/>
          <w:iCs/>
        </w:rPr>
        <w:t>γ</w:t>
      </w:r>
      <w:r w:rsidRPr="0055567A">
        <w:rPr>
          <w:lang w:val="es-CO"/>
        </w:rPr>
        <w:t xml:space="preserve"> = 2 y </w:t>
      </w:r>
      <w:r>
        <w:rPr>
          <w:i/>
          <w:iCs/>
        </w:rPr>
        <w:t>α</w:t>
      </w:r>
      <w:r w:rsidRPr="0055567A">
        <w:rPr>
          <w:lang w:val="es-CO"/>
        </w:rPr>
        <w:t xml:space="preserve"> = 0,25, calibrados posteriormente sobre el conjunto de validación.</w:t>
      </w:r>
    </w:p>
    <w:p w14:paraId="6C60A3CB" w14:textId="77777777" w:rsidR="00ED53B9" w:rsidRPr="0055567A" w:rsidRDefault="00000000">
      <w:pPr>
        <w:spacing w:after="160" w:line="300" w:lineRule="auto"/>
        <w:jc w:val="both"/>
        <w:rPr>
          <w:lang w:val="es-CO"/>
        </w:rPr>
      </w:pPr>
      <w:r w:rsidRPr="0055567A">
        <w:rPr>
          <w:lang w:val="es-CO"/>
        </w:rPr>
        <w:t xml:space="preserve">Para los modelos </w:t>
      </w:r>
      <w:proofErr w:type="spellStart"/>
      <w:r w:rsidRPr="0055567A">
        <w:rPr>
          <w:lang w:val="es-CO"/>
        </w:rPr>
        <w:t>baseline</w:t>
      </w:r>
      <w:proofErr w:type="spellEnd"/>
      <w:r w:rsidRPr="0055567A">
        <w:rPr>
          <w:lang w:val="es-CO"/>
        </w:rPr>
        <w:t xml:space="preserve"> (Random Forest y </w:t>
      </w:r>
      <w:proofErr w:type="spellStart"/>
      <w:r w:rsidRPr="0055567A">
        <w:rPr>
          <w:lang w:val="es-CO"/>
        </w:rPr>
        <w:t>XGBoost</w:t>
      </w:r>
      <w:proofErr w:type="spellEnd"/>
      <w:r w:rsidRPr="0055567A">
        <w:rPr>
          <w:lang w:val="es-CO"/>
        </w:rPr>
        <w:t xml:space="preserve">), el vector de atributos </w:t>
      </w:r>
      <w:proofErr w:type="gramStart"/>
      <w:r w:rsidRPr="0055567A">
        <w:rPr>
          <w:i/>
          <w:iCs/>
          <w:lang w:val="es-CO"/>
        </w:rPr>
        <w:t>x</w:t>
      </w:r>
      <w:r w:rsidRPr="0055567A">
        <w:rPr>
          <w:lang w:val="es-CO"/>
        </w:rPr>
        <w:t>(</w:t>
      </w:r>
      <w:proofErr w:type="gramEnd"/>
      <w:r w:rsidRPr="0055567A">
        <w:rPr>
          <w:i/>
          <w:iCs/>
          <w:lang w:val="es-CO"/>
        </w:rPr>
        <w:t>s, t</w:t>
      </w:r>
      <w:r w:rsidRPr="0055567A">
        <w:rPr>
          <w:lang w:val="es-CO"/>
        </w:rPr>
        <w:t xml:space="preserve">) agrega información espectral por píxel sin contexto espacial. Para el modelo de segmentación U-Net, la entrada es un tensor </w:t>
      </w:r>
      <w:r w:rsidRPr="0055567A">
        <w:rPr>
          <w:i/>
          <w:iCs/>
          <w:lang w:val="es-CO"/>
        </w:rPr>
        <w:t>X</w:t>
      </w:r>
      <w:r w:rsidRPr="0055567A">
        <w:rPr>
          <w:lang w:val="es-CO"/>
        </w:rPr>
        <w:t xml:space="preserve"> ∈ ℝ</w:t>
      </w:r>
      <w:r>
        <w:t>ᴴ</w:t>
      </w:r>
      <w:r w:rsidRPr="0055567A">
        <w:rPr>
          <w:lang w:val="es-CO"/>
        </w:rPr>
        <w:t>×</w:t>
      </w:r>
      <w:r>
        <w:t>ᵂ</w:t>
      </w:r>
      <w:r w:rsidRPr="0055567A">
        <w:rPr>
          <w:lang w:val="es-CO"/>
        </w:rPr>
        <w:t>×</w:t>
      </w:r>
      <w:r>
        <w:t>ᶜ</w:t>
      </w:r>
      <w:r w:rsidRPr="0055567A">
        <w:rPr>
          <w:lang w:val="es-CO"/>
        </w:rPr>
        <w:t xml:space="preserve"> correspondiente a una ventana espacial de H × W píxeles con C canales, y la salida es una máscara </w:t>
      </w:r>
      <w:r w:rsidRPr="0055567A">
        <w:rPr>
          <w:i/>
          <w:iCs/>
          <w:lang w:val="es-CO"/>
        </w:rPr>
        <w:t>Ŷ</w:t>
      </w:r>
      <w:r w:rsidRPr="0055567A">
        <w:rPr>
          <w:lang w:val="es-CO"/>
        </w:rPr>
        <w:t xml:space="preserve"> ∈ [0, 1]</w:t>
      </w:r>
      <w:r>
        <w:t>ᴴ</w:t>
      </w:r>
      <w:r w:rsidRPr="0055567A">
        <w:rPr>
          <w:lang w:val="es-CO"/>
        </w:rPr>
        <w:t>×</w:t>
      </w:r>
      <w:r>
        <w:t>ᵂ</w:t>
      </w:r>
      <w:r w:rsidRPr="0055567A">
        <w:rPr>
          <w:lang w:val="es-CO"/>
        </w:rPr>
        <w:t xml:space="preserve"> de probabilidades por píxel. Esta diferencia es central para el comentario que se desarrolla más adelante sobre el tratamiento de la dependencia espacial.</w:t>
      </w:r>
    </w:p>
    <w:p w14:paraId="5278A592" w14:textId="77777777" w:rsidR="00ED53B9" w:rsidRPr="0055567A" w:rsidRDefault="00000000">
      <w:pPr>
        <w:pStyle w:val="Ttulo2"/>
        <w:spacing w:before="280" w:after="160"/>
        <w:rPr>
          <w:lang w:val="es-CO"/>
        </w:rPr>
      </w:pPr>
      <w:r w:rsidRPr="0055567A">
        <w:rPr>
          <w:lang w:val="es-CO"/>
        </w:rPr>
        <w:t>Impacto de la solución</w:t>
      </w:r>
    </w:p>
    <w:p w14:paraId="7974B192" w14:textId="77777777" w:rsidR="00ED53B9" w:rsidRPr="0055567A" w:rsidRDefault="00000000">
      <w:pPr>
        <w:spacing w:after="160" w:line="300" w:lineRule="auto"/>
        <w:jc w:val="both"/>
        <w:rPr>
          <w:lang w:val="es-CO"/>
        </w:rPr>
      </w:pPr>
      <w:r w:rsidRPr="0055567A">
        <w:rPr>
          <w:lang w:val="es-CO"/>
        </w:rPr>
        <w:t>El prototipo aporta un flujo reproducible de detección de deforestación con arquitectura de nube y código abierto, orientado a tres tipos de beneficiarios:</w:t>
      </w:r>
    </w:p>
    <w:p w14:paraId="0CCD1E96" w14:textId="77777777" w:rsidR="00ED53B9" w:rsidRPr="0055567A" w:rsidRDefault="00000000">
      <w:pPr>
        <w:pStyle w:val="Prrafodelista"/>
        <w:numPr>
          <w:ilvl w:val="0"/>
          <w:numId w:val="2"/>
        </w:numPr>
        <w:spacing w:after="100" w:line="280" w:lineRule="auto"/>
        <w:jc w:val="both"/>
        <w:rPr>
          <w:lang w:val="es-CO"/>
        </w:rPr>
      </w:pPr>
      <w:r w:rsidRPr="0055567A">
        <w:rPr>
          <w:lang w:val="es-CO"/>
        </w:rPr>
        <w:t>Autoridades ambientales regionales (</w:t>
      </w:r>
      <w:proofErr w:type="spellStart"/>
      <w:r w:rsidRPr="0055567A">
        <w:rPr>
          <w:lang w:val="es-CO"/>
        </w:rPr>
        <w:t>Corpoamazonia</w:t>
      </w:r>
      <w:proofErr w:type="spellEnd"/>
      <w:r w:rsidRPr="0055567A">
        <w:rPr>
          <w:lang w:val="es-CO"/>
        </w:rPr>
        <w:t xml:space="preserve">, </w:t>
      </w:r>
      <w:proofErr w:type="spellStart"/>
      <w:r w:rsidRPr="0055567A">
        <w:rPr>
          <w:lang w:val="es-CO"/>
        </w:rPr>
        <w:t>Cormacarena</w:t>
      </w:r>
      <w:proofErr w:type="spellEnd"/>
      <w:r w:rsidRPr="0055567A">
        <w:rPr>
          <w:lang w:val="es-CO"/>
        </w:rPr>
        <w:t>) y Parques Nacionales Naturales, que disponen de una herramienta académica complementaria a los reportes oficiales para identificar núcleos activos con menor latencia.</w:t>
      </w:r>
    </w:p>
    <w:p w14:paraId="341B0D60" w14:textId="77777777" w:rsidR="00ED53B9" w:rsidRPr="0055567A" w:rsidRDefault="00000000">
      <w:pPr>
        <w:pStyle w:val="Prrafodelista"/>
        <w:numPr>
          <w:ilvl w:val="0"/>
          <w:numId w:val="2"/>
        </w:numPr>
        <w:spacing w:after="100" w:line="280" w:lineRule="auto"/>
        <w:jc w:val="both"/>
        <w:rPr>
          <w:lang w:val="es-CO"/>
        </w:rPr>
      </w:pPr>
      <w:r w:rsidRPr="0055567A">
        <w:rPr>
          <w:lang w:val="es-CO"/>
        </w:rPr>
        <w:lastRenderedPageBreak/>
        <w:t xml:space="preserve">Organizaciones de la sociedad civil y cooperación internacional (FCDS, Amazon </w:t>
      </w:r>
      <w:proofErr w:type="spellStart"/>
      <w:r w:rsidRPr="0055567A">
        <w:rPr>
          <w:lang w:val="es-CO"/>
        </w:rPr>
        <w:t>Conservation</w:t>
      </w:r>
      <w:proofErr w:type="spellEnd"/>
      <w:r w:rsidRPr="0055567A">
        <w:rPr>
          <w:lang w:val="es-CO"/>
        </w:rPr>
        <w:t xml:space="preserve">, Visión Amazonía), que pueden replicar el pipeline sobre áreas de interés propias y ajustar </w:t>
      </w:r>
      <w:proofErr w:type="spellStart"/>
      <w:r w:rsidRPr="0055567A">
        <w:rPr>
          <w:lang w:val="es-CO"/>
        </w:rPr>
        <w:t>hiperparámetros</w:t>
      </w:r>
      <w:proofErr w:type="spellEnd"/>
      <w:r w:rsidRPr="0055567A">
        <w:rPr>
          <w:lang w:val="es-CO"/>
        </w:rPr>
        <w:t xml:space="preserve"> y umbrales según sus necesidades de campo.</w:t>
      </w:r>
    </w:p>
    <w:p w14:paraId="0CDCEE26" w14:textId="77777777" w:rsidR="00ED53B9" w:rsidRPr="0055567A" w:rsidRDefault="00000000">
      <w:pPr>
        <w:pStyle w:val="Prrafodelista"/>
        <w:numPr>
          <w:ilvl w:val="0"/>
          <w:numId w:val="2"/>
        </w:numPr>
        <w:spacing w:after="100" w:line="280" w:lineRule="auto"/>
        <w:jc w:val="both"/>
        <w:rPr>
          <w:lang w:val="es-CO"/>
        </w:rPr>
      </w:pPr>
      <w:r w:rsidRPr="0055567A">
        <w:rPr>
          <w:lang w:val="es-CO"/>
        </w:rPr>
        <w:t>Programas académicos de ciencia de datos y gestión ambiental, que disponen de un caso aplicado con datos del territorio, metodología documentada bajo CRISP-DM (Chapman et al., 2000) y entregables bajo licencia libre.</w:t>
      </w:r>
    </w:p>
    <w:p w14:paraId="12A8EC38" w14:textId="77777777" w:rsidR="00ED53B9" w:rsidRPr="0055567A" w:rsidRDefault="00000000">
      <w:pPr>
        <w:spacing w:after="160" w:line="300" w:lineRule="auto"/>
        <w:jc w:val="both"/>
        <w:rPr>
          <w:lang w:val="es-CO"/>
        </w:rPr>
      </w:pPr>
      <w:r w:rsidRPr="0055567A">
        <w:rPr>
          <w:lang w:val="es-CO"/>
        </w:rPr>
        <w:t>Los indicadores de desempeño del sistema, formalizados en la sección de métricas, son la concordancia entre las detecciones del modelo y los polígonos de Hansen Global Forest Change del año correspondiente (</w:t>
      </w:r>
      <w:proofErr w:type="spellStart"/>
      <w:r w:rsidRPr="0055567A">
        <w:rPr>
          <w:lang w:val="es-CO"/>
        </w:rPr>
        <w:t>IoU</w:t>
      </w:r>
      <w:proofErr w:type="spellEnd"/>
      <w:r w:rsidRPr="0055567A">
        <w:rPr>
          <w:lang w:val="es-CO"/>
        </w:rPr>
        <w:t xml:space="preserve"> y F1 a nivel de píxel y de polígono), el tiempo de ejecución del pipeline de inferencia sobre una escena completa y la disponibilidad del tablero de consulta. Un subproducto del proyecto es un cuaderno de trabajo reutilizable que integra lectura de imágenes satelitales vía STAC, procesamiento distribuido con </w:t>
      </w:r>
      <w:proofErr w:type="spellStart"/>
      <w:r w:rsidRPr="0055567A">
        <w:rPr>
          <w:lang w:val="es-CO"/>
        </w:rPr>
        <w:t>Dask</w:t>
      </w:r>
      <w:proofErr w:type="spellEnd"/>
      <w:r w:rsidRPr="0055567A">
        <w:rPr>
          <w:lang w:val="es-CO"/>
        </w:rPr>
        <w:t xml:space="preserve">, entrenamiento de modelos con </w:t>
      </w:r>
      <w:proofErr w:type="spellStart"/>
      <w:r w:rsidRPr="0055567A">
        <w:rPr>
          <w:lang w:val="es-CO"/>
        </w:rPr>
        <w:t>scikit-learn</w:t>
      </w:r>
      <w:proofErr w:type="spellEnd"/>
      <w:r w:rsidRPr="0055567A">
        <w:rPr>
          <w:lang w:val="es-CO"/>
        </w:rPr>
        <w:t xml:space="preserve"> y </w:t>
      </w:r>
      <w:proofErr w:type="spellStart"/>
      <w:r w:rsidRPr="0055567A">
        <w:rPr>
          <w:lang w:val="es-CO"/>
        </w:rPr>
        <w:t>PyTorch</w:t>
      </w:r>
      <w:proofErr w:type="spellEnd"/>
      <w:r w:rsidRPr="0055567A">
        <w:rPr>
          <w:lang w:val="es-CO"/>
        </w:rPr>
        <w:t xml:space="preserve">, y publicación de resultados en </w:t>
      </w:r>
      <w:proofErr w:type="spellStart"/>
      <w:r w:rsidRPr="0055567A">
        <w:rPr>
          <w:lang w:val="es-CO"/>
        </w:rPr>
        <w:t>Streamlit</w:t>
      </w:r>
      <w:proofErr w:type="spellEnd"/>
      <w:r w:rsidRPr="0055567A">
        <w:rPr>
          <w:lang w:val="es-CO"/>
        </w:rPr>
        <w:t xml:space="preserve"> y </w:t>
      </w:r>
      <w:proofErr w:type="spellStart"/>
      <w:r w:rsidRPr="0055567A">
        <w:rPr>
          <w:lang w:val="es-CO"/>
        </w:rPr>
        <w:t>Tableau</w:t>
      </w:r>
      <w:proofErr w:type="spellEnd"/>
      <w:r w:rsidRPr="0055567A">
        <w:rPr>
          <w:lang w:val="es-CO"/>
        </w:rPr>
        <w:t>.</w:t>
      </w:r>
    </w:p>
    <w:p w14:paraId="757ACD99" w14:textId="77777777" w:rsidR="00ED53B9" w:rsidRPr="0055567A" w:rsidRDefault="00000000">
      <w:pPr>
        <w:pStyle w:val="Ttulo2"/>
        <w:spacing w:before="280" w:after="160"/>
        <w:rPr>
          <w:lang w:val="es-CO"/>
        </w:rPr>
      </w:pPr>
      <w:r w:rsidRPr="0055567A">
        <w:rPr>
          <w:lang w:val="es-CO"/>
        </w:rPr>
        <w:t>Marco teórico</w:t>
      </w:r>
    </w:p>
    <w:p w14:paraId="032E5BB3" w14:textId="77777777" w:rsidR="00ED53B9" w:rsidRPr="0055567A" w:rsidRDefault="00000000">
      <w:pPr>
        <w:spacing w:after="160" w:line="300" w:lineRule="auto"/>
        <w:jc w:val="both"/>
        <w:rPr>
          <w:lang w:val="es-CO"/>
        </w:rPr>
      </w:pPr>
      <w:r w:rsidRPr="0055567A">
        <w:rPr>
          <w:lang w:val="es-CO"/>
        </w:rPr>
        <w:t xml:space="preserve">El monitoreo de cobertura boscosa con sensores ópticos de media resolución se apoya en la diferenciación espectral entre superficies vegetales activas y superficies alteradas. Los índices derivados de bandas del visible, infrarrojo cercano (NIR) </w:t>
      </w:r>
      <w:proofErr w:type="spellStart"/>
      <w:r w:rsidRPr="0055567A">
        <w:rPr>
          <w:lang w:val="es-CO"/>
        </w:rPr>
        <w:t>y</w:t>
      </w:r>
      <w:proofErr w:type="spellEnd"/>
      <w:r w:rsidRPr="0055567A">
        <w:rPr>
          <w:lang w:val="es-CO"/>
        </w:rPr>
        <w:t xml:space="preserve"> infrarrojo de onda corta (SWIR), como el </w:t>
      </w:r>
      <w:proofErr w:type="spellStart"/>
      <w:r w:rsidRPr="0055567A">
        <w:rPr>
          <w:lang w:val="es-CO"/>
        </w:rPr>
        <w:t>Normalized</w:t>
      </w:r>
      <w:proofErr w:type="spellEnd"/>
      <w:r w:rsidRPr="0055567A">
        <w:rPr>
          <w:lang w:val="es-CO"/>
        </w:rPr>
        <w:t xml:space="preserve"> </w:t>
      </w:r>
      <w:proofErr w:type="spellStart"/>
      <w:r w:rsidRPr="0055567A">
        <w:rPr>
          <w:lang w:val="es-CO"/>
        </w:rPr>
        <w:t>Difference</w:t>
      </w:r>
      <w:proofErr w:type="spellEnd"/>
      <w:r w:rsidRPr="0055567A">
        <w:rPr>
          <w:lang w:val="es-CO"/>
        </w:rPr>
        <w:t xml:space="preserve"> </w:t>
      </w:r>
      <w:proofErr w:type="spellStart"/>
      <w:r w:rsidRPr="0055567A">
        <w:rPr>
          <w:lang w:val="es-CO"/>
        </w:rPr>
        <w:t>Vegetation</w:t>
      </w:r>
      <w:proofErr w:type="spellEnd"/>
      <w:r w:rsidRPr="0055567A">
        <w:rPr>
          <w:lang w:val="es-CO"/>
        </w:rPr>
        <w:t xml:space="preserve"> </w:t>
      </w:r>
      <w:proofErr w:type="spellStart"/>
      <w:r w:rsidRPr="0055567A">
        <w:rPr>
          <w:lang w:val="es-CO"/>
        </w:rPr>
        <w:t>Index</w:t>
      </w:r>
      <w:proofErr w:type="spellEnd"/>
      <w:r w:rsidRPr="0055567A">
        <w:rPr>
          <w:lang w:val="es-CO"/>
        </w:rPr>
        <w:t xml:space="preserve"> (NDVI) y el </w:t>
      </w:r>
      <w:proofErr w:type="spellStart"/>
      <w:r w:rsidRPr="0055567A">
        <w:rPr>
          <w:lang w:val="es-CO"/>
        </w:rPr>
        <w:t>Normalized</w:t>
      </w:r>
      <w:proofErr w:type="spellEnd"/>
      <w:r w:rsidRPr="0055567A">
        <w:rPr>
          <w:lang w:val="es-CO"/>
        </w:rPr>
        <w:t xml:space="preserve"> Burn Ratio (NBR), han sido empleados como </w:t>
      </w:r>
      <w:proofErr w:type="spellStart"/>
      <w:r w:rsidRPr="0055567A">
        <w:rPr>
          <w:lang w:val="es-CO"/>
        </w:rPr>
        <w:t>proxies</w:t>
      </w:r>
      <w:proofErr w:type="spellEnd"/>
      <w:r w:rsidRPr="0055567A">
        <w:rPr>
          <w:lang w:val="es-CO"/>
        </w:rPr>
        <w:t xml:space="preserve"> de la pérdida de cobertura. Sentinel-2 opera con 13 bandas espectrales, resolución espacial de 10 a 60 m y revisita de 5 días (Drusch et al., 2012), lo que permite conformar composiciones temporales que mitigan la presencia de nubes en zonas tropicales.</w:t>
      </w:r>
    </w:p>
    <w:p w14:paraId="248091E9" w14:textId="77777777" w:rsidR="00ED53B9" w:rsidRPr="0055567A" w:rsidRDefault="00000000">
      <w:pPr>
        <w:spacing w:after="160" w:line="300" w:lineRule="auto"/>
        <w:jc w:val="both"/>
        <w:rPr>
          <w:lang w:val="es-CO"/>
        </w:rPr>
      </w:pPr>
      <w:r w:rsidRPr="0055567A">
        <w:rPr>
          <w:lang w:val="es-CO"/>
        </w:rPr>
        <w:t>Los enfoques clásicos de clasificación supervisada para detección de deforestación se basan en Random Forest (</w:t>
      </w:r>
      <w:proofErr w:type="spellStart"/>
      <w:r w:rsidRPr="0055567A">
        <w:rPr>
          <w:lang w:val="es-CO"/>
        </w:rPr>
        <w:t>Breiman</w:t>
      </w:r>
      <w:proofErr w:type="spellEnd"/>
      <w:r w:rsidRPr="0055567A">
        <w:rPr>
          <w:lang w:val="es-CO"/>
        </w:rPr>
        <w:t xml:space="preserve">, 2001) y en </w:t>
      </w:r>
      <w:proofErr w:type="spellStart"/>
      <w:r w:rsidRPr="0055567A">
        <w:rPr>
          <w:lang w:val="es-CO"/>
        </w:rPr>
        <w:t>Gradient</w:t>
      </w:r>
      <w:proofErr w:type="spellEnd"/>
      <w:r w:rsidRPr="0055567A">
        <w:rPr>
          <w:lang w:val="es-CO"/>
        </w:rPr>
        <w:t xml:space="preserve"> </w:t>
      </w:r>
      <w:proofErr w:type="spellStart"/>
      <w:r w:rsidRPr="0055567A">
        <w:rPr>
          <w:lang w:val="es-CO"/>
        </w:rPr>
        <w:t>Boosting</w:t>
      </w:r>
      <w:proofErr w:type="spellEnd"/>
      <w:r w:rsidRPr="0055567A">
        <w:rPr>
          <w:lang w:val="es-CO"/>
        </w:rPr>
        <w:t xml:space="preserve"> en su implementación </w:t>
      </w:r>
      <w:proofErr w:type="spellStart"/>
      <w:r w:rsidRPr="0055567A">
        <w:rPr>
          <w:lang w:val="es-CO"/>
        </w:rPr>
        <w:t>XGBoost</w:t>
      </w:r>
      <w:proofErr w:type="spellEnd"/>
      <w:r w:rsidRPr="0055567A">
        <w:rPr>
          <w:lang w:val="es-CO"/>
        </w:rPr>
        <w:t xml:space="preserve"> (Chen &amp; </w:t>
      </w:r>
      <w:proofErr w:type="spellStart"/>
      <w:r w:rsidRPr="0055567A">
        <w:rPr>
          <w:lang w:val="es-CO"/>
        </w:rPr>
        <w:t>Guestrin</w:t>
      </w:r>
      <w:proofErr w:type="spellEnd"/>
      <w:r w:rsidRPr="0055567A">
        <w:rPr>
          <w:lang w:val="es-CO"/>
        </w:rPr>
        <w:t>, 2016), con entradas derivadas de bandas espectrales e índices. Estos modelos ofrecen interpretabilidad, buen desempeño con volúmenes moderados de entrenamiento y tiempos de ajuste compatibles con infraestructura de nube con restricciones de cómputo. Trabajos recientes han aplicado redes convolucionales sobre ventanas espaciales para incorporar contexto y textura (</w:t>
      </w:r>
      <w:proofErr w:type="spellStart"/>
      <w:r w:rsidRPr="0055567A">
        <w:rPr>
          <w:lang w:val="es-CO"/>
        </w:rPr>
        <w:t>Ronneberger</w:t>
      </w:r>
      <w:proofErr w:type="spellEnd"/>
      <w:r w:rsidRPr="0055567A">
        <w:rPr>
          <w:lang w:val="es-CO"/>
        </w:rPr>
        <w:t xml:space="preserve"> et al., 2015), y arquitecturas basadas en </w:t>
      </w:r>
      <w:proofErr w:type="spellStart"/>
      <w:r w:rsidRPr="0055567A">
        <w:rPr>
          <w:lang w:val="es-CO"/>
        </w:rPr>
        <w:t>transformers</w:t>
      </w:r>
      <w:proofErr w:type="spellEnd"/>
      <w:r w:rsidRPr="0055567A">
        <w:rPr>
          <w:lang w:val="es-CO"/>
        </w:rPr>
        <w:t xml:space="preserve"> y modelos fundacionales </w:t>
      </w:r>
      <w:proofErr w:type="spellStart"/>
      <w:r w:rsidRPr="0055567A">
        <w:rPr>
          <w:lang w:val="es-CO"/>
        </w:rPr>
        <w:t>preentrenados</w:t>
      </w:r>
      <w:proofErr w:type="spellEnd"/>
      <w:r w:rsidRPr="0055567A">
        <w:rPr>
          <w:lang w:val="es-CO"/>
        </w:rPr>
        <w:t xml:space="preserve"> sobre imágenes satelitales han reportado mejoras de desempeño en escenarios con pocas etiquetas (</w:t>
      </w:r>
      <w:proofErr w:type="spellStart"/>
      <w:r w:rsidRPr="0055567A">
        <w:rPr>
          <w:lang w:val="es-CO"/>
        </w:rPr>
        <w:t>Szwarcman</w:t>
      </w:r>
      <w:proofErr w:type="spellEnd"/>
      <w:r w:rsidRPr="0055567A">
        <w:rPr>
          <w:lang w:val="es-CO"/>
        </w:rPr>
        <w:t xml:space="preserve"> et al., 2024).</w:t>
      </w:r>
    </w:p>
    <w:p w14:paraId="736A4DBE" w14:textId="77777777" w:rsidR="00ED53B9" w:rsidRPr="0055567A" w:rsidRDefault="00000000">
      <w:pPr>
        <w:spacing w:after="160" w:line="300" w:lineRule="auto"/>
        <w:jc w:val="both"/>
        <w:rPr>
          <w:lang w:val="es-CO"/>
        </w:rPr>
      </w:pPr>
      <w:r w:rsidRPr="0055567A">
        <w:rPr>
          <w:lang w:val="es-CO"/>
        </w:rPr>
        <w:t xml:space="preserve">Las observaciones derivadas de teledetección presentan dependencia espacial: píxeles próximos tienden a tener valores más similares que píxeles distantes, lo que constituye una manifestación de la primera ley de Tobler. Esta propiedad se cuantifica mediante el índice I de Moran (Moran, 1950) y el </w:t>
      </w:r>
      <w:proofErr w:type="spellStart"/>
      <w:r w:rsidRPr="0055567A">
        <w:rPr>
          <w:lang w:val="es-CO"/>
        </w:rPr>
        <w:t>semivariograma</w:t>
      </w:r>
      <w:proofErr w:type="spellEnd"/>
      <w:r w:rsidRPr="0055567A">
        <w:rPr>
          <w:lang w:val="es-CO"/>
        </w:rPr>
        <w:t xml:space="preserve"> empírico, y tiene dos consecuencias directas para el modelado. Primero, la dependencia entre vecinos puede aprovecharse como información útil mediante atributos contextuales, ventanas espaciales o suavizado posterior. Segundo, si los conjuntos de entrenamiento y prueba se construyen por muestreo aleatorio simple sobre la </w:t>
      </w:r>
      <w:r w:rsidRPr="0055567A">
        <w:rPr>
          <w:lang w:val="es-CO"/>
        </w:rPr>
        <w:lastRenderedPageBreak/>
        <w:t xml:space="preserve">misma escena, la cercanía espacial entre ambos genera fuga de información y sobreestimación del desempeño (Roberts et al., 2017; </w:t>
      </w:r>
      <w:proofErr w:type="spellStart"/>
      <w:r w:rsidRPr="0055567A">
        <w:rPr>
          <w:lang w:val="es-CO"/>
        </w:rPr>
        <w:t>Ploton</w:t>
      </w:r>
      <w:proofErr w:type="spellEnd"/>
      <w:r w:rsidRPr="0055567A">
        <w:rPr>
          <w:lang w:val="es-CO"/>
        </w:rPr>
        <w:t xml:space="preserve"> et al., 2020; </w:t>
      </w:r>
      <w:proofErr w:type="spellStart"/>
      <w:r w:rsidRPr="0055567A">
        <w:rPr>
          <w:lang w:val="es-CO"/>
        </w:rPr>
        <w:t>Karasiak</w:t>
      </w:r>
      <w:proofErr w:type="spellEnd"/>
      <w:r w:rsidRPr="0055567A">
        <w:rPr>
          <w:lang w:val="es-CO"/>
        </w:rPr>
        <w:t xml:space="preserve"> et al., 2022).</w:t>
      </w:r>
    </w:p>
    <w:p w14:paraId="50356869" w14:textId="77777777" w:rsidR="00ED53B9" w:rsidRPr="0055567A" w:rsidRDefault="00000000">
      <w:pPr>
        <w:spacing w:after="160" w:line="300" w:lineRule="auto"/>
        <w:jc w:val="both"/>
        <w:rPr>
          <w:lang w:val="es-CO"/>
        </w:rPr>
      </w:pPr>
      <w:r w:rsidRPr="0055567A">
        <w:rPr>
          <w:lang w:val="es-CO"/>
        </w:rPr>
        <w:t>Para el contexto colombiano, Pacheco-</w:t>
      </w:r>
      <w:proofErr w:type="spellStart"/>
      <w:r w:rsidRPr="0055567A">
        <w:rPr>
          <w:lang w:val="es-CO"/>
        </w:rPr>
        <w:t>Pascagaza</w:t>
      </w:r>
      <w:proofErr w:type="spellEnd"/>
      <w:r w:rsidRPr="0055567A">
        <w:rPr>
          <w:lang w:val="es-CO"/>
        </w:rPr>
        <w:t xml:space="preserve"> et al. (2022) propusieron un sistema de detección de cambios casi en tiempo real con Sentinel-2 y aprendizaje automático, probado en bosques de México y Colombia, y reportaron concordancias útiles frente a las bases oficiales. Hansen et al. (2013) publicaron el producto global de cambio en cobertura forestal a 30 m de resolución, actualizado anualmente, que se ha convertido en referencia de evaluación y fuente de etiquetas débiles para estudios subsiguientes. En el plano institucional, </w:t>
      </w:r>
      <w:proofErr w:type="spellStart"/>
      <w:r w:rsidRPr="0055567A">
        <w:rPr>
          <w:lang w:val="es-CO"/>
        </w:rPr>
        <w:t>Armenteras</w:t>
      </w:r>
      <w:proofErr w:type="spellEnd"/>
      <w:r w:rsidRPr="0055567A">
        <w:rPr>
          <w:lang w:val="es-CO"/>
        </w:rPr>
        <w:t xml:space="preserve"> et al. (2020) analizaron la pérdida de biodiversidad asociada a incendios y deforestación en América Latina con datos de teledetección.</w:t>
      </w:r>
    </w:p>
    <w:p w14:paraId="2BF35DAF" w14:textId="77777777" w:rsidR="00ED53B9" w:rsidRPr="0055567A" w:rsidRDefault="00000000">
      <w:pPr>
        <w:spacing w:after="160" w:line="300" w:lineRule="auto"/>
        <w:jc w:val="both"/>
        <w:rPr>
          <w:lang w:val="es-CO"/>
        </w:rPr>
      </w:pPr>
      <w:r w:rsidRPr="0055567A">
        <w:rPr>
          <w:lang w:val="es-CO"/>
        </w:rPr>
        <w:t xml:space="preserve">La metodología CRISP-DM (Chapman et al., 2000) estructura el proyecto en seis fases: entendimiento del negocio, entendimiento de los datos, preparación de los datos, modelado, evaluación y despliegue. Esta estructura ha sido aplicada a proyectos de analítica sobre imágenes satelitales y se adapta a los ciclos iterativos característicos del procesamiento de datos geoespaciales. La arquitectura del proyecto se apoya en especificaciones abiertas como </w:t>
      </w:r>
      <w:proofErr w:type="spellStart"/>
      <w:r w:rsidRPr="0055567A">
        <w:rPr>
          <w:lang w:val="es-CO"/>
        </w:rPr>
        <w:t>SpatioTemporal</w:t>
      </w:r>
      <w:proofErr w:type="spellEnd"/>
      <w:r w:rsidRPr="0055567A">
        <w:rPr>
          <w:lang w:val="es-CO"/>
        </w:rPr>
        <w:t xml:space="preserve"> </w:t>
      </w:r>
      <w:proofErr w:type="spellStart"/>
      <w:r w:rsidRPr="0055567A">
        <w:rPr>
          <w:lang w:val="es-CO"/>
        </w:rPr>
        <w:t>Asset</w:t>
      </w:r>
      <w:proofErr w:type="spellEnd"/>
      <w:r w:rsidRPr="0055567A">
        <w:rPr>
          <w:lang w:val="es-CO"/>
        </w:rPr>
        <w:t xml:space="preserve"> </w:t>
      </w:r>
      <w:proofErr w:type="spellStart"/>
      <w:r w:rsidRPr="0055567A">
        <w:rPr>
          <w:lang w:val="es-CO"/>
        </w:rPr>
        <w:t>Catalog</w:t>
      </w:r>
      <w:proofErr w:type="spellEnd"/>
      <w:r w:rsidRPr="0055567A">
        <w:rPr>
          <w:lang w:val="es-CO"/>
        </w:rPr>
        <w:t xml:space="preserve"> (STAC) para indexación de imágenes, Cloud-</w:t>
      </w:r>
      <w:proofErr w:type="spellStart"/>
      <w:r w:rsidRPr="0055567A">
        <w:rPr>
          <w:lang w:val="es-CO"/>
        </w:rPr>
        <w:t>Optimized</w:t>
      </w:r>
      <w:proofErr w:type="spellEnd"/>
      <w:r w:rsidRPr="0055567A">
        <w:rPr>
          <w:lang w:val="es-CO"/>
        </w:rPr>
        <w:t xml:space="preserve"> </w:t>
      </w:r>
      <w:proofErr w:type="spellStart"/>
      <w:r w:rsidRPr="0055567A">
        <w:rPr>
          <w:lang w:val="es-CO"/>
        </w:rPr>
        <w:t>GeoTIFF</w:t>
      </w:r>
      <w:proofErr w:type="spellEnd"/>
      <w:r w:rsidRPr="0055567A">
        <w:rPr>
          <w:lang w:val="es-CO"/>
        </w:rPr>
        <w:t xml:space="preserve"> (COG) para lectura por ventanas sin descarga completa de archivos, y Apache Parquet para almacenamiento columnar de datos derivados.</w:t>
      </w:r>
    </w:p>
    <w:p w14:paraId="325DDEBD" w14:textId="77777777" w:rsidR="00ED53B9" w:rsidRPr="0055567A" w:rsidRDefault="00000000">
      <w:pPr>
        <w:pStyle w:val="Ttulo2"/>
        <w:spacing w:before="280" w:after="160"/>
        <w:rPr>
          <w:lang w:val="es-CO"/>
        </w:rPr>
      </w:pPr>
      <w:r w:rsidRPr="0055567A">
        <w:rPr>
          <w:lang w:val="es-CO"/>
        </w:rPr>
        <w:t>Descripción de los datos a utilizar</w:t>
      </w:r>
    </w:p>
    <w:p w14:paraId="5636BC2B" w14:textId="77777777" w:rsidR="00ED53B9" w:rsidRPr="0055567A" w:rsidRDefault="00000000">
      <w:pPr>
        <w:spacing w:before="160" w:after="100"/>
        <w:rPr>
          <w:lang w:val="es-CO"/>
        </w:rPr>
      </w:pPr>
      <w:proofErr w:type="spellStart"/>
      <w:r w:rsidRPr="0055567A">
        <w:rPr>
          <w:b/>
          <w:bCs/>
          <w:lang w:val="es-CO"/>
        </w:rPr>
        <w:t>Dataset</w:t>
      </w:r>
      <w:proofErr w:type="spellEnd"/>
      <w:r w:rsidRPr="0055567A">
        <w:rPr>
          <w:b/>
          <w:bCs/>
          <w:lang w:val="es-CO"/>
        </w:rPr>
        <w:t xml:space="preserve"> 1: Sentinel-2 Level-2A</w:t>
      </w:r>
    </w:p>
    <w:p w14:paraId="0CDDB0B7" w14:textId="77777777" w:rsidR="00ED53B9" w:rsidRPr="0055567A" w:rsidRDefault="00000000">
      <w:pPr>
        <w:spacing w:after="160" w:line="300" w:lineRule="auto"/>
        <w:jc w:val="both"/>
        <w:rPr>
          <w:lang w:val="es-CO"/>
        </w:rPr>
      </w:pPr>
      <w:r w:rsidRPr="0055567A">
        <w:rPr>
          <w:b/>
          <w:bCs/>
          <w:lang w:val="es-CO"/>
        </w:rPr>
        <w:t xml:space="preserve">Descripción. </w:t>
      </w:r>
      <w:r w:rsidRPr="0055567A">
        <w:rPr>
          <w:lang w:val="es-CO"/>
        </w:rPr>
        <w:t xml:space="preserve">Imágenes multiespectrales publicadas por la Agencia Espacial Europea en el marco del programa </w:t>
      </w:r>
      <w:proofErr w:type="spellStart"/>
      <w:r w:rsidRPr="0055567A">
        <w:rPr>
          <w:lang w:val="es-CO"/>
        </w:rPr>
        <w:t>Copernicus</w:t>
      </w:r>
      <w:proofErr w:type="spellEnd"/>
      <w:r w:rsidRPr="0055567A">
        <w:rPr>
          <w:lang w:val="es-CO"/>
        </w:rPr>
        <w:t>. El nivel de procesamiento L2A entrega reflectancia de superficie (Bottom-</w:t>
      </w:r>
      <w:proofErr w:type="spellStart"/>
      <w:r w:rsidRPr="0055567A">
        <w:rPr>
          <w:lang w:val="es-CO"/>
        </w:rPr>
        <w:t>of</w:t>
      </w:r>
      <w:proofErr w:type="spellEnd"/>
      <w:r w:rsidRPr="0055567A">
        <w:rPr>
          <w:lang w:val="es-CO"/>
        </w:rPr>
        <w:t>-</w:t>
      </w:r>
      <w:proofErr w:type="spellStart"/>
      <w:r w:rsidRPr="0055567A">
        <w:rPr>
          <w:lang w:val="es-CO"/>
        </w:rPr>
        <w:t>Atmosphere</w:t>
      </w:r>
      <w:proofErr w:type="spellEnd"/>
      <w:r w:rsidRPr="0055567A">
        <w:rPr>
          <w:lang w:val="es-CO"/>
        </w:rPr>
        <w:t>), con corrección atmosférica realizada por el procesador Sen2Cor. La resolución espacial es de 10 m en las bandas del visible y NIR, 20 m en red-</w:t>
      </w:r>
      <w:proofErr w:type="spellStart"/>
      <w:r w:rsidRPr="0055567A">
        <w:rPr>
          <w:lang w:val="es-CO"/>
        </w:rPr>
        <w:t>edge</w:t>
      </w:r>
      <w:proofErr w:type="spellEnd"/>
      <w:r w:rsidRPr="0055567A">
        <w:rPr>
          <w:lang w:val="es-CO"/>
        </w:rPr>
        <w:t xml:space="preserve"> y SWIR, y 60 m en bandas atmosféricas. La revisita temporal combinada de Sentinel-2A y Sentinel-2B es de 5 días. El acceso se realiza vía AWS Open Data </w:t>
      </w:r>
      <w:proofErr w:type="spellStart"/>
      <w:r w:rsidRPr="0055567A">
        <w:rPr>
          <w:lang w:val="es-CO"/>
        </w:rPr>
        <w:t>Registry</w:t>
      </w:r>
      <w:proofErr w:type="spellEnd"/>
      <w:r w:rsidRPr="0055567A">
        <w:rPr>
          <w:lang w:val="es-CO"/>
        </w:rPr>
        <w:t xml:space="preserve"> (</w:t>
      </w:r>
      <w:proofErr w:type="spellStart"/>
      <w:r w:rsidRPr="0055567A">
        <w:rPr>
          <w:lang w:val="es-CO"/>
        </w:rPr>
        <w:t>bucket</w:t>
      </w:r>
      <w:proofErr w:type="spellEnd"/>
      <w:r w:rsidRPr="0055567A">
        <w:rPr>
          <w:lang w:val="es-CO"/>
        </w:rPr>
        <w:t xml:space="preserve"> s3://sentinel-cogs en la región us-west-2), indexado mediante la API STAC Earth-Search (Drusch et al., 2012).</w:t>
      </w:r>
    </w:p>
    <w:p w14:paraId="2FD10FF5" w14:textId="77777777" w:rsidR="00ED53B9" w:rsidRDefault="00000000">
      <w:pPr>
        <w:spacing w:before="160" w:after="100"/>
      </w:pPr>
      <w:r>
        <w:rPr>
          <w:b/>
          <w:bCs/>
        </w:rPr>
        <w:t xml:space="preserve">Variables </w:t>
      </w:r>
      <w:proofErr w:type="spellStart"/>
      <w:r>
        <w:rPr>
          <w:b/>
          <w:bCs/>
        </w:rPr>
        <w:t>principales</w:t>
      </w:r>
      <w:proofErr w:type="spellEnd"/>
    </w:p>
    <w:p w14:paraId="025DFBAE" w14:textId="77777777" w:rsidR="00ED53B9" w:rsidRPr="0055567A" w:rsidRDefault="00000000">
      <w:pPr>
        <w:pStyle w:val="Prrafodelista"/>
        <w:numPr>
          <w:ilvl w:val="0"/>
          <w:numId w:val="2"/>
        </w:numPr>
        <w:spacing w:after="100" w:line="280" w:lineRule="auto"/>
        <w:jc w:val="both"/>
        <w:rPr>
          <w:lang w:val="es-CO"/>
        </w:rPr>
      </w:pPr>
      <w:r w:rsidRPr="0055567A">
        <w:rPr>
          <w:lang w:val="es-CO"/>
        </w:rPr>
        <w:t>Bandas espectrales B02 (azul, 10 m), B03 (verde, 10 m), B04 (rojo, 10 m), B08 (NIR, 10 m), B11 y B12 (SWIR, 20 m).</w:t>
      </w:r>
    </w:p>
    <w:p w14:paraId="6A8CF53C" w14:textId="77777777" w:rsidR="00ED53B9" w:rsidRPr="0055567A" w:rsidRDefault="00000000">
      <w:pPr>
        <w:pStyle w:val="Prrafodelista"/>
        <w:numPr>
          <w:ilvl w:val="0"/>
          <w:numId w:val="2"/>
        </w:numPr>
        <w:spacing w:after="100" w:line="280" w:lineRule="auto"/>
        <w:jc w:val="both"/>
        <w:rPr>
          <w:lang w:val="es-CO"/>
        </w:rPr>
      </w:pPr>
      <w:r w:rsidRPr="0055567A">
        <w:rPr>
          <w:lang w:val="es-CO"/>
        </w:rPr>
        <w:t>Banda B8A (red-</w:t>
      </w:r>
      <w:proofErr w:type="spellStart"/>
      <w:r w:rsidRPr="0055567A">
        <w:rPr>
          <w:lang w:val="es-CO"/>
        </w:rPr>
        <w:t>edge</w:t>
      </w:r>
      <w:proofErr w:type="spellEnd"/>
      <w:r w:rsidRPr="0055567A">
        <w:rPr>
          <w:lang w:val="es-CO"/>
        </w:rPr>
        <w:t>, 20 m) y B05–B07 (red-</w:t>
      </w:r>
      <w:proofErr w:type="spellStart"/>
      <w:r w:rsidRPr="0055567A">
        <w:rPr>
          <w:lang w:val="es-CO"/>
        </w:rPr>
        <w:t>edge</w:t>
      </w:r>
      <w:proofErr w:type="spellEnd"/>
      <w:r w:rsidRPr="0055567A">
        <w:rPr>
          <w:lang w:val="es-CO"/>
        </w:rPr>
        <w:t xml:space="preserve"> adicionales, 20 m).</w:t>
      </w:r>
    </w:p>
    <w:p w14:paraId="3CA8F363" w14:textId="77777777" w:rsidR="00ED53B9" w:rsidRPr="0055567A" w:rsidRDefault="00000000">
      <w:pPr>
        <w:pStyle w:val="Prrafodelista"/>
        <w:numPr>
          <w:ilvl w:val="0"/>
          <w:numId w:val="2"/>
        </w:numPr>
        <w:spacing w:after="100" w:line="280" w:lineRule="auto"/>
        <w:jc w:val="both"/>
        <w:rPr>
          <w:lang w:val="es-CO"/>
        </w:rPr>
      </w:pPr>
      <w:r w:rsidRPr="0055567A">
        <w:rPr>
          <w:lang w:val="es-CO"/>
        </w:rPr>
        <w:t>Máscara de clasificación de escena SCL (</w:t>
      </w:r>
      <w:proofErr w:type="spellStart"/>
      <w:r w:rsidRPr="0055567A">
        <w:rPr>
          <w:lang w:val="es-CO"/>
        </w:rPr>
        <w:t>Scene</w:t>
      </w:r>
      <w:proofErr w:type="spellEnd"/>
      <w:r w:rsidRPr="0055567A">
        <w:rPr>
          <w:lang w:val="es-CO"/>
        </w:rPr>
        <w:t xml:space="preserve"> </w:t>
      </w:r>
      <w:proofErr w:type="spellStart"/>
      <w:r w:rsidRPr="0055567A">
        <w:rPr>
          <w:lang w:val="es-CO"/>
        </w:rPr>
        <w:t>Classification</w:t>
      </w:r>
      <w:proofErr w:type="spellEnd"/>
      <w:r w:rsidRPr="0055567A">
        <w:rPr>
          <w:lang w:val="es-CO"/>
        </w:rPr>
        <w:t xml:space="preserve"> Layer), con etiquetas por píxel de nube, sombra de nube, vegetación, suelo desnudo, agua y nieve.</w:t>
      </w:r>
    </w:p>
    <w:p w14:paraId="388DFFB9" w14:textId="313E7D55" w:rsidR="00ED53B9" w:rsidRPr="0055567A" w:rsidRDefault="00000000">
      <w:pPr>
        <w:pStyle w:val="Prrafodelista"/>
        <w:numPr>
          <w:ilvl w:val="0"/>
          <w:numId w:val="2"/>
        </w:numPr>
        <w:spacing w:after="100" w:line="280" w:lineRule="auto"/>
        <w:jc w:val="both"/>
        <w:rPr>
          <w:lang w:val="es-CO"/>
        </w:rPr>
      </w:pPr>
      <w:r w:rsidRPr="0055567A">
        <w:rPr>
          <w:lang w:val="es-CO"/>
        </w:rPr>
        <w:t xml:space="preserve">Metadatos temporales (fecha de adquisición, </w:t>
      </w:r>
      <w:r w:rsidR="0055567A" w:rsidRPr="0055567A">
        <w:rPr>
          <w:lang w:val="es-CO"/>
        </w:rPr>
        <w:t>ángulos solares</w:t>
      </w:r>
      <w:r w:rsidRPr="0055567A">
        <w:rPr>
          <w:lang w:val="es-CO"/>
        </w:rPr>
        <w:t xml:space="preserve"> y de observación) y espaciales (tile MGRS, geometría de la escena).</w:t>
      </w:r>
    </w:p>
    <w:p w14:paraId="3A981F1E" w14:textId="77777777" w:rsidR="00ED53B9" w:rsidRPr="0055567A" w:rsidRDefault="00000000">
      <w:pPr>
        <w:spacing w:after="160" w:line="300" w:lineRule="auto"/>
        <w:jc w:val="both"/>
        <w:rPr>
          <w:lang w:val="es-CO"/>
        </w:rPr>
      </w:pPr>
      <w:proofErr w:type="spellStart"/>
      <w:r w:rsidRPr="0055567A">
        <w:rPr>
          <w:b/>
          <w:bCs/>
          <w:lang w:val="es-CO"/>
        </w:rPr>
        <w:t>Anonimización</w:t>
      </w:r>
      <w:proofErr w:type="spellEnd"/>
      <w:r w:rsidRPr="0055567A">
        <w:rPr>
          <w:b/>
          <w:bCs/>
          <w:lang w:val="es-CO"/>
        </w:rPr>
        <w:t xml:space="preserve">: </w:t>
      </w:r>
      <w:r w:rsidRPr="0055567A">
        <w:rPr>
          <w:lang w:val="es-CO"/>
        </w:rPr>
        <w:t>No aplica. Los datos no contienen información sobre personas identificables.</w:t>
      </w:r>
    </w:p>
    <w:p w14:paraId="78EEA39A" w14:textId="77777777" w:rsidR="00ED53B9" w:rsidRPr="0055567A" w:rsidRDefault="00000000">
      <w:pPr>
        <w:spacing w:after="160" w:line="300" w:lineRule="auto"/>
        <w:jc w:val="both"/>
        <w:rPr>
          <w:lang w:val="es-CO"/>
        </w:rPr>
      </w:pPr>
      <w:r w:rsidRPr="0055567A">
        <w:rPr>
          <w:b/>
          <w:bCs/>
          <w:lang w:val="es-CO"/>
        </w:rPr>
        <w:lastRenderedPageBreak/>
        <w:t xml:space="preserve">¿Pública? </w:t>
      </w:r>
      <w:r w:rsidRPr="0055567A">
        <w:rPr>
          <w:lang w:val="es-CO"/>
        </w:rPr>
        <w:t xml:space="preserve">Sí. Opera bajo la política de datos libres de </w:t>
      </w:r>
      <w:proofErr w:type="spellStart"/>
      <w:r w:rsidRPr="0055567A">
        <w:rPr>
          <w:lang w:val="es-CO"/>
        </w:rPr>
        <w:t>Copernicus</w:t>
      </w:r>
      <w:proofErr w:type="spellEnd"/>
      <w:r w:rsidRPr="0055567A">
        <w:rPr>
          <w:lang w:val="es-CO"/>
        </w:rPr>
        <w:t>, que permite uso, redistribución y adaptación con atribución a la fuente.</w:t>
      </w:r>
    </w:p>
    <w:p w14:paraId="760745C0" w14:textId="77777777" w:rsidR="00ED53B9" w:rsidRDefault="00000000">
      <w:pPr>
        <w:spacing w:before="160" w:after="100"/>
      </w:pPr>
      <w:r>
        <w:rPr>
          <w:b/>
          <w:bCs/>
        </w:rPr>
        <w:t>Dataset 2: Hansen Global Forest Change v1.12</w:t>
      </w:r>
    </w:p>
    <w:p w14:paraId="100BCBDE" w14:textId="77777777" w:rsidR="00ED53B9" w:rsidRPr="0055567A" w:rsidRDefault="00000000">
      <w:pPr>
        <w:spacing w:after="160" w:line="300" w:lineRule="auto"/>
        <w:jc w:val="both"/>
        <w:rPr>
          <w:lang w:val="es-CO"/>
        </w:rPr>
      </w:pPr>
      <w:r w:rsidRPr="0055567A">
        <w:rPr>
          <w:b/>
          <w:bCs/>
          <w:lang w:val="es-CO"/>
        </w:rPr>
        <w:t xml:space="preserve">Descripción. </w:t>
      </w:r>
      <w:r w:rsidRPr="0055567A">
        <w:rPr>
          <w:lang w:val="es-CO"/>
        </w:rPr>
        <w:t xml:space="preserve">Conjunto de capas </w:t>
      </w:r>
      <w:proofErr w:type="spellStart"/>
      <w:r w:rsidRPr="0055567A">
        <w:rPr>
          <w:lang w:val="es-CO"/>
        </w:rPr>
        <w:t>raster</w:t>
      </w:r>
      <w:proofErr w:type="spellEnd"/>
      <w:r w:rsidRPr="0055567A">
        <w:rPr>
          <w:lang w:val="es-CO"/>
        </w:rPr>
        <w:t xml:space="preserve"> globales con resolución de 30 m que documentan el estado y el cambio de la cobertura arbórea entre 2000 y 2024. Producido por el Global Land </w:t>
      </w:r>
      <w:proofErr w:type="spellStart"/>
      <w:r w:rsidRPr="0055567A">
        <w:rPr>
          <w:lang w:val="es-CO"/>
        </w:rPr>
        <w:t>Analysis</w:t>
      </w:r>
      <w:proofErr w:type="spellEnd"/>
      <w:r w:rsidRPr="0055567A">
        <w:rPr>
          <w:lang w:val="es-CO"/>
        </w:rPr>
        <w:t xml:space="preserve"> and Discovery Lab de la Universidad de Maryland a partir de imágenes Landsat. La capa </w:t>
      </w:r>
      <w:proofErr w:type="spellStart"/>
      <w:r w:rsidRPr="0055567A">
        <w:rPr>
          <w:i/>
          <w:iCs/>
          <w:lang w:val="es-CO"/>
        </w:rPr>
        <w:t>lossyear</w:t>
      </w:r>
      <w:proofErr w:type="spellEnd"/>
      <w:r w:rsidRPr="0055567A">
        <w:rPr>
          <w:lang w:val="es-CO"/>
        </w:rPr>
        <w:t xml:space="preserve"> identifica el año de pérdida de cobertura arbórea para cada píxel afectado, y se utilizará para derivar etiquetas de entrenamiento y evaluación del modelo (Hansen et al., 2013).</w:t>
      </w:r>
    </w:p>
    <w:p w14:paraId="2F98B387" w14:textId="77777777" w:rsidR="00ED53B9" w:rsidRDefault="00000000">
      <w:pPr>
        <w:spacing w:before="160" w:after="100"/>
      </w:pPr>
      <w:r>
        <w:rPr>
          <w:b/>
          <w:bCs/>
        </w:rPr>
        <w:t xml:space="preserve">Variables </w:t>
      </w:r>
      <w:proofErr w:type="spellStart"/>
      <w:r>
        <w:rPr>
          <w:b/>
          <w:bCs/>
        </w:rPr>
        <w:t>principales</w:t>
      </w:r>
      <w:proofErr w:type="spellEnd"/>
    </w:p>
    <w:p w14:paraId="102C1E82" w14:textId="77777777" w:rsidR="00ED53B9" w:rsidRPr="0055567A" w:rsidRDefault="00000000">
      <w:pPr>
        <w:pStyle w:val="Prrafodelista"/>
        <w:numPr>
          <w:ilvl w:val="0"/>
          <w:numId w:val="2"/>
        </w:numPr>
        <w:spacing w:after="100" w:line="280" w:lineRule="auto"/>
        <w:jc w:val="both"/>
        <w:rPr>
          <w:lang w:val="es-CO"/>
        </w:rPr>
      </w:pPr>
      <w:r w:rsidRPr="0055567A">
        <w:rPr>
          <w:b/>
          <w:bCs/>
          <w:lang w:val="es-CO"/>
        </w:rPr>
        <w:t xml:space="preserve">treecover2000: </w:t>
      </w:r>
      <w:r w:rsidRPr="0055567A">
        <w:rPr>
          <w:lang w:val="es-CO"/>
        </w:rPr>
        <w:t>porcentaje de cobertura arbórea por píxel en el año 2000 (valores 0–100).</w:t>
      </w:r>
    </w:p>
    <w:p w14:paraId="079B1A40" w14:textId="77777777" w:rsidR="00ED53B9" w:rsidRPr="0055567A" w:rsidRDefault="00000000">
      <w:pPr>
        <w:pStyle w:val="Prrafodelista"/>
        <w:numPr>
          <w:ilvl w:val="0"/>
          <w:numId w:val="2"/>
        </w:numPr>
        <w:spacing w:after="100" w:line="280" w:lineRule="auto"/>
        <w:jc w:val="both"/>
        <w:rPr>
          <w:lang w:val="es-CO"/>
        </w:rPr>
      </w:pPr>
      <w:proofErr w:type="spellStart"/>
      <w:r w:rsidRPr="0055567A">
        <w:rPr>
          <w:b/>
          <w:bCs/>
          <w:lang w:val="es-CO"/>
        </w:rPr>
        <w:t>loss</w:t>
      </w:r>
      <w:proofErr w:type="spellEnd"/>
      <w:r w:rsidRPr="0055567A">
        <w:rPr>
          <w:b/>
          <w:bCs/>
          <w:lang w:val="es-CO"/>
        </w:rPr>
        <w:t xml:space="preserve">: </w:t>
      </w:r>
      <w:r w:rsidRPr="0055567A">
        <w:rPr>
          <w:lang w:val="es-CO"/>
        </w:rPr>
        <w:t>máscara binaria de pérdida de cobertura arbórea en el periodo 2000–2024.</w:t>
      </w:r>
    </w:p>
    <w:p w14:paraId="644AC57E" w14:textId="77777777" w:rsidR="00ED53B9" w:rsidRPr="0055567A" w:rsidRDefault="00000000">
      <w:pPr>
        <w:pStyle w:val="Prrafodelista"/>
        <w:numPr>
          <w:ilvl w:val="0"/>
          <w:numId w:val="2"/>
        </w:numPr>
        <w:spacing w:after="100" w:line="280" w:lineRule="auto"/>
        <w:jc w:val="both"/>
        <w:rPr>
          <w:lang w:val="es-CO"/>
        </w:rPr>
      </w:pPr>
      <w:proofErr w:type="spellStart"/>
      <w:r w:rsidRPr="0055567A">
        <w:rPr>
          <w:b/>
          <w:bCs/>
          <w:lang w:val="es-CO"/>
        </w:rPr>
        <w:t>lossyear</w:t>
      </w:r>
      <w:proofErr w:type="spellEnd"/>
      <w:r w:rsidRPr="0055567A">
        <w:rPr>
          <w:b/>
          <w:bCs/>
          <w:lang w:val="es-CO"/>
        </w:rPr>
        <w:t xml:space="preserve">: </w:t>
      </w:r>
      <w:r w:rsidRPr="0055567A">
        <w:rPr>
          <w:lang w:val="es-CO"/>
        </w:rPr>
        <w:t>año de pérdida, codificado como entero 1–24 (donde 1 = 2001, 24 = 2024).</w:t>
      </w:r>
    </w:p>
    <w:p w14:paraId="23874E1D" w14:textId="77777777" w:rsidR="00ED53B9" w:rsidRPr="0055567A" w:rsidRDefault="00000000">
      <w:pPr>
        <w:pStyle w:val="Prrafodelista"/>
        <w:numPr>
          <w:ilvl w:val="0"/>
          <w:numId w:val="2"/>
        </w:numPr>
        <w:spacing w:after="100" w:line="280" w:lineRule="auto"/>
        <w:jc w:val="both"/>
        <w:rPr>
          <w:lang w:val="es-CO"/>
        </w:rPr>
      </w:pPr>
      <w:proofErr w:type="spellStart"/>
      <w:r w:rsidRPr="0055567A">
        <w:rPr>
          <w:b/>
          <w:bCs/>
          <w:lang w:val="es-CO"/>
        </w:rPr>
        <w:t>gain</w:t>
      </w:r>
      <w:proofErr w:type="spellEnd"/>
      <w:r w:rsidRPr="0055567A">
        <w:rPr>
          <w:b/>
          <w:bCs/>
          <w:lang w:val="es-CO"/>
        </w:rPr>
        <w:t xml:space="preserve">: </w:t>
      </w:r>
      <w:r w:rsidRPr="0055567A">
        <w:rPr>
          <w:lang w:val="es-CO"/>
        </w:rPr>
        <w:t>máscara binaria de ganancia de cobertura arbórea observada en el periodo.</w:t>
      </w:r>
    </w:p>
    <w:p w14:paraId="18CC7220" w14:textId="77777777" w:rsidR="00ED53B9" w:rsidRPr="0055567A" w:rsidRDefault="00000000">
      <w:pPr>
        <w:spacing w:after="160" w:line="300" w:lineRule="auto"/>
        <w:jc w:val="both"/>
        <w:rPr>
          <w:lang w:val="es-CO"/>
        </w:rPr>
      </w:pPr>
      <w:proofErr w:type="spellStart"/>
      <w:r w:rsidRPr="0055567A">
        <w:rPr>
          <w:b/>
          <w:bCs/>
          <w:lang w:val="es-CO"/>
        </w:rPr>
        <w:t>Anonimización</w:t>
      </w:r>
      <w:proofErr w:type="spellEnd"/>
      <w:r w:rsidRPr="0055567A">
        <w:rPr>
          <w:b/>
          <w:bCs/>
          <w:lang w:val="es-CO"/>
        </w:rPr>
        <w:t xml:space="preserve">: </w:t>
      </w:r>
      <w:r w:rsidRPr="0055567A">
        <w:rPr>
          <w:lang w:val="es-CO"/>
        </w:rPr>
        <w:t>No aplica.</w:t>
      </w:r>
    </w:p>
    <w:p w14:paraId="7642E2F4" w14:textId="77777777" w:rsidR="00ED53B9" w:rsidRPr="0055567A" w:rsidRDefault="00000000">
      <w:pPr>
        <w:spacing w:after="160" w:line="300" w:lineRule="auto"/>
        <w:jc w:val="both"/>
        <w:rPr>
          <w:lang w:val="es-CO"/>
        </w:rPr>
      </w:pPr>
      <w:r w:rsidRPr="0055567A">
        <w:rPr>
          <w:b/>
          <w:bCs/>
          <w:lang w:val="es-CO"/>
        </w:rPr>
        <w:t xml:space="preserve">¿Pública? </w:t>
      </w:r>
      <w:r w:rsidRPr="0055567A">
        <w:rPr>
          <w:lang w:val="es-CO"/>
        </w:rPr>
        <w:t xml:space="preserve">Sí. Se distribuye bajo licencia Creative Commons </w:t>
      </w:r>
      <w:proofErr w:type="spellStart"/>
      <w:r w:rsidRPr="0055567A">
        <w:rPr>
          <w:lang w:val="es-CO"/>
        </w:rPr>
        <w:t>Attribution</w:t>
      </w:r>
      <w:proofErr w:type="spellEnd"/>
      <w:r w:rsidRPr="0055567A">
        <w:rPr>
          <w:lang w:val="es-CO"/>
        </w:rPr>
        <w:t xml:space="preserve"> 4.0 a través del portal del Global Land </w:t>
      </w:r>
      <w:proofErr w:type="spellStart"/>
      <w:r w:rsidRPr="0055567A">
        <w:rPr>
          <w:lang w:val="es-CO"/>
        </w:rPr>
        <w:t>Analysis</w:t>
      </w:r>
      <w:proofErr w:type="spellEnd"/>
      <w:r w:rsidRPr="0055567A">
        <w:rPr>
          <w:lang w:val="es-CO"/>
        </w:rPr>
        <w:t xml:space="preserve"> and Discovery Lab y del catálogo de Google Earth </w:t>
      </w:r>
      <w:proofErr w:type="spellStart"/>
      <w:r w:rsidRPr="0055567A">
        <w:rPr>
          <w:lang w:val="es-CO"/>
        </w:rPr>
        <w:t>Engine</w:t>
      </w:r>
      <w:proofErr w:type="spellEnd"/>
      <w:r w:rsidRPr="0055567A">
        <w:rPr>
          <w:lang w:val="es-CO"/>
        </w:rPr>
        <w:t>.</w:t>
      </w:r>
    </w:p>
    <w:p w14:paraId="7F09A6B8" w14:textId="77777777" w:rsidR="00ED53B9" w:rsidRPr="0055567A" w:rsidRDefault="00000000">
      <w:pPr>
        <w:spacing w:before="160" w:after="100"/>
        <w:rPr>
          <w:lang w:val="es-CO"/>
        </w:rPr>
      </w:pPr>
      <w:proofErr w:type="spellStart"/>
      <w:r w:rsidRPr="0055567A">
        <w:rPr>
          <w:b/>
          <w:bCs/>
          <w:lang w:val="es-CO"/>
        </w:rPr>
        <w:t>Dataset</w:t>
      </w:r>
      <w:proofErr w:type="spellEnd"/>
      <w:r w:rsidRPr="0055567A">
        <w:rPr>
          <w:b/>
          <w:bCs/>
          <w:lang w:val="es-CO"/>
        </w:rPr>
        <w:t xml:space="preserve"> complementario: Productos del </w:t>
      </w:r>
      <w:proofErr w:type="spellStart"/>
      <w:r w:rsidRPr="0055567A">
        <w:rPr>
          <w:b/>
          <w:bCs/>
          <w:lang w:val="es-CO"/>
        </w:rPr>
        <w:t>SMByC</w:t>
      </w:r>
      <w:proofErr w:type="spellEnd"/>
      <w:r w:rsidRPr="0055567A">
        <w:rPr>
          <w:b/>
          <w:bCs/>
          <w:lang w:val="es-CO"/>
        </w:rPr>
        <w:t>-IDEAM y capas de referencia</w:t>
      </w:r>
    </w:p>
    <w:p w14:paraId="304DD941" w14:textId="77777777" w:rsidR="00ED53B9" w:rsidRPr="0055567A" w:rsidRDefault="00000000">
      <w:pPr>
        <w:spacing w:after="160" w:line="300" w:lineRule="auto"/>
        <w:jc w:val="both"/>
        <w:rPr>
          <w:lang w:val="es-CO"/>
        </w:rPr>
      </w:pPr>
      <w:r w:rsidRPr="0055567A">
        <w:rPr>
          <w:lang w:val="es-CO"/>
        </w:rPr>
        <w:t xml:space="preserve">Se incorporarán los mapas anuales de bosque/no bosque y los boletines trimestrales de alertas tempranas del </w:t>
      </w:r>
      <w:proofErr w:type="spellStart"/>
      <w:r w:rsidRPr="0055567A">
        <w:rPr>
          <w:lang w:val="es-CO"/>
        </w:rPr>
        <w:t>SMByC</w:t>
      </w:r>
      <w:proofErr w:type="spellEnd"/>
      <w:r w:rsidRPr="0055567A">
        <w:rPr>
          <w:lang w:val="es-CO"/>
        </w:rPr>
        <w:t xml:space="preserve">-IDEAM (2025) como referencia adicional de validación cualitativa y contextual. Adicionalmente, los límites departamentales y municipales del Instituto Geográfico Agustín Codazzi, y el Registro Único Nacional de Áreas Protegidas (RUNAP) se utilizarán para delimitar el área de interés, segmentar resultados por unidad territorial y permitir análisis diferenciados dentro y fuera de áreas protegidas. Todos son recursos públicos, sin información sobre personas, y no requieren </w:t>
      </w:r>
      <w:proofErr w:type="spellStart"/>
      <w:r w:rsidRPr="0055567A">
        <w:rPr>
          <w:lang w:val="es-CO"/>
        </w:rPr>
        <w:t>anonimización</w:t>
      </w:r>
      <w:proofErr w:type="spellEnd"/>
      <w:r w:rsidRPr="0055567A">
        <w:rPr>
          <w:lang w:val="es-CO"/>
        </w:rPr>
        <w:t>.</w:t>
      </w:r>
    </w:p>
    <w:p w14:paraId="3594688F" w14:textId="77777777" w:rsidR="00ED53B9" w:rsidRPr="0055567A" w:rsidRDefault="00000000">
      <w:pPr>
        <w:pStyle w:val="Ttulo2"/>
        <w:spacing w:before="280" w:after="160"/>
        <w:rPr>
          <w:lang w:val="es-CO"/>
        </w:rPr>
      </w:pPr>
      <w:r w:rsidRPr="0055567A">
        <w:rPr>
          <w:lang w:val="es-CO"/>
        </w:rPr>
        <w:t>Metodología</w:t>
      </w:r>
    </w:p>
    <w:p w14:paraId="197BF68A" w14:textId="77777777" w:rsidR="00ED53B9" w:rsidRPr="0055567A" w:rsidRDefault="00000000">
      <w:pPr>
        <w:spacing w:after="160" w:line="300" w:lineRule="auto"/>
        <w:jc w:val="both"/>
        <w:rPr>
          <w:lang w:val="es-CO"/>
        </w:rPr>
      </w:pPr>
      <w:r w:rsidRPr="0055567A">
        <w:rPr>
          <w:lang w:val="es-CO"/>
        </w:rPr>
        <w:t>El proyecto sigue la metodología CRISP-DM (Chapman et al., 2000), organizada en seis fases:</w:t>
      </w:r>
    </w:p>
    <w:p w14:paraId="43ADD5A3" w14:textId="77777777" w:rsidR="00ED53B9" w:rsidRDefault="00000000">
      <w:pPr>
        <w:pStyle w:val="Prrafodelista"/>
        <w:numPr>
          <w:ilvl w:val="0"/>
          <w:numId w:val="2"/>
        </w:numPr>
        <w:spacing w:after="100" w:line="280" w:lineRule="auto"/>
        <w:jc w:val="both"/>
      </w:pPr>
      <w:r w:rsidRPr="0055567A">
        <w:rPr>
          <w:b/>
          <w:bCs/>
          <w:lang w:val="es-CO"/>
        </w:rPr>
        <w:t xml:space="preserve">Entendimiento del negocio. </w:t>
      </w:r>
      <w:r w:rsidRPr="0055567A">
        <w:rPr>
          <w:lang w:val="es-CO"/>
        </w:rPr>
        <w:t xml:space="preserve">Definición del problema, de los actores involucrados y de los criterios de éxito. Revisión de los reportes del IDEAM, la literatura académica y los productos de monitoreo disponibles. </w:t>
      </w:r>
      <w:proofErr w:type="spellStart"/>
      <w:r>
        <w:t>Formalización</w:t>
      </w:r>
      <w:proofErr w:type="spellEnd"/>
      <w:r>
        <w:t xml:space="preserve"> de la </w:t>
      </w:r>
      <w:proofErr w:type="spellStart"/>
      <w:r>
        <w:t>pregunta</w:t>
      </w:r>
      <w:proofErr w:type="spellEnd"/>
      <w:r>
        <w:t xml:space="preserve"> y del </w:t>
      </w:r>
      <w:proofErr w:type="spellStart"/>
      <w:r>
        <w:t>área</w:t>
      </w:r>
      <w:proofErr w:type="spellEnd"/>
      <w:r>
        <w:t xml:space="preserve"> de </w:t>
      </w:r>
      <w:proofErr w:type="spellStart"/>
      <w:r>
        <w:t>interés</w:t>
      </w:r>
      <w:proofErr w:type="spellEnd"/>
      <w:r>
        <w:t>.</w:t>
      </w:r>
    </w:p>
    <w:p w14:paraId="7EE9AF52" w14:textId="77777777" w:rsidR="00ED53B9" w:rsidRPr="0055567A" w:rsidRDefault="00000000">
      <w:pPr>
        <w:pStyle w:val="Prrafodelista"/>
        <w:numPr>
          <w:ilvl w:val="0"/>
          <w:numId w:val="2"/>
        </w:numPr>
        <w:spacing w:after="100" w:line="280" w:lineRule="auto"/>
        <w:jc w:val="both"/>
        <w:rPr>
          <w:lang w:val="es-CO"/>
        </w:rPr>
      </w:pPr>
      <w:r w:rsidRPr="0055567A">
        <w:rPr>
          <w:b/>
          <w:bCs/>
          <w:lang w:val="es-CO"/>
        </w:rPr>
        <w:t xml:space="preserve">Entendimiento de los datos. </w:t>
      </w:r>
      <w:r w:rsidRPr="0055567A">
        <w:rPr>
          <w:lang w:val="es-CO"/>
        </w:rPr>
        <w:t xml:space="preserve">Exploración de disponibilidad de Sentinel-2 sobre el área de interés, análisis de nubosidad por fecha y zona, caracterización de las distribuciones espectrales por tipo de cobertura, revisión de la calidad de las etiquetas de Hansen GFC y verificación cruzada con productos del </w:t>
      </w:r>
      <w:proofErr w:type="spellStart"/>
      <w:r w:rsidRPr="0055567A">
        <w:rPr>
          <w:lang w:val="es-CO"/>
        </w:rPr>
        <w:t>SMByC</w:t>
      </w:r>
      <w:proofErr w:type="spellEnd"/>
      <w:r w:rsidRPr="0055567A">
        <w:rPr>
          <w:lang w:val="es-CO"/>
        </w:rPr>
        <w:t xml:space="preserve">-IDEAM. Cálculo del índice I de Moran sobre los residuos del </w:t>
      </w:r>
      <w:proofErr w:type="spellStart"/>
      <w:r w:rsidRPr="0055567A">
        <w:rPr>
          <w:lang w:val="es-CO"/>
        </w:rPr>
        <w:t>baseline</w:t>
      </w:r>
      <w:proofErr w:type="spellEnd"/>
      <w:r w:rsidRPr="0055567A">
        <w:rPr>
          <w:lang w:val="es-CO"/>
        </w:rPr>
        <w:t xml:space="preserve"> para diagnosticar el grado de autocorrelación espacial.</w:t>
      </w:r>
    </w:p>
    <w:p w14:paraId="65F7C636" w14:textId="77777777" w:rsidR="00ED53B9" w:rsidRPr="0055567A" w:rsidRDefault="00000000">
      <w:pPr>
        <w:pStyle w:val="Prrafodelista"/>
        <w:numPr>
          <w:ilvl w:val="0"/>
          <w:numId w:val="2"/>
        </w:numPr>
        <w:spacing w:after="100" w:line="280" w:lineRule="auto"/>
        <w:jc w:val="both"/>
        <w:rPr>
          <w:lang w:val="es-CO"/>
        </w:rPr>
      </w:pPr>
      <w:r w:rsidRPr="0055567A">
        <w:rPr>
          <w:b/>
          <w:bCs/>
          <w:lang w:val="es-CO"/>
        </w:rPr>
        <w:lastRenderedPageBreak/>
        <w:t xml:space="preserve">Preparación de los datos. </w:t>
      </w:r>
      <w:r w:rsidRPr="0055567A">
        <w:rPr>
          <w:lang w:val="es-CO"/>
        </w:rPr>
        <w:t>Construcción de composiciones temporales trimestrales con agregación por mediana y percentil 25, aplicación de máscaras SCL, cálculo de índices derivados (NDVI, NBR, NDWI), apilamiento de bandas e índices, muestreo balanceado de píxeles de entrenamiento y partición espacial por bloques para validación. El Análisis Exploratorio de Datos se desarrolla de forma transversal en esta etapa.</w:t>
      </w:r>
    </w:p>
    <w:p w14:paraId="6D7BF555" w14:textId="77777777" w:rsidR="00ED53B9" w:rsidRDefault="00000000">
      <w:pPr>
        <w:pStyle w:val="Prrafodelista"/>
        <w:numPr>
          <w:ilvl w:val="0"/>
          <w:numId w:val="2"/>
        </w:numPr>
        <w:spacing w:after="100" w:line="280" w:lineRule="auto"/>
        <w:jc w:val="both"/>
      </w:pPr>
      <w:r w:rsidRPr="0055567A">
        <w:rPr>
          <w:b/>
          <w:bCs/>
          <w:lang w:val="es-CO"/>
        </w:rPr>
        <w:t xml:space="preserve">Modelado. </w:t>
      </w:r>
      <w:r w:rsidRPr="0055567A">
        <w:rPr>
          <w:lang w:val="es-CO"/>
        </w:rPr>
        <w:t xml:space="preserve">Entrenamiento de un </w:t>
      </w:r>
      <w:proofErr w:type="spellStart"/>
      <w:r w:rsidRPr="0055567A">
        <w:rPr>
          <w:lang w:val="es-CO"/>
        </w:rPr>
        <w:t>baseline</w:t>
      </w:r>
      <w:proofErr w:type="spellEnd"/>
      <w:r w:rsidRPr="0055567A">
        <w:rPr>
          <w:lang w:val="es-CO"/>
        </w:rPr>
        <w:t xml:space="preserve"> con Random Forest (</w:t>
      </w:r>
      <w:proofErr w:type="spellStart"/>
      <w:r w:rsidRPr="0055567A">
        <w:rPr>
          <w:lang w:val="es-CO"/>
        </w:rPr>
        <w:t>Breiman</w:t>
      </w:r>
      <w:proofErr w:type="spellEnd"/>
      <w:r w:rsidRPr="0055567A">
        <w:rPr>
          <w:lang w:val="es-CO"/>
        </w:rPr>
        <w:t xml:space="preserve">, 2001) y </w:t>
      </w:r>
      <w:proofErr w:type="spellStart"/>
      <w:r w:rsidRPr="0055567A">
        <w:rPr>
          <w:lang w:val="es-CO"/>
        </w:rPr>
        <w:t>XGBoost</w:t>
      </w:r>
      <w:proofErr w:type="spellEnd"/>
      <w:r w:rsidRPr="0055567A">
        <w:rPr>
          <w:lang w:val="es-CO"/>
        </w:rPr>
        <w:t xml:space="preserve"> (Chen &amp; </w:t>
      </w:r>
      <w:proofErr w:type="spellStart"/>
      <w:r w:rsidRPr="0055567A">
        <w:rPr>
          <w:lang w:val="es-CO"/>
        </w:rPr>
        <w:t>Guestrin</w:t>
      </w:r>
      <w:proofErr w:type="spellEnd"/>
      <w:r w:rsidRPr="0055567A">
        <w:rPr>
          <w:lang w:val="es-CO"/>
        </w:rPr>
        <w:t xml:space="preserve">, 2016) sobre </w:t>
      </w:r>
      <w:proofErr w:type="spellStart"/>
      <w:r w:rsidRPr="0055567A">
        <w:rPr>
          <w:lang w:val="es-CO"/>
        </w:rPr>
        <w:t>features</w:t>
      </w:r>
      <w:proofErr w:type="spellEnd"/>
      <w:r w:rsidRPr="0055567A">
        <w:rPr>
          <w:lang w:val="es-CO"/>
        </w:rPr>
        <w:t xml:space="preserve"> tabulares (bandas e índices por píxel). Fine-</w:t>
      </w:r>
      <w:proofErr w:type="spellStart"/>
      <w:r w:rsidRPr="0055567A">
        <w:rPr>
          <w:lang w:val="es-CO"/>
        </w:rPr>
        <w:t>tuning</w:t>
      </w:r>
      <w:proofErr w:type="spellEnd"/>
      <w:r w:rsidRPr="0055567A">
        <w:rPr>
          <w:lang w:val="es-CO"/>
        </w:rPr>
        <w:t xml:space="preserve"> de una red convolucional U-Net (</w:t>
      </w:r>
      <w:proofErr w:type="spellStart"/>
      <w:r w:rsidRPr="0055567A">
        <w:rPr>
          <w:lang w:val="es-CO"/>
        </w:rPr>
        <w:t>Ronneberger</w:t>
      </w:r>
      <w:proofErr w:type="spellEnd"/>
      <w:r w:rsidRPr="0055567A">
        <w:rPr>
          <w:lang w:val="es-CO"/>
        </w:rPr>
        <w:t xml:space="preserve"> et al., 2015) con </w:t>
      </w:r>
      <w:proofErr w:type="spellStart"/>
      <w:r w:rsidRPr="0055567A">
        <w:rPr>
          <w:lang w:val="es-CO"/>
        </w:rPr>
        <w:t>encoder</w:t>
      </w:r>
      <w:proofErr w:type="spellEnd"/>
      <w:r w:rsidRPr="0055567A">
        <w:rPr>
          <w:lang w:val="es-CO"/>
        </w:rPr>
        <w:t xml:space="preserve"> </w:t>
      </w:r>
      <w:proofErr w:type="spellStart"/>
      <w:r w:rsidRPr="0055567A">
        <w:rPr>
          <w:lang w:val="es-CO"/>
        </w:rPr>
        <w:t>preentrenado</w:t>
      </w:r>
      <w:proofErr w:type="spellEnd"/>
      <w:r w:rsidRPr="0055567A">
        <w:rPr>
          <w:lang w:val="es-CO"/>
        </w:rPr>
        <w:t xml:space="preserve"> sobre ventanas espaciales para capturar contexto. </w:t>
      </w:r>
      <w:r>
        <w:t xml:space="preserve">Registro de </w:t>
      </w:r>
      <w:proofErr w:type="spellStart"/>
      <w:r>
        <w:t>experimentos</w:t>
      </w:r>
      <w:proofErr w:type="spellEnd"/>
      <w:r>
        <w:t xml:space="preserve"> con </w:t>
      </w:r>
      <w:proofErr w:type="spellStart"/>
      <w:r>
        <w:t>MLflow</w:t>
      </w:r>
      <w:proofErr w:type="spellEnd"/>
      <w:r>
        <w:t>.</w:t>
      </w:r>
    </w:p>
    <w:p w14:paraId="477FB76A" w14:textId="77777777" w:rsidR="00ED53B9" w:rsidRDefault="00000000">
      <w:pPr>
        <w:pStyle w:val="Prrafodelista"/>
        <w:numPr>
          <w:ilvl w:val="0"/>
          <w:numId w:val="2"/>
        </w:numPr>
        <w:spacing w:after="100" w:line="280" w:lineRule="auto"/>
        <w:jc w:val="both"/>
      </w:pPr>
      <w:r w:rsidRPr="0055567A">
        <w:rPr>
          <w:b/>
          <w:bCs/>
          <w:lang w:val="es-CO"/>
        </w:rPr>
        <w:t xml:space="preserve">Evaluación. </w:t>
      </w:r>
      <w:r w:rsidRPr="0055567A">
        <w:rPr>
          <w:lang w:val="es-CO"/>
        </w:rPr>
        <w:t xml:space="preserve">Cálculo de métricas </w:t>
      </w:r>
      <w:proofErr w:type="gramStart"/>
      <w:r w:rsidRPr="0055567A">
        <w:rPr>
          <w:lang w:val="es-CO"/>
        </w:rPr>
        <w:t>pixel</w:t>
      </w:r>
      <w:proofErr w:type="gramEnd"/>
      <w:r w:rsidRPr="0055567A">
        <w:rPr>
          <w:lang w:val="es-CO"/>
        </w:rPr>
        <w:t>-</w:t>
      </w:r>
      <w:proofErr w:type="spellStart"/>
      <w:r w:rsidRPr="0055567A">
        <w:rPr>
          <w:lang w:val="es-CO"/>
        </w:rPr>
        <w:t>wise</w:t>
      </w:r>
      <w:proofErr w:type="spellEnd"/>
      <w:r w:rsidRPr="0055567A">
        <w:rPr>
          <w:lang w:val="es-CO"/>
        </w:rPr>
        <w:t xml:space="preserve"> (precisión, </w:t>
      </w:r>
      <w:proofErr w:type="spellStart"/>
      <w:r w:rsidRPr="0055567A">
        <w:rPr>
          <w:lang w:val="es-CO"/>
        </w:rPr>
        <w:t>recall</w:t>
      </w:r>
      <w:proofErr w:type="spellEnd"/>
      <w:r w:rsidRPr="0055567A">
        <w:rPr>
          <w:lang w:val="es-CO"/>
        </w:rPr>
        <w:t xml:space="preserve">, F1, </w:t>
      </w:r>
      <w:proofErr w:type="spellStart"/>
      <w:r w:rsidRPr="0055567A">
        <w:rPr>
          <w:lang w:val="es-CO"/>
        </w:rPr>
        <w:t>IoU</w:t>
      </w:r>
      <w:proofErr w:type="spellEnd"/>
      <w:r w:rsidRPr="0055567A">
        <w:rPr>
          <w:lang w:val="es-CO"/>
        </w:rPr>
        <w:t xml:space="preserve">) y por polígono sobre una partición espacial por bloques. Comparación entre modelos mediante prueba de McNemar para clasificación pareada y </w:t>
      </w:r>
      <w:proofErr w:type="spellStart"/>
      <w:r w:rsidRPr="0055567A">
        <w:rPr>
          <w:lang w:val="es-CO"/>
        </w:rPr>
        <w:t>bootstrap</w:t>
      </w:r>
      <w:proofErr w:type="spellEnd"/>
      <w:r w:rsidRPr="0055567A">
        <w:rPr>
          <w:lang w:val="es-CO"/>
        </w:rPr>
        <w:t xml:space="preserve"> espacial para intervalos de confianza. Análisis de errores por tipo de cobertura circundante y por trimestre. </w:t>
      </w:r>
      <w:proofErr w:type="spellStart"/>
      <w:r>
        <w:t>Consolidación</w:t>
      </w:r>
      <w:proofErr w:type="spellEnd"/>
      <w:r>
        <w:t xml:space="preserve"> de un </w:t>
      </w:r>
      <w:proofErr w:type="spellStart"/>
      <w:r>
        <w:t>informe</w:t>
      </w:r>
      <w:proofErr w:type="spellEnd"/>
      <w:r>
        <w:t xml:space="preserve"> de </w:t>
      </w:r>
      <w:proofErr w:type="spellStart"/>
      <w:r>
        <w:t>resultados</w:t>
      </w:r>
      <w:proofErr w:type="spellEnd"/>
      <w:r>
        <w:t>.</w:t>
      </w:r>
    </w:p>
    <w:p w14:paraId="09AC28F7" w14:textId="77777777" w:rsidR="00ED53B9" w:rsidRPr="0055567A" w:rsidRDefault="00000000">
      <w:pPr>
        <w:pStyle w:val="Prrafodelista"/>
        <w:numPr>
          <w:ilvl w:val="0"/>
          <w:numId w:val="2"/>
        </w:numPr>
        <w:spacing w:after="100" w:line="280" w:lineRule="auto"/>
        <w:jc w:val="both"/>
        <w:rPr>
          <w:lang w:val="es-CO"/>
        </w:rPr>
      </w:pPr>
      <w:r w:rsidRPr="0055567A">
        <w:rPr>
          <w:b/>
          <w:bCs/>
          <w:lang w:val="es-CO"/>
        </w:rPr>
        <w:t xml:space="preserve">Despliegue. </w:t>
      </w:r>
      <w:r w:rsidRPr="0055567A">
        <w:rPr>
          <w:lang w:val="es-CO"/>
        </w:rPr>
        <w:t xml:space="preserve">Publicación del pipeline en un repositorio Git, orquestación de la inferencia periódica en AWS (Lambda container, S3, API Gateway), y entrega de un tablero interactivo en </w:t>
      </w:r>
      <w:proofErr w:type="spellStart"/>
      <w:r w:rsidRPr="0055567A">
        <w:rPr>
          <w:lang w:val="es-CO"/>
        </w:rPr>
        <w:t>Streamlit</w:t>
      </w:r>
      <w:proofErr w:type="spellEnd"/>
      <w:r w:rsidRPr="0055567A">
        <w:rPr>
          <w:lang w:val="es-CO"/>
        </w:rPr>
        <w:t xml:space="preserve"> más un tablero ejecutivo en </w:t>
      </w:r>
      <w:proofErr w:type="spellStart"/>
      <w:r w:rsidRPr="0055567A">
        <w:rPr>
          <w:lang w:val="es-CO"/>
        </w:rPr>
        <w:t>Tableau</w:t>
      </w:r>
      <w:proofErr w:type="spellEnd"/>
      <w:r w:rsidRPr="0055567A">
        <w:rPr>
          <w:lang w:val="es-CO"/>
        </w:rPr>
        <w:t xml:space="preserve"> Public.</w:t>
      </w:r>
    </w:p>
    <w:p w14:paraId="2CAC3BD6" w14:textId="77777777" w:rsidR="00ED53B9" w:rsidRPr="0055567A" w:rsidRDefault="00000000">
      <w:pPr>
        <w:pStyle w:val="Ttulo2"/>
        <w:spacing w:before="280" w:after="160"/>
        <w:rPr>
          <w:lang w:val="es-CO"/>
        </w:rPr>
      </w:pPr>
      <w:r w:rsidRPr="0055567A">
        <w:rPr>
          <w:lang w:val="es-CO"/>
        </w:rPr>
        <w:t>Métricas de evaluación y criterios de comparación entre modelos</w:t>
      </w:r>
    </w:p>
    <w:p w14:paraId="66804BBE" w14:textId="77777777" w:rsidR="00ED53B9" w:rsidRPr="0055567A" w:rsidRDefault="00000000">
      <w:pPr>
        <w:spacing w:after="160" w:line="300" w:lineRule="auto"/>
        <w:jc w:val="both"/>
        <w:rPr>
          <w:lang w:val="es-CO"/>
        </w:rPr>
      </w:pPr>
      <w:r w:rsidRPr="0055567A">
        <w:rPr>
          <w:lang w:val="es-CO"/>
        </w:rPr>
        <w:t>La evaluación se realiza a dos niveles: píxel y polígono. A nivel de píxel, sean TP, FP, TN y FN los conteos de verdaderos positivos, falsos positivos, verdaderos negativos y falsos negativos sobre el conjunto de prueba, definidos respecto a la clase 1 (deforestación). Las métricas reportadas son:</w:t>
      </w:r>
    </w:p>
    <w:p w14:paraId="62E6B168" w14:textId="77777777" w:rsidR="00ED53B9" w:rsidRPr="0055567A" w:rsidRDefault="00000000">
      <w:pPr>
        <w:spacing w:before="80" w:after="160" w:line="320" w:lineRule="auto"/>
        <w:jc w:val="center"/>
        <w:rPr>
          <w:lang w:val="es-CO"/>
        </w:rPr>
      </w:pPr>
      <w:r w:rsidRPr="0055567A">
        <w:rPr>
          <w:i/>
          <w:iCs/>
          <w:lang w:val="es-CO"/>
        </w:rPr>
        <w:t>Precisión = TP / (TP + FP</w:t>
      </w:r>
      <w:proofErr w:type="gramStart"/>
      <w:r w:rsidRPr="0055567A">
        <w:rPr>
          <w:i/>
          <w:iCs/>
          <w:lang w:val="es-CO"/>
        </w:rPr>
        <w:t xml:space="preserve">),   </w:t>
      </w:r>
      <w:proofErr w:type="gramEnd"/>
      <w:r w:rsidRPr="0055567A">
        <w:rPr>
          <w:i/>
          <w:iCs/>
          <w:lang w:val="es-CO"/>
        </w:rPr>
        <w:t xml:space="preserve"> </w:t>
      </w:r>
      <w:proofErr w:type="spellStart"/>
      <w:r w:rsidRPr="0055567A">
        <w:rPr>
          <w:i/>
          <w:iCs/>
          <w:lang w:val="es-CO"/>
        </w:rPr>
        <w:t>Recall</w:t>
      </w:r>
      <w:proofErr w:type="spellEnd"/>
      <w:r w:rsidRPr="0055567A">
        <w:rPr>
          <w:i/>
          <w:iCs/>
          <w:lang w:val="es-CO"/>
        </w:rPr>
        <w:t xml:space="preserve"> = TP / (TP + FN)</w:t>
      </w:r>
    </w:p>
    <w:p w14:paraId="4730C683" w14:textId="77777777" w:rsidR="00ED53B9" w:rsidRPr="0055567A" w:rsidRDefault="00000000">
      <w:pPr>
        <w:spacing w:before="80" w:after="160" w:line="320" w:lineRule="auto"/>
        <w:jc w:val="center"/>
        <w:rPr>
          <w:lang w:val="es-CO"/>
        </w:rPr>
      </w:pPr>
      <w:r w:rsidRPr="0055567A">
        <w:rPr>
          <w:i/>
          <w:iCs/>
          <w:lang w:val="es-CO"/>
        </w:rPr>
        <w:t xml:space="preserve">F1 = 2 · (Precisión · </w:t>
      </w:r>
      <w:proofErr w:type="spellStart"/>
      <w:r w:rsidRPr="0055567A">
        <w:rPr>
          <w:i/>
          <w:iCs/>
          <w:lang w:val="es-CO"/>
        </w:rPr>
        <w:t>Recall</w:t>
      </w:r>
      <w:proofErr w:type="spellEnd"/>
      <w:r w:rsidRPr="0055567A">
        <w:rPr>
          <w:i/>
          <w:iCs/>
          <w:lang w:val="es-CO"/>
        </w:rPr>
        <w:t xml:space="preserve">) / (Precisión + </w:t>
      </w:r>
      <w:proofErr w:type="spellStart"/>
      <w:r w:rsidRPr="0055567A">
        <w:rPr>
          <w:i/>
          <w:iCs/>
          <w:lang w:val="es-CO"/>
        </w:rPr>
        <w:t>Recall</w:t>
      </w:r>
      <w:proofErr w:type="spellEnd"/>
      <w:r w:rsidRPr="0055567A">
        <w:rPr>
          <w:i/>
          <w:iCs/>
          <w:lang w:val="es-CO"/>
        </w:rPr>
        <w:t>)</w:t>
      </w:r>
    </w:p>
    <w:p w14:paraId="353C605D" w14:textId="77777777" w:rsidR="00ED53B9" w:rsidRDefault="00000000">
      <w:pPr>
        <w:spacing w:before="80" w:after="160" w:line="320" w:lineRule="auto"/>
        <w:jc w:val="center"/>
      </w:pPr>
      <w:proofErr w:type="spellStart"/>
      <w:r>
        <w:rPr>
          <w:i/>
          <w:iCs/>
        </w:rPr>
        <w:t>IoU</w:t>
      </w:r>
      <w:proofErr w:type="spellEnd"/>
      <w:r>
        <w:rPr>
          <w:i/>
          <w:iCs/>
        </w:rPr>
        <w:t xml:space="preserve"> = TP / (TP + FP + FN)</w:t>
      </w:r>
    </w:p>
    <w:p w14:paraId="6849A247" w14:textId="77777777" w:rsidR="00ED53B9" w:rsidRPr="0055567A" w:rsidRDefault="00000000">
      <w:pPr>
        <w:spacing w:after="160" w:line="300" w:lineRule="auto"/>
        <w:jc w:val="both"/>
        <w:rPr>
          <w:lang w:val="es-CO"/>
        </w:rPr>
      </w:pPr>
      <w:r w:rsidRPr="0055567A">
        <w:rPr>
          <w:lang w:val="es-CO"/>
        </w:rPr>
        <w:t>La métrica primaria de comparación es F1 sobre la clase positiva, dado que la exactitud global (</w:t>
      </w:r>
      <w:proofErr w:type="spellStart"/>
      <w:r w:rsidRPr="0055567A">
        <w:rPr>
          <w:lang w:val="es-CO"/>
        </w:rPr>
        <w:t>accuracy</w:t>
      </w:r>
      <w:proofErr w:type="spellEnd"/>
      <w:r w:rsidRPr="0055567A">
        <w:rPr>
          <w:lang w:val="es-CO"/>
        </w:rPr>
        <w:t xml:space="preserve">) es engañosa bajo desbalance severo: un clasificador trivial que prediga la clase negativa para todos los píxeles alcanza una exactitud superior al 98 % sin detectar deforestación alguna. F1 e </w:t>
      </w:r>
      <w:proofErr w:type="spellStart"/>
      <w:r w:rsidRPr="0055567A">
        <w:rPr>
          <w:lang w:val="es-CO"/>
        </w:rPr>
        <w:t>IoU</w:t>
      </w:r>
      <w:proofErr w:type="spellEnd"/>
      <w:r w:rsidRPr="0055567A">
        <w:rPr>
          <w:lang w:val="es-CO"/>
        </w:rPr>
        <w:t xml:space="preserve"> penalizan tanto la omisión (FN, deforestación no detectada) como la comisión (FP, falsas alarmas), que son los dos errores costosos para el caso de uso. Adicionalmente se reporta el área bajo la curva precisión-</w:t>
      </w:r>
      <w:proofErr w:type="spellStart"/>
      <w:r w:rsidRPr="0055567A">
        <w:rPr>
          <w:lang w:val="es-CO"/>
        </w:rPr>
        <w:t>recall</w:t>
      </w:r>
      <w:proofErr w:type="spellEnd"/>
      <w:r w:rsidRPr="0055567A">
        <w:rPr>
          <w:lang w:val="es-CO"/>
        </w:rPr>
        <w:t xml:space="preserve"> (AUC-PR), que es preferible al AUC-ROC en presencia de clases desbalanceadas.</w:t>
      </w:r>
    </w:p>
    <w:p w14:paraId="6BE37D78" w14:textId="77777777" w:rsidR="00ED53B9" w:rsidRPr="0055567A" w:rsidRDefault="00000000">
      <w:pPr>
        <w:spacing w:after="160" w:line="300" w:lineRule="auto"/>
        <w:jc w:val="both"/>
        <w:rPr>
          <w:lang w:val="es-CO"/>
        </w:rPr>
      </w:pPr>
      <w:r w:rsidRPr="0055567A">
        <w:rPr>
          <w:lang w:val="es-CO"/>
        </w:rPr>
        <w:t xml:space="preserve">A nivel de polígono, las predicciones </w:t>
      </w:r>
      <w:proofErr w:type="gramStart"/>
      <w:r w:rsidRPr="0055567A">
        <w:rPr>
          <w:lang w:val="es-CO"/>
        </w:rPr>
        <w:t>pixel</w:t>
      </w:r>
      <w:proofErr w:type="gramEnd"/>
      <w:r w:rsidRPr="0055567A">
        <w:rPr>
          <w:lang w:val="es-CO"/>
        </w:rPr>
        <w:t>-</w:t>
      </w:r>
      <w:proofErr w:type="spellStart"/>
      <w:r w:rsidRPr="0055567A">
        <w:rPr>
          <w:lang w:val="es-CO"/>
        </w:rPr>
        <w:t>wise</w:t>
      </w:r>
      <w:proofErr w:type="spellEnd"/>
      <w:r w:rsidRPr="0055567A">
        <w:rPr>
          <w:lang w:val="es-CO"/>
        </w:rPr>
        <w:t xml:space="preserve"> se agregan mediante operaciones morfológicas (cierre, apertura, filtrado por área mínima) para reconstruir parches conectados. Cada parche detectado se compara con los polígonos de Hansen GFC del año correspondiente mediante </w:t>
      </w:r>
      <w:proofErr w:type="spellStart"/>
      <w:r w:rsidRPr="0055567A">
        <w:rPr>
          <w:lang w:val="es-CO"/>
        </w:rPr>
        <w:t>IoU</w:t>
      </w:r>
      <w:proofErr w:type="spellEnd"/>
      <w:r w:rsidRPr="0055567A">
        <w:rPr>
          <w:lang w:val="es-CO"/>
        </w:rPr>
        <w:t xml:space="preserve"> por polígono con un umbral de coincidencia (típicamente </w:t>
      </w:r>
      <w:proofErr w:type="spellStart"/>
      <w:r w:rsidRPr="0055567A">
        <w:rPr>
          <w:lang w:val="es-CO"/>
        </w:rPr>
        <w:t>IoU</w:t>
      </w:r>
      <w:proofErr w:type="spellEnd"/>
      <w:r w:rsidRPr="0055567A">
        <w:rPr>
          <w:lang w:val="es-CO"/>
        </w:rPr>
        <w:t xml:space="preserve"> ≥ 0,3), de manera análoga al </w:t>
      </w:r>
      <w:r w:rsidRPr="0055567A">
        <w:rPr>
          <w:lang w:val="es-CO"/>
        </w:rPr>
        <w:lastRenderedPageBreak/>
        <w:t xml:space="preserve">protocolo de evaluación usado en detección de objetos. Esta métrica responde a la pregunta operativa: ¿el modelo identifica los mismos núcleos activos que el producto de referencia, independientemente de la coincidencia </w:t>
      </w:r>
      <w:proofErr w:type="gramStart"/>
      <w:r w:rsidRPr="0055567A">
        <w:rPr>
          <w:lang w:val="es-CO"/>
        </w:rPr>
        <w:t>pixel</w:t>
      </w:r>
      <w:proofErr w:type="gramEnd"/>
      <w:r w:rsidRPr="0055567A">
        <w:rPr>
          <w:lang w:val="es-CO"/>
        </w:rPr>
        <w:t>-</w:t>
      </w:r>
      <w:proofErr w:type="spellStart"/>
      <w:r w:rsidRPr="0055567A">
        <w:rPr>
          <w:lang w:val="es-CO"/>
        </w:rPr>
        <w:t>perfect</w:t>
      </w:r>
      <w:proofErr w:type="spellEnd"/>
      <w:r w:rsidRPr="0055567A">
        <w:rPr>
          <w:lang w:val="es-CO"/>
        </w:rPr>
        <w:t>?</w:t>
      </w:r>
    </w:p>
    <w:p w14:paraId="11515238" w14:textId="77777777" w:rsidR="00ED53B9" w:rsidRPr="0055567A" w:rsidRDefault="00000000">
      <w:pPr>
        <w:spacing w:after="160" w:line="300" w:lineRule="auto"/>
        <w:jc w:val="both"/>
        <w:rPr>
          <w:lang w:val="es-CO"/>
        </w:rPr>
      </w:pPr>
      <w:r w:rsidRPr="0055567A">
        <w:rPr>
          <w:lang w:val="es-CO"/>
        </w:rPr>
        <w:t xml:space="preserve">Para comparar modelos de manera estadísticamente fundada se aplican tres procedimientos. Primero, la prueba de McNemar sobre los aciertos pareados de cada par de modelos en el mismo conjunto de prueba, que indica si la diferencia de aciertos es significativa al 5 %. Segundo, </w:t>
      </w:r>
      <w:proofErr w:type="spellStart"/>
      <w:r w:rsidRPr="0055567A">
        <w:rPr>
          <w:lang w:val="es-CO"/>
        </w:rPr>
        <w:t>bootstrap</w:t>
      </w:r>
      <w:proofErr w:type="spellEnd"/>
      <w:r w:rsidRPr="0055567A">
        <w:rPr>
          <w:lang w:val="es-CO"/>
        </w:rPr>
        <w:t xml:space="preserve"> espacial con </w:t>
      </w:r>
      <w:proofErr w:type="spellStart"/>
      <w:r w:rsidRPr="0055567A">
        <w:rPr>
          <w:lang w:val="es-CO"/>
        </w:rPr>
        <w:t>remuestreo</w:t>
      </w:r>
      <w:proofErr w:type="spellEnd"/>
      <w:r w:rsidRPr="0055567A">
        <w:rPr>
          <w:lang w:val="es-CO"/>
        </w:rPr>
        <w:t xml:space="preserve"> por bloques: se generan B = 1.000 conjuntos de prueba </w:t>
      </w:r>
      <w:proofErr w:type="spellStart"/>
      <w:r w:rsidRPr="0055567A">
        <w:rPr>
          <w:lang w:val="es-CO"/>
        </w:rPr>
        <w:t>remuestreando</w:t>
      </w:r>
      <w:proofErr w:type="spellEnd"/>
      <w:r w:rsidRPr="0055567A">
        <w:rPr>
          <w:lang w:val="es-CO"/>
        </w:rPr>
        <w:t xml:space="preserve"> bloques espaciales con reposición y se reportan los percentiles 2,5 % y 97,5 % de F1 e </w:t>
      </w:r>
      <w:proofErr w:type="spellStart"/>
      <w:r w:rsidRPr="0055567A">
        <w:rPr>
          <w:lang w:val="es-CO"/>
        </w:rPr>
        <w:t>IoU</w:t>
      </w:r>
      <w:proofErr w:type="spellEnd"/>
      <w:r w:rsidRPr="0055567A">
        <w:rPr>
          <w:lang w:val="es-CO"/>
        </w:rPr>
        <w:t xml:space="preserve"> como intervalo de confianza, lo que evita el sesgo optimista del </w:t>
      </w:r>
      <w:proofErr w:type="spellStart"/>
      <w:r w:rsidRPr="0055567A">
        <w:rPr>
          <w:lang w:val="es-CO"/>
        </w:rPr>
        <w:t>bootstrap</w:t>
      </w:r>
      <w:proofErr w:type="spellEnd"/>
      <w:r w:rsidRPr="0055567A">
        <w:rPr>
          <w:lang w:val="es-CO"/>
        </w:rPr>
        <w:t xml:space="preserve"> píxel a píxel. Tercero, se reporta el coeficiente de concordancia de Lin (CCC; Lin, 1989) entre las hectáreas detectadas por trimestre y municipio frente a las cifras del </w:t>
      </w:r>
      <w:proofErr w:type="spellStart"/>
      <w:r w:rsidRPr="0055567A">
        <w:rPr>
          <w:lang w:val="es-CO"/>
        </w:rPr>
        <w:t>SMByC</w:t>
      </w:r>
      <w:proofErr w:type="spellEnd"/>
      <w:r w:rsidRPr="0055567A">
        <w:rPr>
          <w:lang w:val="es-CO"/>
        </w:rPr>
        <w:t>-IDEAM, como métrica de consistencia operacional con el reporte institucional.</w:t>
      </w:r>
    </w:p>
    <w:p w14:paraId="77CBD7ED" w14:textId="77777777" w:rsidR="00ED53B9" w:rsidRPr="0055567A" w:rsidRDefault="00000000">
      <w:pPr>
        <w:spacing w:after="160" w:line="300" w:lineRule="auto"/>
        <w:jc w:val="both"/>
        <w:rPr>
          <w:lang w:val="es-CO"/>
        </w:rPr>
      </w:pPr>
      <w:r w:rsidRPr="0055567A">
        <w:rPr>
          <w:lang w:val="es-CO"/>
        </w:rPr>
        <w:t xml:space="preserve">Los criterios de éxito mínimos para considerar un modelo apto para integración con el tablero son: F1 ≥ 0,70 a nivel de píxel sobre la partición espacial, </w:t>
      </w:r>
      <w:proofErr w:type="spellStart"/>
      <w:r w:rsidRPr="0055567A">
        <w:rPr>
          <w:lang w:val="es-CO"/>
        </w:rPr>
        <w:t>IoU</w:t>
      </w:r>
      <w:proofErr w:type="spellEnd"/>
      <w:r w:rsidRPr="0055567A">
        <w:rPr>
          <w:lang w:val="es-CO"/>
        </w:rPr>
        <w:t xml:space="preserve"> por polígono ≥ 0,40 con umbral de coincidencia 0,3, y tiempo de inferencia sobre una escena completa Sentinel-2 inferior a 10 minutos en una instancia EC2 t</w:t>
      </w:r>
      <w:proofErr w:type="gramStart"/>
      <w:r w:rsidRPr="0055567A">
        <w:rPr>
          <w:lang w:val="es-CO"/>
        </w:rPr>
        <w:t>3.medium</w:t>
      </w:r>
      <w:proofErr w:type="gramEnd"/>
      <w:r w:rsidRPr="0055567A">
        <w:rPr>
          <w:lang w:val="es-CO"/>
        </w:rPr>
        <w:t>.</w:t>
      </w:r>
    </w:p>
    <w:p w14:paraId="62279808" w14:textId="77777777" w:rsidR="00ED53B9" w:rsidRPr="0055567A" w:rsidRDefault="00000000">
      <w:pPr>
        <w:pStyle w:val="Ttulo2"/>
        <w:spacing w:before="280" w:after="160"/>
        <w:rPr>
          <w:lang w:val="es-CO"/>
        </w:rPr>
      </w:pPr>
      <w:r w:rsidRPr="0055567A">
        <w:rPr>
          <w:lang w:val="es-CO"/>
        </w:rPr>
        <w:t>Tratamiento de la autocorrelación espacial</w:t>
      </w:r>
    </w:p>
    <w:p w14:paraId="24004B57" w14:textId="77777777" w:rsidR="00ED53B9" w:rsidRPr="0055567A" w:rsidRDefault="00000000">
      <w:pPr>
        <w:spacing w:after="160" w:line="300" w:lineRule="auto"/>
        <w:jc w:val="both"/>
        <w:rPr>
          <w:lang w:val="es-CO"/>
        </w:rPr>
      </w:pPr>
      <w:r w:rsidRPr="0055567A">
        <w:rPr>
          <w:lang w:val="es-CO"/>
        </w:rPr>
        <w:t>Las observaciones de teledetección son espacialmente dependientes: dos píxeles vecinos comparten condiciones de iluminación, atmosféricas y de cobertura, lo que viola el supuesto de independencia entre observaciones bajo el cual están diseñados los protocolos estándar de validación cruzada. Ignorar esta dependencia produce dos problemas que se documentan a continuación junto con las estrategias adoptadas para mitigarlos.</w:t>
      </w:r>
    </w:p>
    <w:p w14:paraId="3A5719AE" w14:textId="77777777" w:rsidR="00ED53B9" w:rsidRPr="0055567A" w:rsidRDefault="00000000">
      <w:pPr>
        <w:spacing w:before="160" w:after="100"/>
        <w:rPr>
          <w:lang w:val="es-CO"/>
        </w:rPr>
      </w:pPr>
      <w:r w:rsidRPr="0055567A">
        <w:rPr>
          <w:b/>
          <w:bCs/>
          <w:lang w:val="es-CO"/>
        </w:rPr>
        <w:t>Diagnóstico de dependencia espacial</w:t>
      </w:r>
    </w:p>
    <w:p w14:paraId="3A80F038" w14:textId="77777777" w:rsidR="00ED53B9" w:rsidRPr="0055567A" w:rsidRDefault="00000000">
      <w:pPr>
        <w:spacing w:after="160" w:line="300" w:lineRule="auto"/>
        <w:jc w:val="both"/>
        <w:rPr>
          <w:lang w:val="es-CO"/>
        </w:rPr>
      </w:pPr>
      <w:r w:rsidRPr="0055567A">
        <w:rPr>
          <w:lang w:val="es-CO"/>
        </w:rPr>
        <w:t>El grado de autocorrelación se cuantifica mediante el índice I de Moran (Moran, 1950), definido como:</w:t>
      </w:r>
    </w:p>
    <w:p w14:paraId="7F8C5D2C" w14:textId="77777777" w:rsidR="00ED53B9" w:rsidRPr="0055567A" w:rsidRDefault="00000000">
      <w:pPr>
        <w:spacing w:before="80" w:after="160" w:line="320" w:lineRule="auto"/>
        <w:jc w:val="center"/>
        <w:rPr>
          <w:lang w:val="es-CO"/>
        </w:rPr>
      </w:pPr>
      <w:r w:rsidRPr="0055567A">
        <w:rPr>
          <w:i/>
          <w:iCs/>
          <w:lang w:val="es-CO"/>
        </w:rPr>
        <w:t xml:space="preserve">I = (n / W) · </w:t>
      </w:r>
      <w:proofErr w:type="gramStart"/>
      <w:r w:rsidRPr="0055567A">
        <w:rPr>
          <w:i/>
          <w:iCs/>
          <w:lang w:val="es-CO"/>
        </w:rPr>
        <w:t xml:space="preserve">( </w:t>
      </w:r>
      <w:r>
        <w:rPr>
          <w:i/>
          <w:iCs/>
        </w:rPr>
        <w:t>Σ</w:t>
      </w:r>
      <w:proofErr w:type="gramEnd"/>
      <w:r>
        <w:rPr>
          <w:i/>
          <w:iCs/>
        </w:rPr>
        <w:t>ᵢ</w:t>
      </w:r>
      <w:r w:rsidRPr="0055567A">
        <w:rPr>
          <w:i/>
          <w:iCs/>
          <w:lang w:val="es-CO"/>
        </w:rPr>
        <w:t xml:space="preserve"> </w:t>
      </w:r>
      <w:r>
        <w:rPr>
          <w:i/>
          <w:iCs/>
        </w:rPr>
        <w:t>Σⱼ</w:t>
      </w:r>
      <w:r w:rsidRPr="0055567A">
        <w:rPr>
          <w:i/>
          <w:iCs/>
          <w:lang w:val="es-CO"/>
        </w:rPr>
        <w:t xml:space="preserve"> w</w:t>
      </w:r>
      <w:r>
        <w:rPr>
          <w:i/>
          <w:iCs/>
        </w:rPr>
        <w:t>ᵢⱼ</w:t>
      </w:r>
      <w:r w:rsidRPr="0055567A">
        <w:rPr>
          <w:i/>
          <w:iCs/>
          <w:lang w:val="es-CO"/>
        </w:rPr>
        <w:t xml:space="preserve"> (z</w:t>
      </w:r>
      <w:r>
        <w:rPr>
          <w:i/>
          <w:iCs/>
        </w:rPr>
        <w:t>ᵢ</w:t>
      </w:r>
      <w:r w:rsidRPr="0055567A">
        <w:rPr>
          <w:i/>
          <w:iCs/>
          <w:lang w:val="es-CO"/>
        </w:rPr>
        <w:t xml:space="preserve"> - </w:t>
      </w:r>
      <w:proofErr w:type="gramStart"/>
      <w:r w:rsidRPr="0055567A">
        <w:rPr>
          <w:i/>
          <w:iCs/>
          <w:lang w:val="es-CO"/>
        </w:rPr>
        <w:t>z̄)(</w:t>
      </w:r>
      <w:proofErr w:type="gramEnd"/>
      <w:r w:rsidRPr="0055567A">
        <w:rPr>
          <w:i/>
          <w:iCs/>
          <w:lang w:val="es-CO"/>
        </w:rPr>
        <w:t>z</w:t>
      </w:r>
      <w:r>
        <w:rPr>
          <w:i/>
          <w:iCs/>
        </w:rPr>
        <w:t>ⱼ</w:t>
      </w:r>
      <w:r w:rsidRPr="0055567A">
        <w:rPr>
          <w:i/>
          <w:iCs/>
          <w:lang w:val="es-CO"/>
        </w:rPr>
        <w:t xml:space="preserve"> - z̄</w:t>
      </w:r>
      <w:proofErr w:type="gramStart"/>
      <w:r w:rsidRPr="0055567A">
        <w:rPr>
          <w:i/>
          <w:iCs/>
          <w:lang w:val="es-CO"/>
        </w:rPr>
        <w:t>) )</w:t>
      </w:r>
      <w:proofErr w:type="gramEnd"/>
      <w:r w:rsidRPr="0055567A">
        <w:rPr>
          <w:i/>
          <w:iCs/>
          <w:lang w:val="es-CO"/>
        </w:rPr>
        <w:t xml:space="preserve"> / </w:t>
      </w:r>
      <w:proofErr w:type="gramStart"/>
      <w:r w:rsidRPr="0055567A">
        <w:rPr>
          <w:i/>
          <w:iCs/>
          <w:lang w:val="es-CO"/>
        </w:rPr>
        <w:t xml:space="preserve">( </w:t>
      </w:r>
      <w:r>
        <w:rPr>
          <w:i/>
          <w:iCs/>
        </w:rPr>
        <w:t>Σ</w:t>
      </w:r>
      <w:proofErr w:type="gramEnd"/>
      <w:r>
        <w:rPr>
          <w:i/>
          <w:iCs/>
        </w:rPr>
        <w:t>ᵢ</w:t>
      </w:r>
      <w:r w:rsidRPr="0055567A">
        <w:rPr>
          <w:i/>
          <w:iCs/>
          <w:lang w:val="es-CO"/>
        </w:rPr>
        <w:t xml:space="preserve"> (z</w:t>
      </w:r>
      <w:r>
        <w:rPr>
          <w:i/>
          <w:iCs/>
        </w:rPr>
        <w:t>ᵢ</w:t>
      </w:r>
      <w:r w:rsidRPr="0055567A">
        <w:rPr>
          <w:i/>
          <w:iCs/>
          <w:lang w:val="es-CO"/>
        </w:rPr>
        <w:t xml:space="preserve"> - </w:t>
      </w:r>
      <w:proofErr w:type="gramStart"/>
      <w:r w:rsidRPr="0055567A">
        <w:rPr>
          <w:i/>
          <w:iCs/>
          <w:lang w:val="es-CO"/>
        </w:rPr>
        <w:t>z̄)²</w:t>
      </w:r>
      <w:proofErr w:type="gramEnd"/>
      <w:r w:rsidRPr="0055567A">
        <w:rPr>
          <w:i/>
          <w:iCs/>
          <w:lang w:val="es-CO"/>
        </w:rPr>
        <w:t xml:space="preserve"> )</w:t>
      </w:r>
    </w:p>
    <w:p w14:paraId="46DF501A" w14:textId="77777777" w:rsidR="00ED53B9" w:rsidRDefault="00000000">
      <w:pPr>
        <w:spacing w:after="160" w:line="300" w:lineRule="auto"/>
        <w:jc w:val="both"/>
        <w:rPr>
          <w:lang w:val="es-CO"/>
        </w:rPr>
      </w:pPr>
      <w:r w:rsidRPr="0055567A">
        <w:rPr>
          <w:lang w:val="es-CO"/>
        </w:rPr>
        <w:t xml:space="preserve">donde </w:t>
      </w:r>
      <w:r w:rsidRPr="0055567A">
        <w:rPr>
          <w:i/>
          <w:iCs/>
          <w:lang w:val="es-CO"/>
        </w:rPr>
        <w:t>z</w:t>
      </w:r>
      <w:r>
        <w:t>ᵢ</w:t>
      </w:r>
      <w:r w:rsidRPr="0055567A">
        <w:rPr>
          <w:lang w:val="es-CO"/>
        </w:rPr>
        <w:t xml:space="preserve"> es el valor de la variable en el píxel </w:t>
      </w:r>
      <w:r w:rsidRPr="0055567A">
        <w:rPr>
          <w:i/>
          <w:iCs/>
          <w:lang w:val="es-CO"/>
        </w:rPr>
        <w:t>i</w:t>
      </w:r>
      <w:r w:rsidRPr="0055567A">
        <w:rPr>
          <w:lang w:val="es-CO"/>
        </w:rPr>
        <w:t xml:space="preserve">, </w:t>
      </w:r>
      <w:r w:rsidRPr="0055567A">
        <w:rPr>
          <w:i/>
          <w:iCs/>
          <w:lang w:val="es-CO"/>
        </w:rPr>
        <w:t>w</w:t>
      </w:r>
      <w:r>
        <w:t>ᵢⱼ</w:t>
      </w:r>
      <w:r w:rsidRPr="0055567A">
        <w:rPr>
          <w:lang w:val="es-CO"/>
        </w:rPr>
        <w:t xml:space="preserve"> es la matriz de pesos espaciales (con vecindad de 8 píxeles por defecto), </w:t>
      </w:r>
      <w:r w:rsidRPr="0055567A">
        <w:rPr>
          <w:i/>
          <w:iCs/>
          <w:lang w:val="es-CO"/>
        </w:rPr>
        <w:t>n</w:t>
      </w:r>
      <w:r w:rsidRPr="0055567A">
        <w:rPr>
          <w:lang w:val="es-CO"/>
        </w:rPr>
        <w:t xml:space="preserve"> el número de píxeles, y </w:t>
      </w:r>
      <w:r w:rsidRPr="0055567A">
        <w:rPr>
          <w:i/>
          <w:iCs/>
          <w:lang w:val="es-CO"/>
        </w:rPr>
        <w:t>W</w:t>
      </w:r>
      <w:r w:rsidRPr="0055567A">
        <w:rPr>
          <w:lang w:val="es-CO"/>
        </w:rPr>
        <w:t xml:space="preserve"> = </w:t>
      </w:r>
      <w:r>
        <w:t>Σᵢ</w:t>
      </w:r>
      <w:r w:rsidRPr="0055567A">
        <w:rPr>
          <w:lang w:val="es-CO"/>
        </w:rPr>
        <w:t xml:space="preserve"> </w:t>
      </w:r>
      <w:r>
        <w:t>Σⱼ</w:t>
      </w:r>
      <w:r w:rsidRPr="0055567A">
        <w:rPr>
          <w:lang w:val="es-CO"/>
        </w:rPr>
        <w:t xml:space="preserve"> w</w:t>
      </w:r>
      <w:r>
        <w:t>ᵢⱼ</w:t>
      </w:r>
      <w:r w:rsidRPr="0055567A">
        <w:rPr>
          <w:lang w:val="es-CO"/>
        </w:rPr>
        <w:t xml:space="preserve">. Valores de </w:t>
      </w:r>
      <w:r w:rsidRPr="0055567A">
        <w:rPr>
          <w:i/>
          <w:iCs/>
          <w:lang w:val="es-CO"/>
        </w:rPr>
        <w:t>I</w:t>
      </w:r>
      <w:r w:rsidRPr="0055567A">
        <w:rPr>
          <w:lang w:val="es-CO"/>
        </w:rPr>
        <w:t xml:space="preserve"> cercanos a 1 indican autocorrelación positiva fuerte; valores cercanos a 0, ausencia de patrón espacial. Se calcula sobre las bandas espectrales de entrada, los índices derivados (NDVI, NBR), las etiquetas de Hansen GFC y los residuos del </w:t>
      </w:r>
      <w:proofErr w:type="spellStart"/>
      <w:r w:rsidRPr="0055567A">
        <w:rPr>
          <w:lang w:val="es-CO"/>
        </w:rPr>
        <w:t>baseline</w:t>
      </w:r>
      <w:proofErr w:type="spellEnd"/>
      <w:r w:rsidRPr="0055567A">
        <w:rPr>
          <w:lang w:val="es-CO"/>
        </w:rPr>
        <w:t xml:space="preserve">. Complementariamente se ajusta un </w:t>
      </w:r>
      <w:proofErr w:type="spellStart"/>
      <w:r w:rsidRPr="0055567A">
        <w:rPr>
          <w:lang w:val="es-CO"/>
        </w:rPr>
        <w:t>semivariograma</w:t>
      </w:r>
      <w:proofErr w:type="spellEnd"/>
      <w:r w:rsidRPr="0055567A">
        <w:rPr>
          <w:lang w:val="es-CO"/>
        </w:rPr>
        <w:t xml:space="preserve"> empírico sobre muestras del área de interés para estimar el rango espacial, definido como la distancia a la cual la dependencia se vuelve despreciable. Este rango orienta el tamaño del bloque espacial de validación.</w:t>
      </w:r>
    </w:p>
    <w:p w14:paraId="501C5B7D" w14:textId="77777777" w:rsidR="0055567A" w:rsidRDefault="0055567A">
      <w:pPr>
        <w:spacing w:after="160" w:line="300" w:lineRule="auto"/>
        <w:jc w:val="both"/>
        <w:rPr>
          <w:lang w:val="es-CO"/>
        </w:rPr>
      </w:pPr>
    </w:p>
    <w:p w14:paraId="601D1D0D" w14:textId="77777777" w:rsidR="0055567A" w:rsidRPr="0055567A" w:rsidRDefault="0055567A">
      <w:pPr>
        <w:spacing w:after="160" w:line="300" w:lineRule="auto"/>
        <w:jc w:val="both"/>
        <w:rPr>
          <w:lang w:val="es-CO"/>
        </w:rPr>
      </w:pPr>
    </w:p>
    <w:p w14:paraId="0010DDAD" w14:textId="77777777" w:rsidR="00ED53B9" w:rsidRPr="0055567A" w:rsidRDefault="00000000">
      <w:pPr>
        <w:spacing w:before="160" w:after="100"/>
        <w:rPr>
          <w:lang w:val="es-CO"/>
        </w:rPr>
      </w:pPr>
      <w:r w:rsidRPr="0055567A">
        <w:rPr>
          <w:b/>
          <w:bCs/>
          <w:lang w:val="es-CO"/>
        </w:rPr>
        <w:lastRenderedPageBreak/>
        <w:t>Partición espacial por bloques para validación</w:t>
      </w:r>
    </w:p>
    <w:p w14:paraId="2214DC5D" w14:textId="77777777" w:rsidR="00ED53B9" w:rsidRPr="0055567A" w:rsidRDefault="00000000">
      <w:pPr>
        <w:spacing w:after="160" w:line="300" w:lineRule="auto"/>
        <w:jc w:val="both"/>
        <w:rPr>
          <w:lang w:val="es-CO"/>
        </w:rPr>
      </w:pPr>
      <w:r w:rsidRPr="0055567A">
        <w:rPr>
          <w:lang w:val="es-CO"/>
        </w:rPr>
        <w:t xml:space="preserve">La partición aleatoria de píxeles entre entrenamiento, validación y prueba produce sobreestimación del desempeño porque píxeles vecinos —y por tanto altamente correlacionados— quedan distribuidos entre los conjuntos (Roberts et al., 2017; </w:t>
      </w:r>
      <w:proofErr w:type="spellStart"/>
      <w:r w:rsidRPr="0055567A">
        <w:rPr>
          <w:lang w:val="es-CO"/>
        </w:rPr>
        <w:t>Ploton</w:t>
      </w:r>
      <w:proofErr w:type="spellEnd"/>
      <w:r w:rsidRPr="0055567A">
        <w:rPr>
          <w:lang w:val="es-CO"/>
        </w:rPr>
        <w:t xml:space="preserve"> et al., 2020; </w:t>
      </w:r>
      <w:proofErr w:type="spellStart"/>
      <w:r w:rsidRPr="0055567A">
        <w:rPr>
          <w:lang w:val="es-CO"/>
        </w:rPr>
        <w:t>Karasiak</w:t>
      </w:r>
      <w:proofErr w:type="spellEnd"/>
      <w:r w:rsidRPr="0055567A">
        <w:rPr>
          <w:lang w:val="es-CO"/>
        </w:rPr>
        <w:t xml:space="preserve"> et al., 2022). El equipo adopta una partición espacial por bloques: el área de interés se divide en una grilla de bloques de tamaño igual o superior al rango del </w:t>
      </w:r>
      <w:proofErr w:type="spellStart"/>
      <w:r w:rsidRPr="0055567A">
        <w:rPr>
          <w:lang w:val="es-CO"/>
        </w:rPr>
        <w:t>semivariograma</w:t>
      </w:r>
      <w:proofErr w:type="spellEnd"/>
      <w:r w:rsidRPr="0055567A">
        <w:rPr>
          <w:lang w:val="es-CO"/>
        </w:rPr>
        <w:t xml:space="preserve"> (con bloques de partida de 5 × 5 km), y los bloques se asignan completos a entrenamiento, validación o prueba en proporciones 70-15-15. Esta práctica reduce la fuga de información y produce estimaciones de error que reflejan el desempeño esperado al aplicar el modelo a zonas no observadas durante el entrenamiento. La implementación se realiza con la librería </w:t>
      </w:r>
      <w:proofErr w:type="spellStart"/>
      <w:r w:rsidRPr="0055567A">
        <w:rPr>
          <w:lang w:val="es-CO"/>
        </w:rPr>
        <w:t>scikit-learn</w:t>
      </w:r>
      <w:proofErr w:type="spellEnd"/>
      <w:r w:rsidRPr="0055567A">
        <w:rPr>
          <w:lang w:val="es-CO"/>
        </w:rPr>
        <w:t xml:space="preserve"> combinada con </w:t>
      </w:r>
      <w:proofErr w:type="spellStart"/>
      <w:r w:rsidRPr="0055567A">
        <w:rPr>
          <w:lang w:val="es-CO"/>
        </w:rPr>
        <w:t>verstack</w:t>
      </w:r>
      <w:proofErr w:type="spellEnd"/>
      <w:r w:rsidRPr="0055567A">
        <w:rPr>
          <w:lang w:val="es-CO"/>
        </w:rPr>
        <w:t xml:space="preserve"> o </w:t>
      </w:r>
      <w:proofErr w:type="spellStart"/>
      <w:r w:rsidRPr="0055567A">
        <w:rPr>
          <w:lang w:val="es-CO"/>
        </w:rPr>
        <w:t>spacv</w:t>
      </w:r>
      <w:proofErr w:type="spellEnd"/>
      <w:r w:rsidRPr="0055567A">
        <w:rPr>
          <w:lang w:val="es-CO"/>
        </w:rPr>
        <w:t xml:space="preserve">, que ofrecen </w:t>
      </w:r>
      <w:proofErr w:type="spellStart"/>
      <w:r w:rsidRPr="0055567A">
        <w:rPr>
          <w:i/>
          <w:iCs/>
          <w:lang w:val="es-CO"/>
        </w:rPr>
        <w:t>BlockKFold</w:t>
      </w:r>
      <w:proofErr w:type="spellEnd"/>
      <w:r w:rsidRPr="0055567A">
        <w:rPr>
          <w:lang w:val="es-CO"/>
        </w:rPr>
        <w:t xml:space="preserve"> y validación espacial </w:t>
      </w:r>
      <w:proofErr w:type="spellStart"/>
      <w:r w:rsidRPr="0055567A">
        <w:rPr>
          <w:lang w:val="es-CO"/>
        </w:rPr>
        <w:t>leave</w:t>
      </w:r>
      <w:proofErr w:type="spellEnd"/>
      <w:r w:rsidRPr="0055567A">
        <w:rPr>
          <w:lang w:val="es-CO"/>
        </w:rPr>
        <w:t>-</w:t>
      </w:r>
      <w:proofErr w:type="spellStart"/>
      <w:r w:rsidRPr="0055567A">
        <w:rPr>
          <w:lang w:val="es-CO"/>
        </w:rPr>
        <w:t>one</w:t>
      </w:r>
      <w:proofErr w:type="spellEnd"/>
      <w:r w:rsidRPr="0055567A">
        <w:rPr>
          <w:lang w:val="es-CO"/>
        </w:rPr>
        <w:t>-block-</w:t>
      </w:r>
      <w:proofErr w:type="spellStart"/>
      <w:r w:rsidRPr="0055567A">
        <w:rPr>
          <w:lang w:val="es-CO"/>
        </w:rPr>
        <w:t>out</w:t>
      </w:r>
      <w:proofErr w:type="spellEnd"/>
      <w:r w:rsidRPr="0055567A">
        <w:rPr>
          <w:lang w:val="es-CO"/>
        </w:rPr>
        <w:t>.</w:t>
      </w:r>
    </w:p>
    <w:p w14:paraId="15569D34" w14:textId="77777777" w:rsidR="00ED53B9" w:rsidRPr="0055567A" w:rsidRDefault="00000000">
      <w:pPr>
        <w:spacing w:before="160" w:after="100"/>
        <w:rPr>
          <w:lang w:val="es-CO"/>
        </w:rPr>
      </w:pPr>
      <w:r w:rsidRPr="0055567A">
        <w:rPr>
          <w:b/>
          <w:bCs/>
          <w:lang w:val="es-CO"/>
        </w:rPr>
        <w:t>Aprovechamiento de la dependencia espacial en la predicción</w:t>
      </w:r>
    </w:p>
    <w:p w14:paraId="36D98498" w14:textId="77777777" w:rsidR="00ED53B9" w:rsidRPr="0055567A" w:rsidRDefault="00000000">
      <w:pPr>
        <w:spacing w:after="160" w:line="300" w:lineRule="auto"/>
        <w:jc w:val="both"/>
        <w:rPr>
          <w:lang w:val="es-CO"/>
        </w:rPr>
      </w:pPr>
      <w:r w:rsidRPr="0055567A">
        <w:rPr>
          <w:lang w:val="es-CO"/>
        </w:rPr>
        <w:t xml:space="preserve">La autocorrelación espacial, además de ser una fuente de sesgo a controlar, es una fuente de información útil para predecir en sitios sin muestras. El proyecto incorpora tres mecanismos para aprovecharla. Primero, los modelos </w:t>
      </w:r>
      <w:proofErr w:type="spellStart"/>
      <w:r w:rsidRPr="0055567A">
        <w:rPr>
          <w:lang w:val="es-CO"/>
        </w:rPr>
        <w:t>baseline</w:t>
      </w:r>
      <w:proofErr w:type="spellEnd"/>
      <w:r w:rsidRPr="0055567A">
        <w:rPr>
          <w:lang w:val="es-CO"/>
        </w:rPr>
        <w:t xml:space="preserve"> (Random Forest, </w:t>
      </w:r>
      <w:proofErr w:type="spellStart"/>
      <w:r w:rsidRPr="0055567A">
        <w:rPr>
          <w:lang w:val="es-CO"/>
        </w:rPr>
        <w:t>XGBoost</w:t>
      </w:r>
      <w:proofErr w:type="spellEnd"/>
      <w:r w:rsidRPr="0055567A">
        <w:rPr>
          <w:lang w:val="es-CO"/>
        </w:rPr>
        <w:t xml:space="preserve">) reciben atributos contextuales calculados sobre ventanas de 3 × 3 y 5 × 5 píxeles: medias, desviaciones estándar y métricas de textura GLCM (contraste, homogeneidad, entropía) sobre las bandas y los índices. Segundo, la arquitectura U-Net captura contexto espacial nativo a través de su campo receptivo creciente, lo que la habilita para aprender patrones de borde y configuración típicos de la deforestación amazónica (bordes geométricos en forma de espina de pescado, parches contiguos a vías). Tercero, sobre las predicciones del </w:t>
      </w:r>
      <w:proofErr w:type="spellStart"/>
      <w:r w:rsidRPr="0055567A">
        <w:rPr>
          <w:lang w:val="es-CO"/>
        </w:rPr>
        <w:t>baseline</w:t>
      </w:r>
      <w:proofErr w:type="spellEnd"/>
      <w:r w:rsidRPr="0055567A">
        <w:rPr>
          <w:lang w:val="es-CO"/>
        </w:rPr>
        <w:t xml:space="preserve"> se ensaya un suavizado por </w:t>
      </w:r>
      <w:proofErr w:type="spellStart"/>
      <w:r w:rsidRPr="0055567A">
        <w:rPr>
          <w:lang w:val="es-CO"/>
        </w:rPr>
        <w:t>kriging</w:t>
      </w:r>
      <w:proofErr w:type="spellEnd"/>
      <w:r w:rsidRPr="0055567A">
        <w:rPr>
          <w:lang w:val="es-CO"/>
        </w:rPr>
        <w:t xml:space="preserve"> de los residuos (</w:t>
      </w:r>
      <w:proofErr w:type="spellStart"/>
      <w:r w:rsidRPr="0055567A">
        <w:rPr>
          <w:lang w:val="es-CO"/>
        </w:rPr>
        <w:t>regression-kriging</w:t>
      </w:r>
      <w:proofErr w:type="spellEnd"/>
      <w:r w:rsidRPr="0055567A">
        <w:rPr>
          <w:lang w:val="es-CO"/>
        </w:rPr>
        <w:t xml:space="preserve">): el modelo de aprendizaje automático captura la tendencia con base en las covariables, y un modelo geoestadístico ajustado sobre los residuos transfiere información a píxeles sin muestra de entrenamiento mediante interpolación basada en la estructura del </w:t>
      </w:r>
      <w:proofErr w:type="spellStart"/>
      <w:r w:rsidRPr="0055567A">
        <w:rPr>
          <w:lang w:val="es-CO"/>
        </w:rPr>
        <w:t>semivariograma</w:t>
      </w:r>
      <w:proofErr w:type="spellEnd"/>
      <w:r w:rsidRPr="0055567A">
        <w:rPr>
          <w:lang w:val="es-CO"/>
        </w:rPr>
        <w:t>. Esta combinación de un modelo de aprendizaje automático con un componente geoestadístico ha sido documentada en aplicaciones de cartografía de variables ambientales y se evalúa como ensamble complementario en este proyecto.</w:t>
      </w:r>
    </w:p>
    <w:p w14:paraId="51C0979B" w14:textId="77777777" w:rsidR="00ED53B9" w:rsidRPr="0055567A" w:rsidRDefault="00000000">
      <w:pPr>
        <w:spacing w:before="160" w:after="100"/>
        <w:rPr>
          <w:lang w:val="es-CO"/>
        </w:rPr>
      </w:pPr>
      <w:r w:rsidRPr="0055567A">
        <w:rPr>
          <w:b/>
          <w:bCs/>
          <w:lang w:val="es-CO"/>
        </w:rPr>
        <w:t>Reporte de desempeño bajo dependencia espacial</w:t>
      </w:r>
    </w:p>
    <w:p w14:paraId="6484EDB9" w14:textId="77777777" w:rsidR="00ED53B9" w:rsidRDefault="00000000">
      <w:pPr>
        <w:spacing w:after="160" w:line="300" w:lineRule="auto"/>
        <w:jc w:val="both"/>
        <w:rPr>
          <w:lang w:val="es-CO"/>
        </w:rPr>
      </w:pPr>
      <w:r w:rsidRPr="0055567A">
        <w:rPr>
          <w:lang w:val="es-CO"/>
        </w:rPr>
        <w:t>Todas las métricas de la sección anterior se reportan bajo dos esquemas en paralelo: validación cruzada aleatoria a nivel de píxel (como referencia comparable con la literatura previa que no controla por dependencia) y validación cruzada espacial por bloques (como estimación honesta del desempeño esperado en zonas no observadas). La diferencia entre ambas estimaciones cuantifica el grado de optimismo introducido por la dependencia espacial y es, por sí misma, un resultado del proyecto.</w:t>
      </w:r>
    </w:p>
    <w:p w14:paraId="3A9F0085" w14:textId="77777777" w:rsidR="0055567A" w:rsidRDefault="0055567A">
      <w:pPr>
        <w:spacing w:after="160" w:line="300" w:lineRule="auto"/>
        <w:jc w:val="both"/>
        <w:rPr>
          <w:lang w:val="es-CO"/>
        </w:rPr>
      </w:pPr>
    </w:p>
    <w:p w14:paraId="3B4F118D" w14:textId="77777777" w:rsidR="0055567A" w:rsidRPr="0055567A" w:rsidRDefault="0055567A">
      <w:pPr>
        <w:spacing w:after="160" w:line="300" w:lineRule="auto"/>
        <w:jc w:val="both"/>
        <w:rPr>
          <w:lang w:val="es-CO"/>
        </w:rPr>
      </w:pPr>
    </w:p>
    <w:p w14:paraId="5AA0B8EF" w14:textId="77777777" w:rsidR="00ED53B9" w:rsidRDefault="00000000">
      <w:pPr>
        <w:pStyle w:val="Ttulo2"/>
        <w:spacing w:before="280" w:after="160"/>
      </w:pPr>
      <w:r>
        <w:lastRenderedPageBreak/>
        <w:t xml:space="preserve">Lista de </w:t>
      </w:r>
      <w:proofErr w:type="spellStart"/>
      <w:r>
        <w:t>actividades</w:t>
      </w:r>
      <w:proofErr w:type="spellEnd"/>
    </w:p>
    <w:p w14:paraId="62E383C9" w14:textId="77777777" w:rsidR="00ED53B9" w:rsidRPr="0055567A" w:rsidRDefault="00000000">
      <w:pPr>
        <w:pStyle w:val="Prrafodelista"/>
        <w:numPr>
          <w:ilvl w:val="0"/>
          <w:numId w:val="2"/>
        </w:numPr>
        <w:spacing w:after="100" w:line="280" w:lineRule="auto"/>
        <w:jc w:val="both"/>
        <w:rPr>
          <w:lang w:val="es-CO"/>
        </w:rPr>
      </w:pPr>
      <w:r w:rsidRPr="0055567A">
        <w:rPr>
          <w:lang w:val="es-CO"/>
        </w:rPr>
        <w:t>Revisión de literatura y definición formal del problema y el área de interés.</w:t>
      </w:r>
    </w:p>
    <w:p w14:paraId="4D43A37D" w14:textId="77777777" w:rsidR="00ED53B9" w:rsidRPr="0055567A" w:rsidRDefault="00000000">
      <w:pPr>
        <w:pStyle w:val="Prrafodelista"/>
        <w:numPr>
          <w:ilvl w:val="0"/>
          <w:numId w:val="2"/>
        </w:numPr>
        <w:spacing w:after="100" w:line="280" w:lineRule="auto"/>
        <w:jc w:val="both"/>
        <w:rPr>
          <w:lang w:val="es-CO"/>
        </w:rPr>
      </w:pPr>
      <w:r w:rsidRPr="0055567A">
        <w:rPr>
          <w:lang w:val="es-CO"/>
        </w:rPr>
        <w:t>Configuración del entorno AWS y del repositorio de código.</w:t>
      </w:r>
    </w:p>
    <w:p w14:paraId="36E3DAB6" w14:textId="77777777" w:rsidR="00ED53B9" w:rsidRPr="0055567A" w:rsidRDefault="00000000">
      <w:pPr>
        <w:pStyle w:val="Prrafodelista"/>
        <w:numPr>
          <w:ilvl w:val="0"/>
          <w:numId w:val="2"/>
        </w:numPr>
        <w:spacing w:after="100" w:line="280" w:lineRule="auto"/>
        <w:jc w:val="both"/>
        <w:rPr>
          <w:lang w:val="es-CO"/>
        </w:rPr>
      </w:pPr>
      <w:r w:rsidRPr="0055567A">
        <w:rPr>
          <w:lang w:val="es-CO"/>
        </w:rPr>
        <w:t>Ingestión de Sentinel-2 vía STAC Earth-Search y almacenamiento de referencias en S3.</w:t>
      </w:r>
    </w:p>
    <w:p w14:paraId="5E4A4BF6" w14:textId="77777777" w:rsidR="00ED53B9" w:rsidRPr="0055567A" w:rsidRDefault="00000000">
      <w:pPr>
        <w:pStyle w:val="Prrafodelista"/>
        <w:numPr>
          <w:ilvl w:val="0"/>
          <w:numId w:val="2"/>
        </w:numPr>
        <w:spacing w:after="100" w:line="280" w:lineRule="auto"/>
        <w:jc w:val="both"/>
        <w:rPr>
          <w:lang w:val="es-CO"/>
        </w:rPr>
      </w:pPr>
      <w:r w:rsidRPr="0055567A">
        <w:rPr>
          <w:lang w:val="es-CO"/>
        </w:rPr>
        <w:t>Descarga y preparación de etiquetas Hansen Global Forest Change y capas contextuales.</w:t>
      </w:r>
    </w:p>
    <w:p w14:paraId="63510005"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Análisis Exploratorio de Datos sobre composiciones temporales, incluyendo cálculo de I de Moran y </w:t>
      </w:r>
      <w:proofErr w:type="spellStart"/>
      <w:r w:rsidRPr="0055567A">
        <w:rPr>
          <w:lang w:val="es-CO"/>
        </w:rPr>
        <w:t>semivariograma</w:t>
      </w:r>
      <w:proofErr w:type="spellEnd"/>
      <w:r w:rsidRPr="0055567A">
        <w:rPr>
          <w:lang w:val="es-CO"/>
        </w:rPr>
        <w:t>.</w:t>
      </w:r>
    </w:p>
    <w:p w14:paraId="357AAFFC"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Construcción de composiciones trimestrales, cálculo de índices y atributos contextuales, generación del </w:t>
      </w:r>
      <w:proofErr w:type="spellStart"/>
      <w:r w:rsidRPr="0055567A">
        <w:rPr>
          <w:lang w:val="es-CO"/>
        </w:rPr>
        <w:t>dataset</w:t>
      </w:r>
      <w:proofErr w:type="spellEnd"/>
      <w:r w:rsidRPr="0055567A">
        <w:rPr>
          <w:lang w:val="es-CO"/>
        </w:rPr>
        <w:t xml:space="preserve"> de entrenamiento y partición espacial por bloques.</w:t>
      </w:r>
    </w:p>
    <w:p w14:paraId="3EBE2D2A"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Entrenamiento de modelos </w:t>
      </w:r>
      <w:proofErr w:type="spellStart"/>
      <w:r w:rsidRPr="0055567A">
        <w:rPr>
          <w:lang w:val="es-CO"/>
        </w:rPr>
        <w:t>baseline</w:t>
      </w:r>
      <w:proofErr w:type="spellEnd"/>
      <w:r w:rsidRPr="0055567A">
        <w:rPr>
          <w:lang w:val="es-CO"/>
        </w:rPr>
        <w:t xml:space="preserve"> (Random Forest, </w:t>
      </w:r>
      <w:proofErr w:type="spellStart"/>
      <w:r w:rsidRPr="0055567A">
        <w:rPr>
          <w:lang w:val="es-CO"/>
        </w:rPr>
        <w:t>XGBoost</w:t>
      </w:r>
      <w:proofErr w:type="spellEnd"/>
      <w:r w:rsidRPr="0055567A">
        <w:rPr>
          <w:lang w:val="es-CO"/>
        </w:rPr>
        <w:t>) y registro de experimentos.</w:t>
      </w:r>
    </w:p>
    <w:p w14:paraId="20D77D33" w14:textId="77777777" w:rsidR="00ED53B9" w:rsidRPr="0055567A" w:rsidRDefault="00000000">
      <w:pPr>
        <w:pStyle w:val="Prrafodelista"/>
        <w:numPr>
          <w:ilvl w:val="0"/>
          <w:numId w:val="2"/>
        </w:numPr>
        <w:spacing w:after="100" w:line="280" w:lineRule="auto"/>
        <w:jc w:val="both"/>
        <w:rPr>
          <w:lang w:val="es-CO"/>
        </w:rPr>
      </w:pPr>
      <w:r w:rsidRPr="0055567A">
        <w:rPr>
          <w:lang w:val="es-CO"/>
        </w:rPr>
        <w:t>Fine-</w:t>
      </w:r>
      <w:proofErr w:type="spellStart"/>
      <w:r w:rsidRPr="0055567A">
        <w:rPr>
          <w:lang w:val="es-CO"/>
        </w:rPr>
        <w:t>tuning</w:t>
      </w:r>
      <w:proofErr w:type="spellEnd"/>
      <w:r w:rsidRPr="0055567A">
        <w:rPr>
          <w:lang w:val="es-CO"/>
        </w:rPr>
        <w:t xml:space="preserve"> de U-Net con </w:t>
      </w:r>
      <w:proofErr w:type="spellStart"/>
      <w:r w:rsidRPr="0055567A">
        <w:rPr>
          <w:lang w:val="es-CO"/>
        </w:rPr>
        <w:t>encoder</w:t>
      </w:r>
      <w:proofErr w:type="spellEnd"/>
      <w:r w:rsidRPr="0055567A">
        <w:rPr>
          <w:lang w:val="es-CO"/>
        </w:rPr>
        <w:t xml:space="preserve"> </w:t>
      </w:r>
      <w:proofErr w:type="spellStart"/>
      <w:r w:rsidRPr="0055567A">
        <w:rPr>
          <w:lang w:val="es-CO"/>
        </w:rPr>
        <w:t>preentrenado</w:t>
      </w:r>
      <w:proofErr w:type="spellEnd"/>
      <w:r w:rsidRPr="0055567A">
        <w:rPr>
          <w:lang w:val="es-CO"/>
        </w:rPr>
        <w:t xml:space="preserve"> sobre ventanas espaciales.</w:t>
      </w:r>
    </w:p>
    <w:p w14:paraId="05EAD84F"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Evaluación cuantitativa bajo validación aleatoria y espacial, prueba de McNemar y </w:t>
      </w:r>
      <w:proofErr w:type="spellStart"/>
      <w:r w:rsidRPr="0055567A">
        <w:rPr>
          <w:lang w:val="es-CO"/>
        </w:rPr>
        <w:t>bootstrap</w:t>
      </w:r>
      <w:proofErr w:type="spellEnd"/>
      <w:r w:rsidRPr="0055567A">
        <w:rPr>
          <w:lang w:val="es-CO"/>
        </w:rPr>
        <w:t xml:space="preserve"> por bloques.</w:t>
      </w:r>
    </w:p>
    <w:p w14:paraId="1D790CD1" w14:textId="77777777" w:rsidR="00ED53B9" w:rsidRPr="0055567A" w:rsidRDefault="00000000">
      <w:pPr>
        <w:pStyle w:val="Prrafodelista"/>
        <w:numPr>
          <w:ilvl w:val="0"/>
          <w:numId w:val="2"/>
        </w:numPr>
        <w:spacing w:after="100" w:line="280" w:lineRule="auto"/>
        <w:jc w:val="both"/>
        <w:rPr>
          <w:lang w:val="es-CO"/>
        </w:rPr>
      </w:pPr>
      <w:r w:rsidRPr="0055567A">
        <w:rPr>
          <w:lang w:val="es-CO"/>
        </w:rPr>
        <w:t>Diseño de la arquitectura de despliegue y preparación del contenedor de inferencia.</w:t>
      </w:r>
    </w:p>
    <w:p w14:paraId="47ED77A8"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Desarrollo del tablero interactivo en </w:t>
      </w:r>
      <w:proofErr w:type="spellStart"/>
      <w:r w:rsidRPr="0055567A">
        <w:rPr>
          <w:lang w:val="es-CO"/>
        </w:rPr>
        <w:t>Streamlit</w:t>
      </w:r>
      <w:proofErr w:type="spellEnd"/>
      <w:r w:rsidRPr="0055567A">
        <w:rPr>
          <w:lang w:val="es-CO"/>
        </w:rPr>
        <w:t xml:space="preserve"> y del tablero ejecutivo en </w:t>
      </w:r>
      <w:proofErr w:type="spellStart"/>
      <w:r w:rsidRPr="0055567A">
        <w:rPr>
          <w:lang w:val="es-CO"/>
        </w:rPr>
        <w:t>Tableau</w:t>
      </w:r>
      <w:proofErr w:type="spellEnd"/>
      <w:r w:rsidRPr="0055567A">
        <w:rPr>
          <w:lang w:val="es-CO"/>
        </w:rPr>
        <w:t>.</w:t>
      </w:r>
    </w:p>
    <w:p w14:paraId="7C1437AD" w14:textId="77777777" w:rsidR="00ED53B9" w:rsidRPr="0055567A" w:rsidRDefault="00000000">
      <w:pPr>
        <w:pStyle w:val="Prrafodelista"/>
        <w:numPr>
          <w:ilvl w:val="0"/>
          <w:numId w:val="2"/>
        </w:numPr>
        <w:spacing w:after="100" w:line="280" w:lineRule="auto"/>
        <w:jc w:val="both"/>
        <w:rPr>
          <w:lang w:val="es-CO"/>
        </w:rPr>
      </w:pPr>
      <w:r w:rsidRPr="0055567A">
        <w:rPr>
          <w:lang w:val="es-CO"/>
        </w:rPr>
        <w:t>Redacción del reporte académico y preparación de la presentación final.</w:t>
      </w:r>
    </w:p>
    <w:p w14:paraId="2EA8EB46" w14:textId="77777777" w:rsidR="00ED53B9" w:rsidRPr="0055567A" w:rsidRDefault="00000000">
      <w:pPr>
        <w:pStyle w:val="Ttulo2"/>
        <w:spacing w:before="280" w:after="160"/>
        <w:rPr>
          <w:lang w:val="es-CO"/>
        </w:rPr>
      </w:pPr>
      <w:r w:rsidRPr="0055567A">
        <w:rPr>
          <w:lang w:val="es-CO"/>
        </w:rPr>
        <w:t>Cronograma</w:t>
      </w:r>
    </w:p>
    <w:p w14:paraId="2156A6FC" w14:textId="77777777" w:rsidR="00ED53B9" w:rsidRPr="0055567A" w:rsidRDefault="00000000">
      <w:pPr>
        <w:spacing w:after="160" w:line="300" w:lineRule="auto"/>
        <w:jc w:val="both"/>
        <w:rPr>
          <w:lang w:val="es-CO"/>
        </w:rPr>
      </w:pPr>
      <w:r w:rsidRPr="0055567A">
        <w:rPr>
          <w:lang w:val="es-CO"/>
        </w:rPr>
        <w:t>El cronograma se distribuye en cuatro semanas (W1–W4). Las actividades agrupan tareas afines de la lista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350"/>
        <w:gridCol w:w="1350"/>
        <w:gridCol w:w="1350"/>
        <w:gridCol w:w="1350"/>
      </w:tblGrid>
      <w:tr w:rsidR="00ED53B9" w14:paraId="7AB2C579" w14:textId="77777777">
        <w:tblPrEx>
          <w:tblCellMar>
            <w:top w:w="0" w:type="dxa"/>
            <w:bottom w:w="0" w:type="dxa"/>
          </w:tblCellMar>
        </w:tblPrEx>
        <w:trPr>
          <w:tblHeader/>
        </w:trPr>
        <w:tc>
          <w:tcPr>
            <w:tcW w:w="3960" w:type="dxa"/>
            <w:tcBorders>
              <w:top w:val="single" w:sz="4" w:space="0" w:color="888888"/>
              <w:left w:val="single" w:sz="4" w:space="0" w:color="888888"/>
              <w:bottom w:val="single" w:sz="4" w:space="0" w:color="888888"/>
              <w:right w:val="single" w:sz="4" w:space="0" w:color="888888"/>
            </w:tcBorders>
            <w:shd w:val="clear" w:color="auto" w:fill="E8E8E8"/>
            <w:tcMar>
              <w:top w:w="100" w:type="dxa"/>
              <w:left w:w="140" w:type="dxa"/>
              <w:bottom w:w="100" w:type="dxa"/>
              <w:right w:w="140" w:type="dxa"/>
            </w:tcMar>
            <w:vAlign w:val="center"/>
          </w:tcPr>
          <w:p w14:paraId="1450E120" w14:textId="77777777" w:rsidR="00ED53B9" w:rsidRDefault="00000000">
            <w:pPr>
              <w:spacing w:line="260" w:lineRule="auto"/>
            </w:pPr>
            <w:proofErr w:type="spellStart"/>
            <w:r>
              <w:rPr>
                <w:b/>
                <w:bCs/>
                <w:sz w:val="20"/>
                <w:szCs w:val="20"/>
              </w:rPr>
              <w:t>Actividad</w:t>
            </w:r>
            <w:proofErr w:type="spellEnd"/>
          </w:p>
        </w:tc>
        <w:tc>
          <w:tcPr>
            <w:tcW w:w="1350" w:type="dxa"/>
            <w:tcBorders>
              <w:top w:val="single" w:sz="4" w:space="0" w:color="888888"/>
              <w:left w:val="single" w:sz="4" w:space="0" w:color="888888"/>
              <w:bottom w:val="single" w:sz="4" w:space="0" w:color="888888"/>
              <w:right w:val="single" w:sz="4" w:space="0" w:color="888888"/>
            </w:tcBorders>
            <w:shd w:val="clear" w:color="auto" w:fill="E8E8E8"/>
            <w:tcMar>
              <w:top w:w="100" w:type="dxa"/>
              <w:left w:w="140" w:type="dxa"/>
              <w:bottom w:w="100" w:type="dxa"/>
              <w:right w:w="140" w:type="dxa"/>
            </w:tcMar>
            <w:vAlign w:val="center"/>
          </w:tcPr>
          <w:p w14:paraId="7DD9385A" w14:textId="77777777" w:rsidR="00ED53B9" w:rsidRDefault="00000000">
            <w:pPr>
              <w:spacing w:line="260" w:lineRule="auto"/>
              <w:jc w:val="center"/>
            </w:pPr>
            <w:r>
              <w:rPr>
                <w:b/>
                <w:bCs/>
                <w:sz w:val="20"/>
                <w:szCs w:val="20"/>
              </w:rPr>
              <w:t>W1</w:t>
            </w:r>
          </w:p>
        </w:tc>
        <w:tc>
          <w:tcPr>
            <w:tcW w:w="1350" w:type="dxa"/>
            <w:tcBorders>
              <w:top w:val="single" w:sz="4" w:space="0" w:color="888888"/>
              <w:left w:val="single" w:sz="4" w:space="0" w:color="888888"/>
              <w:bottom w:val="single" w:sz="4" w:space="0" w:color="888888"/>
              <w:right w:val="single" w:sz="4" w:space="0" w:color="888888"/>
            </w:tcBorders>
            <w:shd w:val="clear" w:color="auto" w:fill="E8E8E8"/>
            <w:tcMar>
              <w:top w:w="100" w:type="dxa"/>
              <w:left w:w="140" w:type="dxa"/>
              <w:bottom w:w="100" w:type="dxa"/>
              <w:right w:w="140" w:type="dxa"/>
            </w:tcMar>
            <w:vAlign w:val="center"/>
          </w:tcPr>
          <w:p w14:paraId="1153C996" w14:textId="77777777" w:rsidR="00ED53B9" w:rsidRDefault="00000000">
            <w:pPr>
              <w:spacing w:line="260" w:lineRule="auto"/>
              <w:jc w:val="center"/>
            </w:pPr>
            <w:r>
              <w:rPr>
                <w:b/>
                <w:bCs/>
                <w:sz w:val="20"/>
                <w:szCs w:val="20"/>
              </w:rPr>
              <w:t>W2</w:t>
            </w:r>
          </w:p>
        </w:tc>
        <w:tc>
          <w:tcPr>
            <w:tcW w:w="1350" w:type="dxa"/>
            <w:tcBorders>
              <w:top w:val="single" w:sz="4" w:space="0" w:color="888888"/>
              <w:left w:val="single" w:sz="4" w:space="0" w:color="888888"/>
              <w:bottom w:val="single" w:sz="4" w:space="0" w:color="888888"/>
              <w:right w:val="single" w:sz="4" w:space="0" w:color="888888"/>
            </w:tcBorders>
            <w:shd w:val="clear" w:color="auto" w:fill="E8E8E8"/>
            <w:tcMar>
              <w:top w:w="100" w:type="dxa"/>
              <w:left w:w="140" w:type="dxa"/>
              <w:bottom w:w="100" w:type="dxa"/>
              <w:right w:w="140" w:type="dxa"/>
            </w:tcMar>
            <w:vAlign w:val="center"/>
          </w:tcPr>
          <w:p w14:paraId="566940C1" w14:textId="77777777" w:rsidR="00ED53B9" w:rsidRDefault="00000000">
            <w:pPr>
              <w:spacing w:line="260" w:lineRule="auto"/>
              <w:jc w:val="center"/>
            </w:pPr>
            <w:r>
              <w:rPr>
                <w:b/>
                <w:bCs/>
                <w:sz w:val="20"/>
                <w:szCs w:val="20"/>
              </w:rPr>
              <w:t>W3</w:t>
            </w:r>
          </w:p>
        </w:tc>
        <w:tc>
          <w:tcPr>
            <w:tcW w:w="1350" w:type="dxa"/>
            <w:tcBorders>
              <w:top w:val="single" w:sz="4" w:space="0" w:color="888888"/>
              <w:left w:val="single" w:sz="4" w:space="0" w:color="888888"/>
              <w:bottom w:val="single" w:sz="4" w:space="0" w:color="888888"/>
              <w:right w:val="single" w:sz="4" w:space="0" w:color="888888"/>
            </w:tcBorders>
            <w:shd w:val="clear" w:color="auto" w:fill="E8E8E8"/>
            <w:tcMar>
              <w:top w:w="100" w:type="dxa"/>
              <w:left w:w="140" w:type="dxa"/>
              <w:bottom w:w="100" w:type="dxa"/>
              <w:right w:w="140" w:type="dxa"/>
            </w:tcMar>
            <w:vAlign w:val="center"/>
          </w:tcPr>
          <w:p w14:paraId="1EE60DF9" w14:textId="77777777" w:rsidR="00ED53B9" w:rsidRDefault="00000000">
            <w:pPr>
              <w:spacing w:line="260" w:lineRule="auto"/>
              <w:jc w:val="center"/>
            </w:pPr>
            <w:r>
              <w:rPr>
                <w:b/>
                <w:bCs/>
                <w:sz w:val="20"/>
                <w:szCs w:val="20"/>
              </w:rPr>
              <w:t>W4</w:t>
            </w:r>
          </w:p>
        </w:tc>
      </w:tr>
      <w:tr w:rsidR="00ED53B9" w14:paraId="4C323D31"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74E9FC1" w14:textId="77777777" w:rsidR="00ED53B9" w:rsidRPr="0055567A" w:rsidRDefault="00000000">
            <w:pPr>
              <w:spacing w:line="260" w:lineRule="auto"/>
              <w:rPr>
                <w:lang w:val="es-CO"/>
              </w:rPr>
            </w:pPr>
            <w:r w:rsidRPr="0055567A">
              <w:rPr>
                <w:sz w:val="20"/>
                <w:szCs w:val="20"/>
                <w:lang w:val="es-CO"/>
              </w:rPr>
              <w:t>Definición del problema y revisión de literatura</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E537F0F"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43E5B62"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7449EE3"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E902D9B" w14:textId="77777777" w:rsidR="00ED53B9" w:rsidRDefault="00ED53B9">
            <w:pPr>
              <w:spacing w:line="260" w:lineRule="auto"/>
            </w:pPr>
          </w:p>
        </w:tc>
      </w:tr>
      <w:tr w:rsidR="00ED53B9" w14:paraId="5E4C2E1A"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E626F3F" w14:textId="77777777" w:rsidR="00ED53B9" w:rsidRPr="0055567A" w:rsidRDefault="00000000">
            <w:pPr>
              <w:spacing w:line="260" w:lineRule="auto"/>
              <w:rPr>
                <w:lang w:val="es-CO"/>
              </w:rPr>
            </w:pPr>
            <w:r w:rsidRPr="0055567A">
              <w:rPr>
                <w:sz w:val="20"/>
                <w:szCs w:val="20"/>
                <w:lang w:val="es-CO"/>
              </w:rPr>
              <w:t>Configuración AWS y repositorio de código</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15293AF"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7F88B93"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50F4890"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65FA510" w14:textId="77777777" w:rsidR="00ED53B9" w:rsidRDefault="00ED53B9">
            <w:pPr>
              <w:spacing w:line="260" w:lineRule="auto"/>
            </w:pPr>
          </w:p>
        </w:tc>
      </w:tr>
      <w:tr w:rsidR="00ED53B9" w14:paraId="4ACCF34D"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B918CBD" w14:textId="77777777" w:rsidR="00ED53B9" w:rsidRPr="0055567A" w:rsidRDefault="00000000">
            <w:pPr>
              <w:spacing w:line="260" w:lineRule="auto"/>
              <w:rPr>
                <w:lang w:val="es-CO"/>
              </w:rPr>
            </w:pPr>
            <w:r w:rsidRPr="0055567A">
              <w:rPr>
                <w:sz w:val="20"/>
                <w:szCs w:val="20"/>
                <w:lang w:val="es-CO"/>
              </w:rPr>
              <w:t>Ingestión de datos Sentinel-2 y descarga de etiquetas</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9D0FAB7"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12EFFF8"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31E9D7D"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88CC0CA" w14:textId="77777777" w:rsidR="00ED53B9" w:rsidRDefault="00ED53B9">
            <w:pPr>
              <w:spacing w:line="260" w:lineRule="auto"/>
            </w:pPr>
          </w:p>
        </w:tc>
      </w:tr>
      <w:tr w:rsidR="00ED53B9" w14:paraId="6435FB00"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39EBCCC" w14:textId="77777777" w:rsidR="00ED53B9" w:rsidRPr="0055567A" w:rsidRDefault="00000000">
            <w:pPr>
              <w:spacing w:line="260" w:lineRule="auto"/>
              <w:rPr>
                <w:lang w:val="es-CO"/>
              </w:rPr>
            </w:pPr>
            <w:r w:rsidRPr="0055567A">
              <w:rPr>
                <w:sz w:val="20"/>
                <w:szCs w:val="20"/>
                <w:lang w:val="es-CO"/>
              </w:rPr>
              <w:t>Análisis Exploratorio y diagnóstico espacial</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BBDA032"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4B77FF2"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EB44266"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4643AF1" w14:textId="77777777" w:rsidR="00ED53B9" w:rsidRDefault="00ED53B9">
            <w:pPr>
              <w:spacing w:line="260" w:lineRule="auto"/>
            </w:pPr>
          </w:p>
        </w:tc>
      </w:tr>
      <w:tr w:rsidR="00ED53B9" w14:paraId="1E21F54E"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5EB2BD6" w14:textId="77777777" w:rsidR="00ED53B9" w:rsidRPr="0055567A" w:rsidRDefault="00000000">
            <w:pPr>
              <w:spacing w:line="260" w:lineRule="auto"/>
              <w:rPr>
                <w:lang w:val="es-CO"/>
              </w:rPr>
            </w:pPr>
            <w:r w:rsidRPr="0055567A">
              <w:rPr>
                <w:sz w:val="20"/>
                <w:szCs w:val="20"/>
                <w:lang w:val="es-CO"/>
              </w:rPr>
              <w:t xml:space="preserve">Preparación del </w:t>
            </w:r>
            <w:proofErr w:type="spellStart"/>
            <w:r w:rsidRPr="0055567A">
              <w:rPr>
                <w:sz w:val="20"/>
                <w:szCs w:val="20"/>
                <w:lang w:val="es-CO"/>
              </w:rPr>
              <w:t>dataset</w:t>
            </w:r>
            <w:proofErr w:type="spellEnd"/>
            <w:r w:rsidRPr="0055567A">
              <w:rPr>
                <w:sz w:val="20"/>
                <w:szCs w:val="20"/>
                <w:lang w:val="es-CO"/>
              </w:rPr>
              <w:t xml:space="preserve"> y partición espacial</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9FD5562"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6C1639E"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417AE7D" w14:textId="77777777" w:rsidR="00ED53B9" w:rsidRDefault="00ED53B9">
            <w:pPr>
              <w:spacing w:line="260" w:lineRule="auto"/>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B8DE89F" w14:textId="77777777" w:rsidR="00ED53B9" w:rsidRDefault="00ED53B9">
            <w:pPr>
              <w:spacing w:line="260" w:lineRule="auto"/>
            </w:pPr>
          </w:p>
        </w:tc>
      </w:tr>
      <w:tr w:rsidR="00ED53B9" w14:paraId="196023AB"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7CC6723" w14:textId="77777777" w:rsidR="00ED53B9" w:rsidRPr="0055567A" w:rsidRDefault="00000000">
            <w:pPr>
              <w:spacing w:line="260" w:lineRule="auto"/>
              <w:rPr>
                <w:lang w:val="es-CO"/>
              </w:rPr>
            </w:pPr>
            <w:r w:rsidRPr="0055567A">
              <w:rPr>
                <w:sz w:val="20"/>
                <w:szCs w:val="20"/>
                <w:lang w:val="es-CO"/>
              </w:rPr>
              <w:t xml:space="preserve">Modelado supervisado: </w:t>
            </w:r>
            <w:proofErr w:type="spellStart"/>
            <w:r w:rsidRPr="0055567A">
              <w:rPr>
                <w:sz w:val="20"/>
                <w:szCs w:val="20"/>
                <w:lang w:val="es-CO"/>
              </w:rPr>
              <w:t>baseline</w:t>
            </w:r>
            <w:proofErr w:type="spellEnd"/>
            <w:r w:rsidRPr="0055567A">
              <w:rPr>
                <w:sz w:val="20"/>
                <w:szCs w:val="20"/>
                <w:lang w:val="es-CO"/>
              </w:rPr>
              <w:t xml:space="preserve"> y fine-</w:t>
            </w:r>
            <w:proofErr w:type="spellStart"/>
            <w:r w:rsidRPr="0055567A">
              <w:rPr>
                <w:sz w:val="20"/>
                <w:szCs w:val="20"/>
                <w:lang w:val="es-CO"/>
              </w:rPr>
              <w:t>tuning</w:t>
            </w:r>
            <w:proofErr w:type="spellEnd"/>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79D6D3A"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D7416CD"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99B69F3"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A3C60F4" w14:textId="77777777" w:rsidR="00ED53B9" w:rsidRDefault="00ED53B9">
            <w:pPr>
              <w:spacing w:line="260" w:lineRule="auto"/>
            </w:pPr>
          </w:p>
        </w:tc>
      </w:tr>
      <w:tr w:rsidR="00ED53B9" w14:paraId="0CA86E41"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8452559" w14:textId="77777777" w:rsidR="00ED53B9" w:rsidRPr="0055567A" w:rsidRDefault="00000000">
            <w:pPr>
              <w:spacing w:line="260" w:lineRule="auto"/>
              <w:rPr>
                <w:lang w:val="es-CO"/>
              </w:rPr>
            </w:pPr>
            <w:r w:rsidRPr="0055567A">
              <w:rPr>
                <w:sz w:val="20"/>
                <w:szCs w:val="20"/>
                <w:lang w:val="es-CO"/>
              </w:rPr>
              <w:lastRenderedPageBreak/>
              <w:t>Evaluación, pruebas estadísticas y análisis de errores</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FB69316"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A357EF9"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4154D0FA"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DE1DB56" w14:textId="77777777" w:rsidR="00ED53B9" w:rsidRDefault="00ED53B9">
            <w:pPr>
              <w:spacing w:line="260" w:lineRule="auto"/>
            </w:pPr>
          </w:p>
        </w:tc>
      </w:tr>
      <w:tr w:rsidR="00ED53B9" w14:paraId="6E590FA3"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49A5867" w14:textId="77777777" w:rsidR="00ED53B9" w:rsidRPr="0055567A" w:rsidRDefault="00000000">
            <w:pPr>
              <w:spacing w:line="260" w:lineRule="auto"/>
              <w:rPr>
                <w:lang w:val="es-CO"/>
              </w:rPr>
            </w:pPr>
            <w:r w:rsidRPr="0055567A">
              <w:rPr>
                <w:sz w:val="20"/>
                <w:szCs w:val="20"/>
                <w:lang w:val="es-CO"/>
              </w:rPr>
              <w:t>Arquitectura de despliegue e inferencia</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03E4861"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06B665E"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342CF50"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3517D527" w14:textId="77777777" w:rsidR="00ED53B9" w:rsidRDefault="00000000">
            <w:pPr>
              <w:spacing w:line="260" w:lineRule="auto"/>
              <w:jc w:val="center"/>
            </w:pPr>
            <w:r>
              <w:rPr>
                <w:sz w:val="20"/>
                <w:szCs w:val="20"/>
              </w:rPr>
              <w:t>x</w:t>
            </w:r>
          </w:p>
        </w:tc>
      </w:tr>
      <w:tr w:rsidR="00ED53B9" w14:paraId="79FE043A"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9B9C238" w14:textId="77777777" w:rsidR="00ED53B9" w:rsidRPr="0055567A" w:rsidRDefault="00000000">
            <w:pPr>
              <w:spacing w:line="260" w:lineRule="auto"/>
              <w:rPr>
                <w:lang w:val="es-CO"/>
              </w:rPr>
            </w:pPr>
            <w:r w:rsidRPr="0055567A">
              <w:rPr>
                <w:sz w:val="20"/>
                <w:szCs w:val="20"/>
                <w:lang w:val="es-CO"/>
              </w:rPr>
              <w:t>Tableros de visualización (</w:t>
            </w:r>
            <w:proofErr w:type="spellStart"/>
            <w:r w:rsidRPr="0055567A">
              <w:rPr>
                <w:sz w:val="20"/>
                <w:szCs w:val="20"/>
                <w:lang w:val="es-CO"/>
              </w:rPr>
              <w:t>Streamlit</w:t>
            </w:r>
            <w:proofErr w:type="spellEnd"/>
            <w:r w:rsidRPr="0055567A">
              <w:rPr>
                <w:sz w:val="20"/>
                <w:szCs w:val="20"/>
                <w:lang w:val="es-CO"/>
              </w:rPr>
              <w:t xml:space="preserve"> y </w:t>
            </w:r>
            <w:proofErr w:type="spellStart"/>
            <w:r w:rsidRPr="0055567A">
              <w:rPr>
                <w:sz w:val="20"/>
                <w:szCs w:val="20"/>
                <w:lang w:val="es-CO"/>
              </w:rPr>
              <w:t>Tableau</w:t>
            </w:r>
            <w:proofErr w:type="spellEnd"/>
            <w:r w:rsidRPr="0055567A">
              <w:rPr>
                <w:sz w:val="20"/>
                <w:szCs w:val="20"/>
                <w:lang w:val="es-CO"/>
              </w:rPr>
              <w:t>)</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65CCEAA"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01710DF4"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930F3F9" w14:textId="77777777" w:rsidR="00ED53B9" w:rsidRDefault="00000000">
            <w:pPr>
              <w:spacing w:line="260" w:lineRule="auto"/>
              <w:jc w:val="center"/>
            </w:pPr>
            <w:r>
              <w:rPr>
                <w:sz w:val="20"/>
                <w:szCs w:val="20"/>
              </w:rPr>
              <w:t>x</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160C895A" w14:textId="77777777" w:rsidR="00ED53B9" w:rsidRDefault="00000000">
            <w:pPr>
              <w:spacing w:line="260" w:lineRule="auto"/>
              <w:jc w:val="center"/>
            </w:pPr>
            <w:r>
              <w:rPr>
                <w:sz w:val="20"/>
                <w:szCs w:val="20"/>
              </w:rPr>
              <w:t>x</w:t>
            </w:r>
          </w:p>
        </w:tc>
      </w:tr>
      <w:tr w:rsidR="00ED53B9" w14:paraId="632843BD" w14:textId="77777777">
        <w:tblPrEx>
          <w:tblCellMar>
            <w:top w:w="0" w:type="dxa"/>
            <w:bottom w:w="0" w:type="dxa"/>
          </w:tblCellMar>
        </w:tblPrEx>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20F530AA" w14:textId="77777777" w:rsidR="00ED53B9" w:rsidRPr="0055567A" w:rsidRDefault="00000000">
            <w:pPr>
              <w:spacing w:line="260" w:lineRule="auto"/>
              <w:rPr>
                <w:lang w:val="es-CO"/>
              </w:rPr>
            </w:pPr>
            <w:r w:rsidRPr="0055567A">
              <w:rPr>
                <w:sz w:val="20"/>
                <w:szCs w:val="20"/>
                <w:lang w:val="es-CO"/>
              </w:rPr>
              <w:t>Redacción de reporte y presentación final</w:t>
            </w: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958AC84"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59DF3E16"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645DAED4" w14:textId="77777777" w:rsidR="00ED53B9" w:rsidRPr="0055567A" w:rsidRDefault="00ED53B9">
            <w:pPr>
              <w:spacing w:line="260" w:lineRule="auto"/>
              <w:rPr>
                <w:lang w:val="es-CO"/>
              </w:rPr>
            </w:pPr>
          </w:p>
        </w:tc>
        <w:tc>
          <w:tcPr>
            <w:tcW w:w="135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vAlign w:val="center"/>
          </w:tcPr>
          <w:p w14:paraId="7908D6E0" w14:textId="77777777" w:rsidR="00ED53B9" w:rsidRDefault="00000000">
            <w:pPr>
              <w:spacing w:line="260" w:lineRule="auto"/>
              <w:jc w:val="center"/>
            </w:pPr>
            <w:r>
              <w:rPr>
                <w:sz w:val="20"/>
                <w:szCs w:val="20"/>
              </w:rPr>
              <w:t>x</w:t>
            </w:r>
          </w:p>
        </w:tc>
      </w:tr>
    </w:tbl>
    <w:p w14:paraId="1ABB86F3" w14:textId="77777777" w:rsidR="00ED53B9" w:rsidRDefault="00ED53B9">
      <w:pPr>
        <w:spacing w:after="240"/>
      </w:pPr>
    </w:p>
    <w:p w14:paraId="2734D13A" w14:textId="77777777" w:rsidR="00ED53B9" w:rsidRPr="0055567A" w:rsidRDefault="00000000">
      <w:pPr>
        <w:pStyle w:val="Ttulo2"/>
        <w:spacing w:before="280" w:after="160"/>
        <w:rPr>
          <w:lang w:val="es-CO"/>
        </w:rPr>
      </w:pPr>
      <w:r w:rsidRPr="0055567A">
        <w:rPr>
          <w:lang w:val="es-CO"/>
        </w:rPr>
        <w:t>Métodos, modelos y tecnologías por materia</w:t>
      </w:r>
    </w:p>
    <w:p w14:paraId="304B5358" w14:textId="77777777" w:rsidR="00ED53B9" w:rsidRPr="0055567A" w:rsidRDefault="00000000">
      <w:pPr>
        <w:spacing w:before="160" w:after="100"/>
        <w:rPr>
          <w:lang w:val="es-CO"/>
        </w:rPr>
      </w:pPr>
      <w:r w:rsidRPr="0055567A">
        <w:rPr>
          <w:b/>
          <w:bCs/>
          <w:lang w:val="es-CO"/>
        </w:rPr>
        <w:t>Curso 1: SI7009/SI6002 Aprendizaje Automático</w:t>
      </w:r>
    </w:p>
    <w:p w14:paraId="54C9366D" w14:textId="77777777" w:rsidR="00ED53B9" w:rsidRPr="0055567A" w:rsidRDefault="00000000">
      <w:pPr>
        <w:spacing w:after="160" w:line="300" w:lineRule="auto"/>
        <w:jc w:val="both"/>
        <w:rPr>
          <w:lang w:val="es-CO"/>
        </w:rPr>
      </w:pPr>
      <w:r w:rsidRPr="0055567A">
        <w:rPr>
          <w:lang w:val="es-CO"/>
        </w:rPr>
        <w:t xml:space="preserve">La materia aporta los modelos de clasificación supervisada y el protocolo de evaluación. Se entrenarán dos modelos </w:t>
      </w:r>
      <w:proofErr w:type="spellStart"/>
      <w:r w:rsidRPr="0055567A">
        <w:rPr>
          <w:lang w:val="es-CO"/>
        </w:rPr>
        <w:t>baseline</w:t>
      </w:r>
      <w:proofErr w:type="spellEnd"/>
      <w:r w:rsidRPr="0055567A">
        <w:rPr>
          <w:lang w:val="es-CO"/>
        </w:rPr>
        <w:t xml:space="preserve"> (Random Forest y </w:t>
      </w:r>
      <w:proofErr w:type="spellStart"/>
      <w:r w:rsidRPr="0055567A">
        <w:rPr>
          <w:lang w:val="es-CO"/>
        </w:rPr>
        <w:t>XGBoost</w:t>
      </w:r>
      <w:proofErr w:type="spellEnd"/>
      <w:r w:rsidRPr="0055567A">
        <w:rPr>
          <w:lang w:val="es-CO"/>
        </w:rPr>
        <w:t>) sobre un vector de atributos por píxel compuesto por las bandas Sentinel-2, los índices NDVI, NBR y NDWI, y los atributos contextuales (medias, desviaciones estándar y métricas GLCM sobre ventanas de 3 × 3 y 5 × 5 píxeles), con entrada de contexto estacional (cuatro trimestres). El modelo principal es una U-Net (</w:t>
      </w:r>
      <w:proofErr w:type="spellStart"/>
      <w:r w:rsidRPr="0055567A">
        <w:rPr>
          <w:lang w:val="es-CO"/>
        </w:rPr>
        <w:t>Ronneberger</w:t>
      </w:r>
      <w:proofErr w:type="spellEnd"/>
      <w:r w:rsidRPr="0055567A">
        <w:rPr>
          <w:lang w:val="es-CO"/>
        </w:rPr>
        <w:t xml:space="preserve"> et al., 2015) con </w:t>
      </w:r>
      <w:proofErr w:type="spellStart"/>
      <w:r w:rsidRPr="0055567A">
        <w:rPr>
          <w:lang w:val="es-CO"/>
        </w:rPr>
        <w:t>encoder</w:t>
      </w:r>
      <w:proofErr w:type="spellEnd"/>
      <w:r w:rsidRPr="0055567A">
        <w:rPr>
          <w:lang w:val="es-CO"/>
        </w:rPr>
        <w:t xml:space="preserve"> ResNet-34 </w:t>
      </w:r>
      <w:proofErr w:type="spellStart"/>
      <w:r w:rsidRPr="0055567A">
        <w:rPr>
          <w:lang w:val="es-CO"/>
        </w:rPr>
        <w:t>preentrenado</w:t>
      </w:r>
      <w:proofErr w:type="spellEnd"/>
      <w:r w:rsidRPr="0055567A">
        <w:rPr>
          <w:lang w:val="es-CO"/>
        </w:rPr>
        <w:t xml:space="preserve"> en </w:t>
      </w:r>
      <w:proofErr w:type="spellStart"/>
      <w:r w:rsidRPr="0055567A">
        <w:rPr>
          <w:lang w:val="es-CO"/>
        </w:rPr>
        <w:t>ImageNet</w:t>
      </w:r>
      <w:proofErr w:type="spellEnd"/>
      <w:r w:rsidRPr="0055567A">
        <w:rPr>
          <w:lang w:val="es-CO"/>
        </w:rPr>
        <w:t xml:space="preserve">, implementada con la librería </w:t>
      </w:r>
      <w:proofErr w:type="spellStart"/>
      <w:r w:rsidRPr="0055567A">
        <w:rPr>
          <w:lang w:val="es-CO"/>
        </w:rPr>
        <w:t>segmentation_models_pytorch</w:t>
      </w:r>
      <w:proofErr w:type="spellEnd"/>
      <w:r w:rsidRPr="0055567A">
        <w:rPr>
          <w:lang w:val="es-CO"/>
        </w:rPr>
        <w:t xml:space="preserve">, y ajustada con un conjunto reducido de etiquetas derivadas de Hansen GFC. Se empleará función de pérdida focal (Lin et al., 2017) para mitigar el desbalance severo de clases. El registro de experimentos se realizará con </w:t>
      </w:r>
      <w:proofErr w:type="spellStart"/>
      <w:r w:rsidRPr="0055567A">
        <w:rPr>
          <w:lang w:val="es-CO"/>
        </w:rPr>
        <w:t>MLflow</w:t>
      </w:r>
      <w:proofErr w:type="spellEnd"/>
      <w:r w:rsidRPr="0055567A">
        <w:rPr>
          <w:lang w:val="es-CO"/>
        </w:rPr>
        <w:t xml:space="preserve">. La validación se hará bajo dos esquemas en paralelo: aleatoria y espacial por bloques (Roberts et al., 2017; </w:t>
      </w:r>
      <w:proofErr w:type="spellStart"/>
      <w:r w:rsidRPr="0055567A">
        <w:rPr>
          <w:lang w:val="es-CO"/>
        </w:rPr>
        <w:t>Karasiak</w:t>
      </w:r>
      <w:proofErr w:type="spellEnd"/>
      <w:r w:rsidRPr="0055567A">
        <w:rPr>
          <w:lang w:val="es-CO"/>
        </w:rPr>
        <w:t xml:space="preserve"> et al., 2022), con métricas </w:t>
      </w:r>
      <w:proofErr w:type="gramStart"/>
      <w:r w:rsidRPr="0055567A">
        <w:rPr>
          <w:lang w:val="es-CO"/>
        </w:rPr>
        <w:t>pixel</w:t>
      </w:r>
      <w:proofErr w:type="gramEnd"/>
      <w:r w:rsidRPr="0055567A">
        <w:rPr>
          <w:lang w:val="es-CO"/>
        </w:rPr>
        <w:t>-</w:t>
      </w:r>
      <w:proofErr w:type="spellStart"/>
      <w:r w:rsidRPr="0055567A">
        <w:rPr>
          <w:lang w:val="es-CO"/>
        </w:rPr>
        <w:t>wise</w:t>
      </w:r>
      <w:proofErr w:type="spellEnd"/>
      <w:r w:rsidRPr="0055567A">
        <w:rPr>
          <w:lang w:val="es-CO"/>
        </w:rPr>
        <w:t xml:space="preserve"> (precisión, </w:t>
      </w:r>
      <w:proofErr w:type="spellStart"/>
      <w:r w:rsidRPr="0055567A">
        <w:rPr>
          <w:lang w:val="es-CO"/>
        </w:rPr>
        <w:t>recall</w:t>
      </w:r>
      <w:proofErr w:type="spellEnd"/>
      <w:r w:rsidRPr="0055567A">
        <w:rPr>
          <w:lang w:val="es-CO"/>
        </w:rPr>
        <w:t xml:space="preserve">, F1, </w:t>
      </w:r>
      <w:proofErr w:type="spellStart"/>
      <w:r w:rsidRPr="0055567A">
        <w:rPr>
          <w:lang w:val="es-CO"/>
        </w:rPr>
        <w:t>IoU</w:t>
      </w:r>
      <w:proofErr w:type="spellEnd"/>
      <w:r w:rsidRPr="0055567A">
        <w:rPr>
          <w:lang w:val="es-CO"/>
        </w:rPr>
        <w:t xml:space="preserve">, AUC-PR), métricas por polígono y pruebas estadísticas de comparación (McNemar y </w:t>
      </w:r>
      <w:proofErr w:type="spellStart"/>
      <w:r w:rsidRPr="0055567A">
        <w:rPr>
          <w:lang w:val="es-CO"/>
        </w:rPr>
        <w:t>bootstrap</w:t>
      </w:r>
      <w:proofErr w:type="spellEnd"/>
      <w:r w:rsidRPr="0055567A">
        <w:rPr>
          <w:lang w:val="es-CO"/>
        </w:rPr>
        <w:t xml:space="preserve"> espacial). Las librerías principales serán </w:t>
      </w:r>
      <w:proofErr w:type="spellStart"/>
      <w:r w:rsidRPr="0055567A">
        <w:rPr>
          <w:lang w:val="es-CO"/>
        </w:rPr>
        <w:t>scikit-learn</w:t>
      </w:r>
      <w:proofErr w:type="spellEnd"/>
      <w:r w:rsidRPr="0055567A">
        <w:rPr>
          <w:lang w:val="es-CO"/>
        </w:rPr>
        <w:t xml:space="preserve">, </w:t>
      </w:r>
      <w:proofErr w:type="spellStart"/>
      <w:r w:rsidRPr="0055567A">
        <w:rPr>
          <w:lang w:val="es-CO"/>
        </w:rPr>
        <w:t>XGBoost</w:t>
      </w:r>
      <w:proofErr w:type="spellEnd"/>
      <w:r w:rsidRPr="0055567A">
        <w:rPr>
          <w:lang w:val="es-CO"/>
        </w:rPr>
        <w:t xml:space="preserve">, </w:t>
      </w:r>
      <w:proofErr w:type="spellStart"/>
      <w:r w:rsidRPr="0055567A">
        <w:rPr>
          <w:lang w:val="es-CO"/>
        </w:rPr>
        <w:t>PyTorch</w:t>
      </w:r>
      <w:proofErr w:type="spellEnd"/>
      <w:r w:rsidRPr="0055567A">
        <w:rPr>
          <w:lang w:val="es-CO"/>
        </w:rPr>
        <w:t xml:space="preserve">, </w:t>
      </w:r>
      <w:proofErr w:type="spellStart"/>
      <w:r w:rsidRPr="0055567A">
        <w:rPr>
          <w:lang w:val="es-CO"/>
        </w:rPr>
        <w:t>segmentation_models_pytorch</w:t>
      </w:r>
      <w:proofErr w:type="spellEnd"/>
      <w:r w:rsidRPr="0055567A">
        <w:rPr>
          <w:lang w:val="es-CO"/>
        </w:rPr>
        <w:t xml:space="preserve">, </w:t>
      </w:r>
      <w:proofErr w:type="spellStart"/>
      <w:r w:rsidRPr="0055567A">
        <w:rPr>
          <w:lang w:val="es-CO"/>
        </w:rPr>
        <w:t>rasterio</w:t>
      </w:r>
      <w:proofErr w:type="spellEnd"/>
      <w:r w:rsidRPr="0055567A">
        <w:rPr>
          <w:lang w:val="es-CO"/>
        </w:rPr>
        <w:t xml:space="preserve">, </w:t>
      </w:r>
      <w:proofErr w:type="spellStart"/>
      <w:r w:rsidRPr="0055567A">
        <w:rPr>
          <w:lang w:val="es-CO"/>
        </w:rPr>
        <w:t>rioxarray</w:t>
      </w:r>
      <w:proofErr w:type="spellEnd"/>
      <w:r w:rsidRPr="0055567A">
        <w:rPr>
          <w:lang w:val="es-CO"/>
        </w:rPr>
        <w:t xml:space="preserve">, </w:t>
      </w:r>
      <w:proofErr w:type="spellStart"/>
      <w:r w:rsidRPr="0055567A">
        <w:rPr>
          <w:lang w:val="es-CO"/>
        </w:rPr>
        <w:t>geopandas</w:t>
      </w:r>
      <w:proofErr w:type="spellEnd"/>
      <w:r w:rsidRPr="0055567A">
        <w:rPr>
          <w:lang w:val="es-CO"/>
        </w:rPr>
        <w:t xml:space="preserve">, </w:t>
      </w:r>
      <w:proofErr w:type="spellStart"/>
      <w:r w:rsidRPr="0055567A">
        <w:rPr>
          <w:lang w:val="es-CO"/>
        </w:rPr>
        <w:t>esda</w:t>
      </w:r>
      <w:proofErr w:type="spellEnd"/>
      <w:r w:rsidRPr="0055567A">
        <w:rPr>
          <w:lang w:val="es-CO"/>
        </w:rPr>
        <w:t xml:space="preserve"> y </w:t>
      </w:r>
      <w:proofErr w:type="spellStart"/>
      <w:r w:rsidRPr="0055567A">
        <w:rPr>
          <w:lang w:val="es-CO"/>
        </w:rPr>
        <w:t>PySAL</w:t>
      </w:r>
      <w:proofErr w:type="spellEnd"/>
      <w:r w:rsidRPr="0055567A">
        <w:rPr>
          <w:lang w:val="es-CO"/>
        </w:rPr>
        <w:t xml:space="preserve"> (para I de Moran), y </w:t>
      </w:r>
      <w:proofErr w:type="spellStart"/>
      <w:r w:rsidRPr="0055567A">
        <w:rPr>
          <w:lang w:val="es-CO"/>
        </w:rPr>
        <w:t>pykrige</w:t>
      </w:r>
      <w:proofErr w:type="spellEnd"/>
      <w:r w:rsidRPr="0055567A">
        <w:rPr>
          <w:lang w:val="es-CO"/>
        </w:rPr>
        <w:t xml:space="preserve"> (para </w:t>
      </w:r>
      <w:proofErr w:type="spellStart"/>
      <w:r w:rsidRPr="0055567A">
        <w:rPr>
          <w:lang w:val="es-CO"/>
        </w:rPr>
        <w:t>regression-kriging</w:t>
      </w:r>
      <w:proofErr w:type="spellEnd"/>
      <w:r w:rsidRPr="0055567A">
        <w:rPr>
          <w:lang w:val="es-CO"/>
        </w:rPr>
        <w:t>).</w:t>
      </w:r>
    </w:p>
    <w:p w14:paraId="4639DD2C" w14:textId="77777777" w:rsidR="00ED53B9" w:rsidRPr="0055567A" w:rsidRDefault="00000000">
      <w:pPr>
        <w:spacing w:before="160" w:after="100"/>
        <w:rPr>
          <w:lang w:val="es-CO"/>
        </w:rPr>
      </w:pPr>
      <w:r w:rsidRPr="0055567A">
        <w:rPr>
          <w:b/>
          <w:bCs/>
          <w:lang w:val="es-CO"/>
        </w:rPr>
        <w:t>Curso 2: SI7006/SI6003 Almacenamiento y Procesamiento de Grandes Datos</w:t>
      </w:r>
    </w:p>
    <w:p w14:paraId="34E6B834" w14:textId="77777777" w:rsidR="00ED53B9" w:rsidRPr="0055567A" w:rsidRDefault="00000000">
      <w:pPr>
        <w:spacing w:after="160" w:line="300" w:lineRule="auto"/>
        <w:jc w:val="both"/>
        <w:rPr>
          <w:lang w:val="es-CO"/>
        </w:rPr>
      </w:pPr>
      <w:r w:rsidRPr="0055567A">
        <w:rPr>
          <w:lang w:val="es-CO"/>
        </w:rPr>
        <w:t>La materia aporta la arquitectura de datos y el procesamiento distribuido. Las imágenes Sentinel-2 se consultan mediante la API STAC Earth-Search (https://earth-search.aws.element84.com/v1) y se leen como Cloud-</w:t>
      </w:r>
      <w:proofErr w:type="spellStart"/>
      <w:r w:rsidRPr="0055567A">
        <w:rPr>
          <w:lang w:val="es-CO"/>
        </w:rPr>
        <w:t>Optimized</w:t>
      </w:r>
      <w:proofErr w:type="spellEnd"/>
      <w:r w:rsidRPr="0055567A">
        <w:rPr>
          <w:lang w:val="es-CO"/>
        </w:rPr>
        <w:t xml:space="preserve"> </w:t>
      </w:r>
      <w:proofErr w:type="spellStart"/>
      <w:r w:rsidRPr="0055567A">
        <w:rPr>
          <w:lang w:val="es-CO"/>
        </w:rPr>
        <w:t>GeoTIFF</w:t>
      </w:r>
      <w:proofErr w:type="spellEnd"/>
      <w:r w:rsidRPr="0055567A">
        <w:rPr>
          <w:lang w:val="es-CO"/>
        </w:rPr>
        <w:t xml:space="preserve"> con lectura por ventanas, evitando descargas completas. La construcción de cubos de datos perezosos se realiza con las librerías </w:t>
      </w:r>
      <w:proofErr w:type="spellStart"/>
      <w:r w:rsidRPr="0055567A">
        <w:rPr>
          <w:lang w:val="es-CO"/>
        </w:rPr>
        <w:t>pystac-client</w:t>
      </w:r>
      <w:proofErr w:type="spellEnd"/>
      <w:r w:rsidRPr="0055567A">
        <w:rPr>
          <w:lang w:val="es-CO"/>
        </w:rPr>
        <w:t xml:space="preserve">, </w:t>
      </w:r>
      <w:proofErr w:type="spellStart"/>
      <w:r w:rsidRPr="0055567A">
        <w:rPr>
          <w:lang w:val="es-CO"/>
        </w:rPr>
        <w:t>stackstac</w:t>
      </w:r>
      <w:proofErr w:type="spellEnd"/>
      <w:r w:rsidRPr="0055567A">
        <w:rPr>
          <w:lang w:val="es-CO"/>
        </w:rPr>
        <w:t xml:space="preserve"> y </w:t>
      </w:r>
      <w:proofErr w:type="spellStart"/>
      <w:r w:rsidRPr="0055567A">
        <w:rPr>
          <w:lang w:val="es-CO"/>
        </w:rPr>
        <w:t>Dask</w:t>
      </w:r>
      <w:proofErr w:type="spellEnd"/>
      <w:r w:rsidRPr="0055567A">
        <w:rPr>
          <w:lang w:val="es-CO"/>
        </w:rPr>
        <w:t>, lo que permite paralelizar operaciones de composición temporal y cálculo de índices sobre nodos EC2 t</w:t>
      </w:r>
      <w:proofErr w:type="gramStart"/>
      <w:r w:rsidRPr="0055567A">
        <w:rPr>
          <w:lang w:val="es-CO"/>
        </w:rPr>
        <w:t>3.micro</w:t>
      </w:r>
      <w:proofErr w:type="gramEnd"/>
      <w:r w:rsidRPr="0055567A">
        <w:rPr>
          <w:lang w:val="es-CO"/>
        </w:rPr>
        <w:t xml:space="preserve"> del AWS Free Tier en la región us-west-2. Los derivados (composiciones trimestrales, índices, atributos contextuales y etiquetas) se almacenan en Amazon S3 en formato Apache Parquet con particionamiento por tile MGRS, trimestre y bloque espacial de validación, lo que habilita consultas analíticas con Amazon Athena. El pipeline se orquesta con AWS Lambda para disparos programados, y la inferencia del modelo entrenado se </w:t>
      </w:r>
      <w:r w:rsidRPr="0055567A">
        <w:rPr>
          <w:lang w:val="es-CO"/>
        </w:rPr>
        <w:lastRenderedPageBreak/>
        <w:t xml:space="preserve">expone en un contenedor Lambda con </w:t>
      </w:r>
      <w:proofErr w:type="spellStart"/>
      <w:r w:rsidRPr="0055567A">
        <w:rPr>
          <w:lang w:val="es-CO"/>
        </w:rPr>
        <w:t>PyTorch</w:t>
      </w:r>
      <w:proofErr w:type="spellEnd"/>
      <w:r w:rsidRPr="0055567A">
        <w:rPr>
          <w:lang w:val="es-CO"/>
        </w:rPr>
        <w:t xml:space="preserve">. Se aplicarán buenas prácticas de costo: trabajo exclusivo en us-west-2 para evitar transferencia entre regiones, conversión temprana a Parquet con </w:t>
      </w:r>
      <w:proofErr w:type="spellStart"/>
      <w:r w:rsidRPr="0055567A">
        <w:rPr>
          <w:lang w:val="es-CO"/>
        </w:rPr>
        <w:t>Snappy</w:t>
      </w:r>
      <w:proofErr w:type="spellEnd"/>
      <w:r w:rsidRPr="0055567A">
        <w:rPr>
          <w:lang w:val="es-CO"/>
        </w:rPr>
        <w:t>, y filtrado por columnas y particiones en las consultas.</w:t>
      </w:r>
    </w:p>
    <w:p w14:paraId="123566DB" w14:textId="77777777" w:rsidR="00ED53B9" w:rsidRPr="0055567A" w:rsidRDefault="00000000">
      <w:pPr>
        <w:spacing w:before="160" w:after="100"/>
        <w:rPr>
          <w:lang w:val="es-CO"/>
        </w:rPr>
      </w:pPr>
      <w:r w:rsidRPr="0055567A">
        <w:rPr>
          <w:b/>
          <w:bCs/>
          <w:lang w:val="es-CO"/>
        </w:rPr>
        <w:t>Curso 3: SI7007/SI6004 Visualización de Datos</w:t>
      </w:r>
    </w:p>
    <w:p w14:paraId="25B7895F" w14:textId="77777777" w:rsidR="00ED53B9" w:rsidRPr="0055567A" w:rsidRDefault="00000000">
      <w:pPr>
        <w:spacing w:after="160" w:line="300" w:lineRule="auto"/>
        <w:jc w:val="both"/>
        <w:rPr>
          <w:lang w:val="es-CO"/>
        </w:rPr>
      </w:pPr>
      <w:r w:rsidRPr="0055567A">
        <w:rPr>
          <w:lang w:val="es-CO"/>
        </w:rPr>
        <w:t xml:space="preserve">La materia aporta la capa de presentación y análisis visual de resultados. Se construirán dos tableros complementarios. El primero, interactivo, se desarrollará en </w:t>
      </w:r>
      <w:proofErr w:type="spellStart"/>
      <w:r w:rsidRPr="0055567A">
        <w:rPr>
          <w:lang w:val="es-CO"/>
        </w:rPr>
        <w:t>Streamlit</w:t>
      </w:r>
      <w:proofErr w:type="spellEnd"/>
      <w:r w:rsidRPr="0055567A">
        <w:rPr>
          <w:lang w:val="es-CO"/>
        </w:rPr>
        <w:t xml:space="preserve"> con las librerías </w:t>
      </w:r>
      <w:proofErr w:type="spellStart"/>
      <w:r w:rsidRPr="0055567A">
        <w:rPr>
          <w:lang w:val="es-CO"/>
        </w:rPr>
        <w:t>leafmap</w:t>
      </w:r>
      <w:proofErr w:type="spellEnd"/>
      <w:r w:rsidRPr="0055567A">
        <w:rPr>
          <w:lang w:val="es-CO"/>
        </w:rPr>
        <w:t xml:space="preserve">, </w:t>
      </w:r>
      <w:proofErr w:type="spellStart"/>
      <w:r w:rsidRPr="0055567A">
        <w:rPr>
          <w:lang w:val="es-CO"/>
        </w:rPr>
        <w:t>folium</w:t>
      </w:r>
      <w:proofErr w:type="spellEnd"/>
      <w:r w:rsidRPr="0055567A">
        <w:rPr>
          <w:lang w:val="es-CO"/>
        </w:rPr>
        <w:t xml:space="preserve"> y </w:t>
      </w:r>
      <w:proofErr w:type="spellStart"/>
      <w:r w:rsidRPr="0055567A">
        <w:rPr>
          <w:lang w:val="es-CO"/>
        </w:rPr>
        <w:t>plotly</w:t>
      </w:r>
      <w:proofErr w:type="spellEnd"/>
      <w:r w:rsidRPr="0055567A">
        <w:rPr>
          <w:lang w:val="es-CO"/>
        </w:rPr>
        <w:t xml:space="preserve">, e incluirá un mapa de alertas con capas conmutables (detección del modelo, Hansen GFC, </w:t>
      </w:r>
      <w:proofErr w:type="spellStart"/>
      <w:r w:rsidRPr="0055567A">
        <w:rPr>
          <w:lang w:val="es-CO"/>
        </w:rPr>
        <w:t>SMByC</w:t>
      </w:r>
      <w:proofErr w:type="spellEnd"/>
      <w:r w:rsidRPr="0055567A">
        <w:rPr>
          <w:lang w:val="es-CO"/>
        </w:rPr>
        <w:t xml:space="preserve">-IDEAM), una serie temporal de hectáreas detectadas por trimestre, un comparador pre/post con deslizador sobre escenas Sentinel-2 en color verdadero y falso color (SWIR–NIR–Red), un panel de filtros por municipio y área protegida, y una vista de diagnóstico espacial con mapas de I de Moran local y residuos del modelo por bloque. El segundo, ejecutivo, se desarrollará en </w:t>
      </w:r>
      <w:proofErr w:type="spellStart"/>
      <w:r w:rsidRPr="0055567A">
        <w:rPr>
          <w:lang w:val="es-CO"/>
        </w:rPr>
        <w:t>Tableau</w:t>
      </w:r>
      <w:proofErr w:type="spellEnd"/>
      <w:r w:rsidRPr="0055567A">
        <w:rPr>
          <w:lang w:val="es-CO"/>
        </w:rPr>
        <w:t xml:space="preserve"> Public con conexión a los datos agregados en formato CSV/Parquet y presentará un resumen por departamento, la tendencia histórica frente a los reportes IDEAM, una tabla de municipios priorizados y el coeficiente de concordancia de Lin entre las estimaciones del modelo y las cifras institucionales. Los principios de diseño siguen las recomendaciones de Tufte sobre ratio dato-tinta y minimización de elementos no informativos.</w:t>
      </w:r>
    </w:p>
    <w:p w14:paraId="0D1DC2A1" w14:textId="77777777" w:rsidR="00ED53B9" w:rsidRPr="0055567A" w:rsidRDefault="00000000">
      <w:pPr>
        <w:pStyle w:val="Ttulo2"/>
        <w:spacing w:before="280" w:after="160"/>
        <w:rPr>
          <w:lang w:val="es-CO"/>
        </w:rPr>
      </w:pPr>
      <w:r w:rsidRPr="0055567A">
        <w:rPr>
          <w:lang w:val="es-CO"/>
        </w:rPr>
        <w:t>Consideraciones para el desarrollo del proyecto</w:t>
      </w:r>
    </w:p>
    <w:p w14:paraId="49C0480B" w14:textId="77777777" w:rsidR="00ED53B9" w:rsidRPr="0055567A" w:rsidRDefault="00000000">
      <w:pPr>
        <w:spacing w:before="160" w:after="100"/>
        <w:rPr>
          <w:lang w:val="es-CO"/>
        </w:rPr>
      </w:pPr>
      <w:r w:rsidRPr="0055567A">
        <w:rPr>
          <w:b/>
          <w:bCs/>
          <w:lang w:val="es-CO"/>
        </w:rPr>
        <w:t>Condiciones sobre los datos</w:t>
      </w:r>
    </w:p>
    <w:p w14:paraId="7098B89E" w14:textId="77777777" w:rsidR="00ED53B9" w:rsidRPr="0055567A" w:rsidRDefault="00000000">
      <w:pPr>
        <w:spacing w:after="160" w:line="300" w:lineRule="auto"/>
        <w:jc w:val="both"/>
        <w:rPr>
          <w:lang w:val="es-CO"/>
        </w:rPr>
      </w:pPr>
      <w:r w:rsidRPr="0055567A">
        <w:rPr>
          <w:lang w:val="es-CO"/>
        </w:rPr>
        <w:t xml:space="preserve">La nubosidad persistente en la Amazonía colombiana reduce la disponibilidad efectiva de observaciones Sentinel-2 por píxel y por mes. Se mitigará mediante composiciones trimestrales con agregación por mediana y percentil 25, y filtrado por máscara SCL. Las etiquetas de Hansen GFC tienen resolución de 30 m y periodicidad anual, lo que introduce un límite inferior en la granularidad </w:t>
      </w:r>
      <w:proofErr w:type="gramStart"/>
      <w:r w:rsidRPr="0055567A">
        <w:rPr>
          <w:lang w:val="es-CO"/>
        </w:rPr>
        <w:t>espacio-temporal</w:t>
      </w:r>
      <w:proofErr w:type="gramEnd"/>
      <w:r w:rsidRPr="0055567A">
        <w:rPr>
          <w:lang w:val="es-CO"/>
        </w:rPr>
        <w:t xml:space="preserve"> del modelo. El desbalance de clases (píxeles deforestados frente al total) se abordará con muestreo balanceado y función de pérdida focal. La dependencia espacial entre observaciones se diagnostica mediante I de Moran y </w:t>
      </w:r>
      <w:proofErr w:type="spellStart"/>
      <w:r w:rsidRPr="0055567A">
        <w:rPr>
          <w:lang w:val="es-CO"/>
        </w:rPr>
        <w:t>semivariograma</w:t>
      </w:r>
      <w:proofErr w:type="spellEnd"/>
      <w:r w:rsidRPr="0055567A">
        <w:rPr>
          <w:lang w:val="es-CO"/>
        </w:rPr>
        <w:t>, y se controla mediante partición espacial por bloques.</w:t>
      </w:r>
    </w:p>
    <w:p w14:paraId="2DEF7172" w14:textId="77777777" w:rsidR="00ED53B9" w:rsidRPr="0055567A" w:rsidRDefault="00000000">
      <w:pPr>
        <w:spacing w:before="160" w:after="100"/>
        <w:rPr>
          <w:lang w:val="es-CO"/>
        </w:rPr>
      </w:pPr>
      <w:r w:rsidRPr="0055567A">
        <w:rPr>
          <w:b/>
          <w:bCs/>
          <w:lang w:val="es-CO"/>
        </w:rPr>
        <w:t>Condiciones sobre la tecnología</w:t>
      </w:r>
    </w:p>
    <w:p w14:paraId="55DFF98E" w14:textId="77777777" w:rsidR="00ED53B9" w:rsidRPr="0055567A" w:rsidRDefault="00000000">
      <w:pPr>
        <w:spacing w:after="160" w:line="300" w:lineRule="auto"/>
        <w:jc w:val="both"/>
        <w:rPr>
          <w:lang w:val="es-CO"/>
        </w:rPr>
      </w:pPr>
      <w:r w:rsidRPr="0055567A">
        <w:rPr>
          <w:lang w:val="es-CO"/>
        </w:rPr>
        <w:t xml:space="preserve">El cómputo se ejecuta dentro del AWS Free Tier vigente desde julio de 2025, que ofrece a las cuentas nuevas un saldo inicial de hasta 200 dólares en créditos durante un periodo de seis meses, con acceso a más de 30 servicios siempre gratuitos. El equipo complementa este recurso con </w:t>
      </w:r>
      <w:proofErr w:type="spellStart"/>
      <w:r w:rsidRPr="0055567A">
        <w:rPr>
          <w:lang w:val="es-CO"/>
        </w:rPr>
        <w:t>SageMaker</w:t>
      </w:r>
      <w:proofErr w:type="spellEnd"/>
      <w:r w:rsidRPr="0055567A">
        <w:rPr>
          <w:lang w:val="es-CO"/>
        </w:rPr>
        <w:t xml:space="preserve"> Studio Lab, un servicio gratuito independiente del AWS Free Tier que ofrece sesiones de notebook con CPU (12 horas) y GPU T4 (4 horas) y 25 GB de almacenamiento persistente. Esta combinación impone tamaños de </w:t>
      </w:r>
      <w:proofErr w:type="spellStart"/>
      <w:r w:rsidRPr="0055567A">
        <w:rPr>
          <w:lang w:val="es-CO"/>
        </w:rPr>
        <w:t>batch</w:t>
      </w:r>
      <w:proofErr w:type="spellEnd"/>
      <w:r w:rsidRPr="0055567A">
        <w:rPr>
          <w:lang w:val="es-CO"/>
        </w:rPr>
        <w:t xml:space="preserve"> reducidos durante el fine-</w:t>
      </w:r>
      <w:proofErr w:type="spellStart"/>
      <w:r w:rsidRPr="0055567A">
        <w:rPr>
          <w:lang w:val="es-CO"/>
        </w:rPr>
        <w:t>tuning</w:t>
      </w:r>
      <w:proofErr w:type="spellEnd"/>
      <w:r w:rsidRPr="0055567A">
        <w:rPr>
          <w:lang w:val="es-CO"/>
        </w:rPr>
        <w:t xml:space="preserve"> y obliga al uso de transfer </w:t>
      </w:r>
      <w:proofErr w:type="spellStart"/>
      <w:r w:rsidRPr="0055567A">
        <w:rPr>
          <w:lang w:val="es-CO"/>
        </w:rPr>
        <w:t>learning</w:t>
      </w:r>
      <w:proofErr w:type="spellEnd"/>
      <w:r w:rsidRPr="0055567A">
        <w:rPr>
          <w:lang w:val="es-CO"/>
        </w:rPr>
        <w:t xml:space="preserve"> sobre </w:t>
      </w:r>
      <w:proofErr w:type="spellStart"/>
      <w:r w:rsidRPr="0055567A">
        <w:rPr>
          <w:lang w:val="es-CO"/>
        </w:rPr>
        <w:t>encoders</w:t>
      </w:r>
      <w:proofErr w:type="spellEnd"/>
      <w:r w:rsidRPr="0055567A">
        <w:rPr>
          <w:lang w:val="es-CO"/>
        </w:rPr>
        <w:t xml:space="preserve"> </w:t>
      </w:r>
      <w:proofErr w:type="spellStart"/>
      <w:r w:rsidRPr="0055567A">
        <w:rPr>
          <w:lang w:val="es-CO"/>
        </w:rPr>
        <w:t>preentrenados</w:t>
      </w:r>
      <w:proofErr w:type="spellEnd"/>
      <w:r w:rsidRPr="0055567A">
        <w:rPr>
          <w:lang w:val="es-CO"/>
        </w:rPr>
        <w:t xml:space="preserve">, en lugar de entrenamiento desde cero. La ejecución se realiza preferentemente en la región us-west-2, donde residen los </w:t>
      </w:r>
      <w:proofErr w:type="spellStart"/>
      <w:r w:rsidRPr="0055567A">
        <w:rPr>
          <w:lang w:val="es-CO"/>
        </w:rPr>
        <w:t>buckets</w:t>
      </w:r>
      <w:proofErr w:type="spellEnd"/>
      <w:r w:rsidRPr="0055567A">
        <w:rPr>
          <w:lang w:val="es-CO"/>
        </w:rPr>
        <w:t xml:space="preserve"> públicos de Sentinel-2, Sentinel-1, </w:t>
      </w:r>
      <w:proofErr w:type="spellStart"/>
      <w:r w:rsidRPr="0055567A">
        <w:rPr>
          <w:lang w:val="es-CO"/>
        </w:rPr>
        <w:t>Copernicus</w:t>
      </w:r>
      <w:proofErr w:type="spellEnd"/>
      <w:r w:rsidRPr="0055567A">
        <w:rPr>
          <w:lang w:val="es-CO"/>
        </w:rPr>
        <w:t xml:space="preserve"> DEM y Landsat </w:t>
      </w:r>
      <w:proofErr w:type="spellStart"/>
      <w:r w:rsidRPr="0055567A">
        <w:rPr>
          <w:lang w:val="es-CO"/>
        </w:rPr>
        <w:t>Collection</w:t>
      </w:r>
      <w:proofErr w:type="spellEnd"/>
      <w:r w:rsidRPr="0055567A">
        <w:rPr>
          <w:lang w:val="es-CO"/>
        </w:rPr>
        <w:t xml:space="preserve"> 2 indexados por Earth-Search, lo que evita costos de transferencia entre regiones.</w:t>
      </w:r>
    </w:p>
    <w:p w14:paraId="0C759FF2" w14:textId="77777777" w:rsidR="00ED53B9" w:rsidRPr="0055567A" w:rsidRDefault="00000000">
      <w:pPr>
        <w:spacing w:before="160" w:after="100"/>
        <w:rPr>
          <w:lang w:val="es-CO"/>
        </w:rPr>
      </w:pPr>
      <w:r w:rsidRPr="0055567A">
        <w:rPr>
          <w:b/>
          <w:bCs/>
          <w:lang w:val="es-CO"/>
        </w:rPr>
        <w:lastRenderedPageBreak/>
        <w:t>Restricciones</w:t>
      </w:r>
    </w:p>
    <w:p w14:paraId="1785B4D9" w14:textId="77777777" w:rsidR="00ED53B9" w:rsidRPr="0055567A" w:rsidRDefault="00000000">
      <w:pPr>
        <w:spacing w:after="160" w:line="300" w:lineRule="auto"/>
        <w:jc w:val="both"/>
        <w:rPr>
          <w:lang w:val="es-CO"/>
        </w:rPr>
      </w:pPr>
      <w:r w:rsidRPr="0055567A">
        <w:rPr>
          <w:lang w:val="es-CO"/>
        </w:rPr>
        <w:t xml:space="preserve">El alcance espacial se limita a un área de interés de aproximadamente 5.000 km² sobre el arco amazónico (municipios de Cartagena del </w:t>
      </w:r>
      <w:proofErr w:type="spellStart"/>
      <w:r w:rsidRPr="0055567A">
        <w:rPr>
          <w:lang w:val="es-CO"/>
        </w:rPr>
        <w:t>Chairá</w:t>
      </w:r>
      <w:proofErr w:type="spellEnd"/>
      <w:r w:rsidRPr="0055567A">
        <w:rPr>
          <w:lang w:val="es-CO"/>
        </w:rPr>
        <w:t xml:space="preserve"> y San Vicente del Caguán, departamento del Caquetá). El alcance metodológico excluye arquitecturas </w:t>
      </w:r>
      <w:proofErr w:type="spellStart"/>
      <w:r w:rsidRPr="0055567A">
        <w:rPr>
          <w:lang w:val="es-CO"/>
        </w:rPr>
        <w:t>multisensor</w:t>
      </w:r>
      <w:proofErr w:type="spellEnd"/>
      <w:r w:rsidRPr="0055567A">
        <w:rPr>
          <w:lang w:val="es-CO"/>
        </w:rPr>
        <w:t xml:space="preserve"> (Sentinel-1 SAR) y modelos fundacionales grandes (Prithvi-EO-2.0 de 600M parámetros), que se identificaron como trabajos futuros posibles.</w:t>
      </w:r>
    </w:p>
    <w:p w14:paraId="7F77A991" w14:textId="77777777" w:rsidR="00ED53B9" w:rsidRDefault="00000000">
      <w:pPr>
        <w:spacing w:before="160" w:after="100"/>
      </w:pPr>
      <w:proofErr w:type="spellStart"/>
      <w:r>
        <w:rPr>
          <w:b/>
          <w:bCs/>
        </w:rPr>
        <w:t>Riesgos</w:t>
      </w:r>
      <w:proofErr w:type="spellEnd"/>
    </w:p>
    <w:p w14:paraId="2CB11D7B" w14:textId="77777777" w:rsidR="00ED53B9" w:rsidRPr="0055567A" w:rsidRDefault="00000000">
      <w:pPr>
        <w:pStyle w:val="Prrafodelista"/>
        <w:numPr>
          <w:ilvl w:val="0"/>
          <w:numId w:val="2"/>
        </w:numPr>
        <w:spacing w:after="100" w:line="280" w:lineRule="auto"/>
        <w:jc w:val="both"/>
        <w:rPr>
          <w:lang w:val="es-CO"/>
        </w:rPr>
      </w:pPr>
      <w:r w:rsidRPr="0055567A">
        <w:rPr>
          <w:lang w:val="es-CO"/>
        </w:rPr>
        <w:t>Nubosidad superior a la esperada en el trimestre de interés: mitigación por ampliación del periodo de composición o por incorporación de observaciones Landsat 8/9.</w:t>
      </w:r>
    </w:p>
    <w:p w14:paraId="21C4D0A0" w14:textId="77777777" w:rsidR="00ED53B9" w:rsidRPr="0055567A" w:rsidRDefault="00000000">
      <w:pPr>
        <w:pStyle w:val="Prrafodelista"/>
        <w:numPr>
          <w:ilvl w:val="0"/>
          <w:numId w:val="2"/>
        </w:numPr>
        <w:spacing w:after="100" w:line="280" w:lineRule="auto"/>
        <w:jc w:val="both"/>
        <w:rPr>
          <w:lang w:val="es-CO"/>
        </w:rPr>
      </w:pPr>
      <w:r w:rsidRPr="0055567A">
        <w:rPr>
          <w:lang w:val="es-CO"/>
        </w:rPr>
        <w:t>Desbalance severo de clases y artefactos en las etiquetas: mitigación por función de pérdida focal, muestreo balanceado y filtrado de polígonos muy pequeños de Hansen GFC.</w:t>
      </w:r>
    </w:p>
    <w:p w14:paraId="168454E8"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Restricciones de cómputo en AWS Free Tier: mitigación por ejecución preferente en </w:t>
      </w:r>
      <w:proofErr w:type="spellStart"/>
      <w:r w:rsidRPr="0055567A">
        <w:rPr>
          <w:lang w:val="es-CO"/>
        </w:rPr>
        <w:t>SageMaker</w:t>
      </w:r>
      <w:proofErr w:type="spellEnd"/>
      <w:r w:rsidRPr="0055567A">
        <w:rPr>
          <w:lang w:val="es-CO"/>
        </w:rPr>
        <w:t xml:space="preserve"> Studio Lab y configuración de alertas de presupuesto.</w:t>
      </w:r>
    </w:p>
    <w:p w14:paraId="6DBA0665" w14:textId="77777777" w:rsidR="00ED53B9" w:rsidRPr="0055567A" w:rsidRDefault="00000000">
      <w:pPr>
        <w:pStyle w:val="Prrafodelista"/>
        <w:numPr>
          <w:ilvl w:val="0"/>
          <w:numId w:val="2"/>
        </w:numPr>
        <w:spacing w:after="100" w:line="280" w:lineRule="auto"/>
        <w:jc w:val="both"/>
        <w:rPr>
          <w:lang w:val="es-CO"/>
        </w:rPr>
      </w:pPr>
      <w:r w:rsidRPr="0055567A">
        <w:rPr>
          <w:lang w:val="es-CO"/>
        </w:rPr>
        <w:t xml:space="preserve">Tiempo limitado a cuatro semanas: mitigación por alcance acotado, uso intensivo de librerías y modelos </w:t>
      </w:r>
      <w:proofErr w:type="spellStart"/>
      <w:r w:rsidRPr="0055567A">
        <w:rPr>
          <w:lang w:val="es-CO"/>
        </w:rPr>
        <w:t>preentrenados</w:t>
      </w:r>
      <w:proofErr w:type="spellEnd"/>
      <w:r w:rsidRPr="0055567A">
        <w:rPr>
          <w:lang w:val="es-CO"/>
        </w:rPr>
        <w:t xml:space="preserve">, y desarrollo incremental con </w:t>
      </w:r>
      <w:proofErr w:type="spellStart"/>
      <w:r w:rsidRPr="0055567A">
        <w:rPr>
          <w:lang w:val="es-CO"/>
        </w:rPr>
        <w:t>baseline</w:t>
      </w:r>
      <w:proofErr w:type="spellEnd"/>
      <w:r w:rsidRPr="0055567A">
        <w:rPr>
          <w:lang w:val="es-CO"/>
        </w:rPr>
        <w:t xml:space="preserve"> funcional al final de la segunda semana.</w:t>
      </w:r>
    </w:p>
    <w:p w14:paraId="149440C9" w14:textId="77777777" w:rsidR="00ED53B9" w:rsidRPr="0055567A" w:rsidRDefault="00000000">
      <w:pPr>
        <w:pStyle w:val="Prrafodelista"/>
        <w:numPr>
          <w:ilvl w:val="0"/>
          <w:numId w:val="2"/>
        </w:numPr>
        <w:spacing w:after="100" w:line="280" w:lineRule="auto"/>
        <w:jc w:val="both"/>
        <w:rPr>
          <w:lang w:val="es-CO"/>
        </w:rPr>
      </w:pPr>
      <w:r w:rsidRPr="0055567A">
        <w:rPr>
          <w:lang w:val="es-CO"/>
        </w:rPr>
        <w:t>Sobreestimación de desempeño por dependencia espacial: mitigación por partición espacial por bloques y reporte paralelo de métricas bajo validación aleatoria y espacial.</w:t>
      </w:r>
    </w:p>
    <w:p w14:paraId="16862EAC" w14:textId="77777777" w:rsidR="00ED53B9" w:rsidRPr="0055567A" w:rsidRDefault="00000000">
      <w:pPr>
        <w:spacing w:before="160" w:after="100"/>
        <w:rPr>
          <w:lang w:val="es-CO"/>
        </w:rPr>
      </w:pPr>
      <w:r w:rsidRPr="0055567A">
        <w:rPr>
          <w:b/>
          <w:bCs/>
          <w:lang w:val="es-CO"/>
        </w:rPr>
        <w:t>Propiedad intelectual y derechos de autor</w:t>
      </w:r>
    </w:p>
    <w:p w14:paraId="34B9332F" w14:textId="77777777" w:rsidR="00ED53B9" w:rsidRDefault="00000000">
      <w:pPr>
        <w:spacing w:after="160" w:line="300" w:lineRule="auto"/>
        <w:jc w:val="both"/>
        <w:rPr>
          <w:lang w:val="es-CO"/>
        </w:rPr>
      </w:pPr>
      <w:r w:rsidRPr="0055567A">
        <w:rPr>
          <w:lang w:val="es-CO"/>
        </w:rPr>
        <w:t xml:space="preserve">Las imágenes Sentinel-2 se utilizan bajo la política de datos libres de </w:t>
      </w:r>
      <w:proofErr w:type="spellStart"/>
      <w:r w:rsidRPr="0055567A">
        <w:rPr>
          <w:lang w:val="es-CO"/>
        </w:rPr>
        <w:t>Copernicus</w:t>
      </w:r>
      <w:proofErr w:type="spellEnd"/>
      <w:r w:rsidRPr="0055567A">
        <w:rPr>
          <w:lang w:val="es-CO"/>
        </w:rPr>
        <w:t xml:space="preserve">. Hansen Global Forest Change se utiliza bajo licencia Creative Commons </w:t>
      </w:r>
      <w:proofErr w:type="spellStart"/>
      <w:r w:rsidRPr="0055567A">
        <w:rPr>
          <w:lang w:val="es-CO"/>
        </w:rPr>
        <w:t>Attribution</w:t>
      </w:r>
      <w:proofErr w:type="spellEnd"/>
      <w:r w:rsidRPr="0055567A">
        <w:rPr>
          <w:lang w:val="es-CO"/>
        </w:rPr>
        <w:t xml:space="preserve"> 4.0. Los productos del </w:t>
      </w:r>
      <w:proofErr w:type="spellStart"/>
      <w:r w:rsidRPr="0055567A">
        <w:rPr>
          <w:lang w:val="es-CO"/>
        </w:rPr>
        <w:t>SMByC</w:t>
      </w:r>
      <w:proofErr w:type="spellEnd"/>
      <w:r w:rsidRPr="0055567A">
        <w:rPr>
          <w:lang w:val="es-CO"/>
        </w:rPr>
        <w:t>-IDEAM son públicos y se citan según las indicaciones del Instituto. El código desarrollado por el equipo se publicará bajo licencia MIT. Las figuras, redacciones y resultados del informe académico son propiedad del equipo y de la universidad. Las coordenadas de detección no se publicarán por debajo del nivel municipal.</w:t>
      </w:r>
    </w:p>
    <w:p w14:paraId="218A081B" w14:textId="77777777" w:rsidR="0055567A" w:rsidRDefault="0055567A">
      <w:pPr>
        <w:spacing w:after="160" w:line="300" w:lineRule="auto"/>
        <w:jc w:val="both"/>
        <w:rPr>
          <w:lang w:val="es-CO"/>
        </w:rPr>
      </w:pPr>
    </w:p>
    <w:p w14:paraId="2433B1A6" w14:textId="77777777" w:rsidR="0055567A" w:rsidRDefault="0055567A">
      <w:pPr>
        <w:spacing w:after="160" w:line="300" w:lineRule="auto"/>
        <w:jc w:val="both"/>
        <w:rPr>
          <w:lang w:val="es-CO"/>
        </w:rPr>
      </w:pPr>
    </w:p>
    <w:p w14:paraId="31844337" w14:textId="77777777" w:rsidR="0055567A" w:rsidRDefault="0055567A">
      <w:pPr>
        <w:spacing w:after="160" w:line="300" w:lineRule="auto"/>
        <w:jc w:val="both"/>
        <w:rPr>
          <w:lang w:val="es-CO"/>
        </w:rPr>
      </w:pPr>
    </w:p>
    <w:p w14:paraId="1707FA88" w14:textId="77777777" w:rsidR="0055567A" w:rsidRDefault="0055567A">
      <w:pPr>
        <w:spacing w:after="160" w:line="300" w:lineRule="auto"/>
        <w:jc w:val="both"/>
        <w:rPr>
          <w:lang w:val="es-CO"/>
        </w:rPr>
      </w:pPr>
    </w:p>
    <w:p w14:paraId="60BD9E37" w14:textId="77777777" w:rsidR="0055567A" w:rsidRDefault="0055567A">
      <w:pPr>
        <w:spacing w:after="160" w:line="300" w:lineRule="auto"/>
        <w:jc w:val="both"/>
        <w:rPr>
          <w:lang w:val="es-CO"/>
        </w:rPr>
      </w:pPr>
    </w:p>
    <w:p w14:paraId="6C3EBF7D" w14:textId="77777777" w:rsidR="0055567A" w:rsidRDefault="0055567A">
      <w:pPr>
        <w:spacing w:after="160" w:line="300" w:lineRule="auto"/>
        <w:jc w:val="both"/>
        <w:rPr>
          <w:lang w:val="es-CO"/>
        </w:rPr>
      </w:pPr>
    </w:p>
    <w:p w14:paraId="784D7179" w14:textId="77777777" w:rsidR="0055567A" w:rsidRDefault="0055567A">
      <w:pPr>
        <w:spacing w:after="160" w:line="300" w:lineRule="auto"/>
        <w:jc w:val="both"/>
        <w:rPr>
          <w:lang w:val="es-CO"/>
        </w:rPr>
      </w:pPr>
    </w:p>
    <w:p w14:paraId="0644173A" w14:textId="77777777" w:rsidR="0055567A" w:rsidRPr="0055567A" w:rsidRDefault="0055567A">
      <w:pPr>
        <w:spacing w:after="160" w:line="300" w:lineRule="auto"/>
        <w:jc w:val="both"/>
        <w:rPr>
          <w:lang w:val="es-CO"/>
        </w:rPr>
      </w:pPr>
    </w:p>
    <w:p w14:paraId="3FED5C7A" w14:textId="77777777" w:rsidR="00ED53B9" w:rsidRPr="0055567A" w:rsidRDefault="00000000">
      <w:pPr>
        <w:pStyle w:val="Ttulo2"/>
        <w:spacing w:before="280" w:after="160"/>
        <w:rPr>
          <w:lang w:val="es-CO"/>
        </w:rPr>
      </w:pPr>
      <w:r w:rsidRPr="0055567A">
        <w:rPr>
          <w:lang w:val="es-CO"/>
        </w:rPr>
        <w:lastRenderedPageBreak/>
        <w:t>Referencias bibliográficas</w:t>
      </w:r>
    </w:p>
    <w:p w14:paraId="10019C53" w14:textId="77777777" w:rsidR="00ED53B9" w:rsidRDefault="00000000">
      <w:pPr>
        <w:spacing w:after="160" w:line="300" w:lineRule="auto"/>
        <w:ind w:left="720" w:hanging="720"/>
        <w:jc w:val="both"/>
      </w:pPr>
      <w:proofErr w:type="spellStart"/>
      <w:r w:rsidRPr="0055567A">
        <w:rPr>
          <w:lang w:val="es-CO"/>
        </w:rPr>
        <w:t>Armenteras</w:t>
      </w:r>
      <w:proofErr w:type="spellEnd"/>
      <w:r w:rsidRPr="0055567A">
        <w:rPr>
          <w:lang w:val="es-CO"/>
        </w:rPr>
        <w:t xml:space="preserve">, D., Dávalos, L. M., Barreto, J. S., Miranda, A., Hernández-Moreno, A., Zamorano-Elgueta, C., González-Delgado, T. M., Meza-Elizalde, M. C., &amp; Retana, J. (2021). </w:t>
      </w:r>
      <w:r>
        <w:t xml:space="preserve">Fire-induced loss of the world’s most biodiverse forests in Latin America. </w:t>
      </w:r>
      <w:r>
        <w:rPr>
          <w:i/>
          <w:iCs/>
        </w:rPr>
        <w:t>Science Advances, 7</w:t>
      </w:r>
      <w:r>
        <w:t>(33), eabd3357. https://doi.org/10.1126/sciadv.abd3357</w:t>
      </w:r>
    </w:p>
    <w:p w14:paraId="28D6D420" w14:textId="77777777" w:rsidR="00ED53B9" w:rsidRDefault="00000000">
      <w:pPr>
        <w:spacing w:after="160" w:line="300" w:lineRule="auto"/>
        <w:ind w:left="720" w:hanging="720"/>
        <w:jc w:val="both"/>
      </w:pPr>
      <w:proofErr w:type="spellStart"/>
      <w:r>
        <w:t>Breiman</w:t>
      </w:r>
      <w:proofErr w:type="spellEnd"/>
      <w:r>
        <w:t xml:space="preserve">, L. (2001). Random forests. </w:t>
      </w:r>
      <w:r>
        <w:rPr>
          <w:i/>
          <w:iCs/>
        </w:rPr>
        <w:t>Machine Learning, 45</w:t>
      </w:r>
      <w:r>
        <w:t>(1), 5–32. https://doi.org/10.1023/A:1010933404324</w:t>
      </w:r>
    </w:p>
    <w:p w14:paraId="54949D66" w14:textId="77777777" w:rsidR="00ED53B9" w:rsidRDefault="00000000">
      <w:pPr>
        <w:spacing w:after="160" w:line="300" w:lineRule="auto"/>
        <w:ind w:left="720" w:hanging="720"/>
        <w:jc w:val="both"/>
      </w:pPr>
      <w:r>
        <w:t xml:space="preserve">Chapman, P., Clinton, J., Kerber, R., </w:t>
      </w:r>
      <w:proofErr w:type="spellStart"/>
      <w:r>
        <w:t>Khabaza</w:t>
      </w:r>
      <w:proofErr w:type="spellEnd"/>
      <w:r>
        <w:t xml:space="preserve">, T., Reinartz, T., Shearer, C., &amp; Wirth, R. (2000). </w:t>
      </w:r>
      <w:r>
        <w:rPr>
          <w:i/>
          <w:iCs/>
        </w:rPr>
        <w:t>CRISP-DM 1.0: Step-by-step data mining guide</w:t>
      </w:r>
      <w:r>
        <w:t>. SPSS Inc.</w:t>
      </w:r>
    </w:p>
    <w:p w14:paraId="646740B9" w14:textId="77777777" w:rsidR="00ED53B9" w:rsidRDefault="00000000">
      <w:pPr>
        <w:spacing w:after="160" w:line="300" w:lineRule="auto"/>
        <w:ind w:left="720" w:hanging="720"/>
        <w:jc w:val="both"/>
      </w:pPr>
      <w:r>
        <w:t xml:space="preserve">Chen, T., &amp; </w:t>
      </w:r>
      <w:proofErr w:type="spellStart"/>
      <w:r>
        <w:t>Guestrin</w:t>
      </w:r>
      <w:proofErr w:type="spellEnd"/>
      <w:r>
        <w:t xml:space="preserve">, C. (2016). </w:t>
      </w:r>
      <w:proofErr w:type="spellStart"/>
      <w:r>
        <w:t>XGBoost</w:t>
      </w:r>
      <w:proofErr w:type="spellEnd"/>
      <w:r>
        <w:t xml:space="preserve">: A scalable tree boosting system. En </w:t>
      </w:r>
      <w:r>
        <w:rPr>
          <w:i/>
          <w:iCs/>
        </w:rPr>
        <w:t>Proceedings of the 22nd ACM SIGKDD International Conference on Knowledge Discovery and Data Mining</w:t>
      </w:r>
      <w:r>
        <w:t xml:space="preserve"> (pp. 785–794). Association for Computing Machinery. https://doi.org/10.1145/2939672.2939785</w:t>
      </w:r>
    </w:p>
    <w:p w14:paraId="682ADDE9" w14:textId="77777777" w:rsidR="00ED53B9" w:rsidRDefault="00000000">
      <w:pPr>
        <w:spacing w:after="160" w:line="300" w:lineRule="auto"/>
        <w:ind w:left="720" w:hanging="720"/>
        <w:jc w:val="both"/>
      </w:pPr>
      <w:r>
        <w:t xml:space="preserve">Drusch, M., Del Bello, U., Carlier, S., Colin, O., Fernandez, V., Gascon, F., Hoersch, B., Isola, C., </w:t>
      </w:r>
      <w:proofErr w:type="spellStart"/>
      <w:r>
        <w:t>Laberinti</w:t>
      </w:r>
      <w:proofErr w:type="spellEnd"/>
      <w:r>
        <w:t xml:space="preserve">, P., </w:t>
      </w:r>
      <w:proofErr w:type="spellStart"/>
      <w:r>
        <w:t>Martimort</w:t>
      </w:r>
      <w:proofErr w:type="spellEnd"/>
      <w:r>
        <w:t xml:space="preserve">, P., Meygret, A., Spoto, F., Sy, O., Marchese, F., &amp; </w:t>
      </w:r>
      <w:proofErr w:type="spellStart"/>
      <w:r>
        <w:t>Bargellini</w:t>
      </w:r>
      <w:proofErr w:type="spellEnd"/>
      <w:r>
        <w:t xml:space="preserve">, P. (2012). Sentinel-2: ESA’s optical high-resolution mission for GMES operational services. </w:t>
      </w:r>
      <w:r>
        <w:rPr>
          <w:i/>
          <w:iCs/>
        </w:rPr>
        <w:t>Remote Sensing of Environment, 120</w:t>
      </w:r>
      <w:r>
        <w:t>, 25–36. https://doi.org/10.1016/j.rse.2011.11.026</w:t>
      </w:r>
    </w:p>
    <w:p w14:paraId="4F901247" w14:textId="77777777" w:rsidR="00ED53B9" w:rsidRPr="0055567A" w:rsidRDefault="00000000">
      <w:pPr>
        <w:spacing w:after="160" w:line="300" w:lineRule="auto"/>
        <w:ind w:left="720" w:hanging="720"/>
        <w:jc w:val="both"/>
        <w:rPr>
          <w:lang w:val="es-CO"/>
        </w:rPr>
      </w:pPr>
      <w:r>
        <w:t xml:space="preserve">Hansen, M. C., Potapov, P. V., Moore, R., Hancher, M., </w:t>
      </w:r>
      <w:proofErr w:type="spellStart"/>
      <w:r>
        <w:t>Turubanova</w:t>
      </w:r>
      <w:proofErr w:type="spellEnd"/>
      <w:r>
        <w:t xml:space="preserve">, S. A., </w:t>
      </w:r>
      <w:proofErr w:type="spellStart"/>
      <w:r>
        <w:t>Tyukavina</w:t>
      </w:r>
      <w:proofErr w:type="spellEnd"/>
      <w:r>
        <w:t xml:space="preserve">, A., Thau, D., Stehman, S. V., Goetz, S. J., Loveland, T. R., Kommareddy, A., Egorov, A., Chini, L., Justice, C. O., &amp; Townshend, J. R. G. (2013). High-resolution global maps of 21st-century forest cover change. </w:t>
      </w:r>
      <w:proofErr w:type="spellStart"/>
      <w:r w:rsidRPr="0055567A">
        <w:rPr>
          <w:i/>
          <w:iCs/>
          <w:lang w:val="es-CO"/>
        </w:rPr>
        <w:t>Science</w:t>
      </w:r>
      <w:proofErr w:type="spellEnd"/>
      <w:r w:rsidRPr="0055567A">
        <w:rPr>
          <w:i/>
          <w:iCs/>
          <w:lang w:val="es-CO"/>
        </w:rPr>
        <w:t>, 342</w:t>
      </w:r>
      <w:r w:rsidRPr="0055567A">
        <w:rPr>
          <w:lang w:val="es-CO"/>
        </w:rPr>
        <w:t>(6160), 850–853. https://doi.org/10.1126/science.1244693</w:t>
      </w:r>
    </w:p>
    <w:p w14:paraId="651A1771" w14:textId="77777777" w:rsidR="00ED53B9" w:rsidRPr="0055567A" w:rsidRDefault="00000000">
      <w:pPr>
        <w:spacing w:after="160" w:line="300" w:lineRule="auto"/>
        <w:ind w:left="720" w:hanging="720"/>
        <w:jc w:val="both"/>
        <w:rPr>
          <w:lang w:val="es-CO"/>
        </w:rPr>
      </w:pPr>
      <w:r w:rsidRPr="0055567A">
        <w:rPr>
          <w:lang w:val="es-CO"/>
        </w:rPr>
        <w:t xml:space="preserve">Instituto de Hidrología, Meteorología y Estudios Ambientales. (2025a). </w:t>
      </w:r>
      <w:r w:rsidRPr="0055567A">
        <w:rPr>
          <w:i/>
          <w:iCs/>
          <w:lang w:val="es-CO"/>
        </w:rPr>
        <w:t>Boletín de Detección Temprana de Deforestación N.º 42. Primer trimestre de 2025</w:t>
      </w:r>
      <w:r w:rsidRPr="0055567A">
        <w:rPr>
          <w:lang w:val="es-CO"/>
        </w:rPr>
        <w:t>. Sistema de Monitoreo de Bosques y Carbono. https://www.ideam.gov.co/sala-de-prensa/boletines/Bosques</w:t>
      </w:r>
    </w:p>
    <w:p w14:paraId="3502283D" w14:textId="77777777" w:rsidR="00ED53B9" w:rsidRPr="0055567A" w:rsidRDefault="00000000">
      <w:pPr>
        <w:spacing w:after="160" w:line="300" w:lineRule="auto"/>
        <w:ind w:left="720" w:hanging="720"/>
        <w:jc w:val="both"/>
        <w:rPr>
          <w:lang w:val="es-CO"/>
        </w:rPr>
      </w:pPr>
      <w:r w:rsidRPr="0055567A">
        <w:rPr>
          <w:lang w:val="es-CO"/>
        </w:rPr>
        <w:t xml:space="preserve">Instituto de Hidrología, Meteorología y Estudios Ambientales. (2026). </w:t>
      </w:r>
      <w:r w:rsidRPr="0055567A">
        <w:rPr>
          <w:i/>
          <w:iCs/>
          <w:lang w:val="es-CO"/>
        </w:rPr>
        <w:t>Boletín de Detección Temprana de Deforestación N.º 45. Cuarto trimestre de 2025 (octubre–diciembre)</w:t>
      </w:r>
      <w:r w:rsidRPr="0055567A">
        <w:rPr>
          <w:lang w:val="es-CO"/>
        </w:rPr>
        <w:t>. Sistema de Monitoreo de Bosques y Carbono. https://www.ideam.gov.co/sala-de-prensa/boletines/Bosques</w:t>
      </w:r>
    </w:p>
    <w:p w14:paraId="2ECE6C00" w14:textId="77777777" w:rsidR="00ED53B9" w:rsidRDefault="00000000">
      <w:pPr>
        <w:spacing w:after="160" w:line="300" w:lineRule="auto"/>
        <w:ind w:left="720" w:hanging="720"/>
        <w:jc w:val="both"/>
      </w:pPr>
      <w:r>
        <w:t xml:space="preserve">Karasiak, N., </w:t>
      </w:r>
      <w:proofErr w:type="spellStart"/>
      <w:r>
        <w:t>Dejoux</w:t>
      </w:r>
      <w:proofErr w:type="spellEnd"/>
      <w:r>
        <w:t xml:space="preserve">, J.-F., Monteil, C., &amp; Sheeren, D. (2022). Spatial dependence between training and test sets: Another pitfall of classification accuracy assessment in remote sensing. </w:t>
      </w:r>
      <w:r>
        <w:rPr>
          <w:i/>
          <w:iCs/>
        </w:rPr>
        <w:t>Machine Learning, 111</w:t>
      </w:r>
      <w:r>
        <w:t>(7), 2715–2740. https://doi.org/10.1007/s10994-021-05972-1</w:t>
      </w:r>
    </w:p>
    <w:p w14:paraId="40120C8C" w14:textId="77777777" w:rsidR="00ED53B9" w:rsidRDefault="00000000">
      <w:pPr>
        <w:spacing w:after="160" w:line="300" w:lineRule="auto"/>
        <w:ind w:left="720" w:hanging="720"/>
        <w:jc w:val="both"/>
      </w:pPr>
      <w:r>
        <w:t xml:space="preserve">Lin, L. I.-K. (1989). A concordance correlation coefficient to evaluate reproducibility. </w:t>
      </w:r>
      <w:r>
        <w:rPr>
          <w:i/>
          <w:iCs/>
        </w:rPr>
        <w:t>Biometrics, 45</w:t>
      </w:r>
      <w:r>
        <w:t>(1), 255–268. https://doi.org/10.2307/2532051</w:t>
      </w:r>
    </w:p>
    <w:p w14:paraId="0F783AD1" w14:textId="77777777" w:rsidR="00ED53B9" w:rsidRDefault="00000000">
      <w:pPr>
        <w:spacing w:after="160" w:line="300" w:lineRule="auto"/>
        <w:ind w:left="720" w:hanging="720"/>
        <w:jc w:val="both"/>
      </w:pPr>
      <w:r>
        <w:lastRenderedPageBreak/>
        <w:t xml:space="preserve">Lin, T.-Y., Goyal, P., Girshick, R., He, K., &amp; </w:t>
      </w:r>
      <w:proofErr w:type="spellStart"/>
      <w:r>
        <w:t>Dollár</w:t>
      </w:r>
      <w:proofErr w:type="spellEnd"/>
      <w:r>
        <w:t xml:space="preserve">, P. (2017). Focal loss for dense object detection. En </w:t>
      </w:r>
      <w:r>
        <w:rPr>
          <w:i/>
          <w:iCs/>
        </w:rPr>
        <w:t>2017 IEEE International Conference on Computer Vision (ICCV)</w:t>
      </w:r>
      <w:r>
        <w:t xml:space="preserve"> (pp. 2999–3007). IEEE. https://doi.org/10.1109/ICCV.2017.324</w:t>
      </w:r>
    </w:p>
    <w:p w14:paraId="1275233E" w14:textId="77777777" w:rsidR="00ED53B9" w:rsidRPr="0055567A" w:rsidRDefault="00000000">
      <w:pPr>
        <w:spacing w:after="160" w:line="300" w:lineRule="auto"/>
        <w:ind w:left="720" w:hanging="720"/>
        <w:jc w:val="both"/>
        <w:rPr>
          <w:lang w:val="es-CO"/>
        </w:rPr>
      </w:pPr>
      <w:r>
        <w:t xml:space="preserve">Moran, P. A. P. (1950). Notes on continuous stochastic phenomena. </w:t>
      </w:r>
      <w:proofErr w:type="spellStart"/>
      <w:r w:rsidRPr="0055567A">
        <w:rPr>
          <w:i/>
          <w:iCs/>
          <w:lang w:val="es-CO"/>
        </w:rPr>
        <w:t>Biometrika</w:t>
      </w:r>
      <w:proofErr w:type="spellEnd"/>
      <w:r w:rsidRPr="0055567A">
        <w:rPr>
          <w:i/>
          <w:iCs/>
          <w:lang w:val="es-CO"/>
        </w:rPr>
        <w:t>, 37</w:t>
      </w:r>
      <w:r w:rsidRPr="0055567A">
        <w:rPr>
          <w:lang w:val="es-CO"/>
        </w:rPr>
        <w:t>(1-2), 17–23. https://doi.org/10.1093/biomet/37.1-2.17</w:t>
      </w:r>
    </w:p>
    <w:p w14:paraId="32D5C7A8" w14:textId="77777777" w:rsidR="00ED53B9" w:rsidRDefault="00000000">
      <w:pPr>
        <w:spacing w:after="160" w:line="300" w:lineRule="auto"/>
        <w:ind w:left="720" w:hanging="720"/>
        <w:jc w:val="both"/>
      </w:pPr>
      <w:r w:rsidRPr="0055567A">
        <w:rPr>
          <w:lang w:val="es-CO"/>
        </w:rPr>
        <w:t>Pacheco-</w:t>
      </w:r>
      <w:proofErr w:type="spellStart"/>
      <w:r w:rsidRPr="0055567A">
        <w:rPr>
          <w:lang w:val="es-CO"/>
        </w:rPr>
        <w:t>Pascagaza</w:t>
      </w:r>
      <w:proofErr w:type="spellEnd"/>
      <w:r w:rsidRPr="0055567A">
        <w:rPr>
          <w:lang w:val="es-CO"/>
        </w:rPr>
        <w:t xml:space="preserve">, A. M., </w:t>
      </w:r>
      <w:proofErr w:type="spellStart"/>
      <w:r w:rsidRPr="0055567A">
        <w:rPr>
          <w:lang w:val="es-CO"/>
        </w:rPr>
        <w:t>Gou</w:t>
      </w:r>
      <w:proofErr w:type="spellEnd"/>
      <w:r w:rsidRPr="0055567A">
        <w:rPr>
          <w:lang w:val="es-CO"/>
        </w:rPr>
        <w:t xml:space="preserve">, Y., Louis, V., Roberts, J. F., Rodríguez-Veiga, P., da Conceição Bispo, P., Espírito-Santo, F. D. B., Robb, C., Upton, C., Galindo, G., Cabrera, E., Pachón Cendales, I. P., Castillo Santiago, M. A., Carrillo Negrete, O., Meneses, C., Iñiguez, M., &amp; </w:t>
      </w:r>
      <w:proofErr w:type="spellStart"/>
      <w:r w:rsidRPr="0055567A">
        <w:rPr>
          <w:lang w:val="es-CO"/>
        </w:rPr>
        <w:t>Balzter</w:t>
      </w:r>
      <w:proofErr w:type="spellEnd"/>
      <w:r w:rsidRPr="0055567A">
        <w:rPr>
          <w:lang w:val="es-CO"/>
        </w:rPr>
        <w:t xml:space="preserve">, H. (2022). </w:t>
      </w:r>
      <w:r>
        <w:t xml:space="preserve">Near real-time change detection system using Sentinel-2 and machine learning: A test for Mexican and Colombian forests. </w:t>
      </w:r>
      <w:r>
        <w:rPr>
          <w:i/>
          <w:iCs/>
        </w:rPr>
        <w:t>Remote Sensing, 14</w:t>
      </w:r>
      <w:r>
        <w:t>(3), 707. https://doi.org/10.3390/rs14030707</w:t>
      </w:r>
    </w:p>
    <w:p w14:paraId="4E595278" w14:textId="77777777" w:rsidR="00ED53B9" w:rsidRDefault="00000000">
      <w:pPr>
        <w:spacing w:after="160" w:line="300" w:lineRule="auto"/>
        <w:ind w:left="720" w:hanging="720"/>
        <w:jc w:val="both"/>
      </w:pPr>
      <w:proofErr w:type="spellStart"/>
      <w:r>
        <w:t>Ploton</w:t>
      </w:r>
      <w:proofErr w:type="spellEnd"/>
      <w:r>
        <w:t xml:space="preserve">, P., Mortier, F., </w:t>
      </w:r>
      <w:proofErr w:type="spellStart"/>
      <w:r>
        <w:t>Réjou-Méchain</w:t>
      </w:r>
      <w:proofErr w:type="spellEnd"/>
      <w:r>
        <w:t xml:space="preserve">, M., Barbier, N., Picard, N., Rossi, V., Dormann, C., Cornu, G., </w:t>
      </w:r>
      <w:proofErr w:type="spellStart"/>
      <w:r>
        <w:t>Viennois</w:t>
      </w:r>
      <w:proofErr w:type="spellEnd"/>
      <w:r>
        <w:t xml:space="preserve">, G., </w:t>
      </w:r>
      <w:proofErr w:type="spellStart"/>
      <w:r>
        <w:t>Bayol</w:t>
      </w:r>
      <w:proofErr w:type="spellEnd"/>
      <w:r>
        <w:t xml:space="preserve">, N., Lyapustin, A., </w:t>
      </w:r>
      <w:proofErr w:type="spellStart"/>
      <w:r>
        <w:t>Gourlet</w:t>
      </w:r>
      <w:proofErr w:type="spellEnd"/>
      <w:r>
        <w:t xml:space="preserve">-Fleury, S., &amp; </w:t>
      </w:r>
      <w:proofErr w:type="spellStart"/>
      <w:r>
        <w:t>Pélissier</w:t>
      </w:r>
      <w:proofErr w:type="spellEnd"/>
      <w:r>
        <w:t xml:space="preserve">, R. (2020). Spatial validation reveals poor predictive performance of large-scale ecological mapping models. </w:t>
      </w:r>
      <w:r>
        <w:rPr>
          <w:i/>
          <w:iCs/>
        </w:rPr>
        <w:t>Nature Communications, 11</w:t>
      </w:r>
      <w:r>
        <w:t>(1), 4540. https://doi.org/10.1038/s41467-020-18321-y</w:t>
      </w:r>
    </w:p>
    <w:p w14:paraId="53BDA8A6" w14:textId="77777777" w:rsidR="00ED53B9" w:rsidRDefault="00000000">
      <w:pPr>
        <w:spacing w:after="160" w:line="300" w:lineRule="auto"/>
        <w:ind w:left="720" w:hanging="720"/>
        <w:jc w:val="both"/>
      </w:pPr>
      <w:r>
        <w:t xml:space="preserve">Roberts, D. R., Bahn, V., </w:t>
      </w:r>
      <w:proofErr w:type="spellStart"/>
      <w:r>
        <w:t>Ciuti</w:t>
      </w:r>
      <w:proofErr w:type="spellEnd"/>
      <w:r>
        <w:t xml:space="preserve">, S., Boyce, M. S., Elith, J., </w:t>
      </w:r>
      <w:proofErr w:type="spellStart"/>
      <w:r>
        <w:t>Guillera-Arroita</w:t>
      </w:r>
      <w:proofErr w:type="spellEnd"/>
      <w:r>
        <w:t xml:space="preserve">, G., Hauenstein, S., Lahoz-Monfort, J. J., Schröder, B., </w:t>
      </w:r>
      <w:proofErr w:type="spellStart"/>
      <w:r>
        <w:t>Thuiller</w:t>
      </w:r>
      <w:proofErr w:type="spellEnd"/>
      <w:r>
        <w:t xml:space="preserve">, W., Warton, D. I., Wintle, B. A., Hartig, F., &amp; Dormann, C. F. (2017). Cross-validation strategies for data with temporal, spatial, hierarchical, or phylogenetic structure. </w:t>
      </w:r>
      <w:proofErr w:type="spellStart"/>
      <w:r>
        <w:rPr>
          <w:i/>
          <w:iCs/>
        </w:rPr>
        <w:t>Ecography</w:t>
      </w:r>
      <w:proofErr w:type="spellEnd"/>
      <w:r>
        <w:rPr>
          <w:i/>
          <w:iCs/>
        </w:rPr>
        <w:t>, 40</w:t>
      </w:r>
      <w:r>
        <w:t>(8), 913–929. https://doi.org/10.1111/ecog.02881</w:t>
      </w:r>
    </w:p>
    <w:p w14:paraId="2DFBC717" w14:textId="77777777" w:rsidR="00ED53B9" w:rsidRDefault="00000000">
      <w:pPr>
        <w:spacing w:after="160" w:line="300" w:lineRule="auto"/>
        <w:ind w:left="720" w:hanging="720"/>
        <w:jc w:val="both"/>
      </w:pPr>
      <w:r>
        <w:t xml:space="preserve">Ronneberger, O., Fischer, P., &amp; Brox, T. (2015). U-Net: Convolutional networks for biomedical image segmentation. En N. Navab, J. </w:t>
      </w:r>
      <w:proofErr w:type="spellStart"/>
      <w:r>
        <w:t>Hornegger</w:t>
      </w:r>
      <w:proofErr w:type="spellEnd"/>
      <w:r>
        <w:t xml:space="preserve">, W. M. Wells, &amp; A. F. </w:t>
      </w:r>
      <w:proofErr w:type="spellStart"/>
      <w:r>
        <w:t>Frangi</w:t>
      </w:r>
      <w:proofErr w:type="spellEnd"/>
      <w:r>
        <w:t xml:space="preserve"> (Eds.), </w:t>
      </w:r>
      <w:r>
        <w:rPr>
          <w:i/>
          <w:iCs/>
        </w:rPr>
        <w:t>Medical Image Computing and Computer-Assisted Intervention – MICCAI 2015</w:t>
      </w:r>
      <w:r>
        <w:t xml:space="preserve"> (Vol. 9351, pp. 234–241). Springer. https://doi.org/10.1007/978-3-319-24574-4_28</w:t>
      </w:r>
    </w:p>
    <w:p w14:paraId="2F118E94" w14:textId="77777777" w:rsidR="00ED53B9" w:rsidRDefault="00000000">
      <w:pPr>
        <w:spacing w:after="160" w:line="300" w:lineRule="auto"/>
        <w:ind w:left="720" w:hanging="720"/>
        <w:jc w:val="both"/>
      </w:pPr>
      <w:proofErr w:type="spellStart"/>
      <w:r>
        <w:t>Szwarcman</w:t>
      </w:r>
      <w:proofErr w:type="spellEnd"/>
      <w:r>
        <w:t xml:space="preserve">, D., Roy, S., </w:t>
      </w:r>
      <w:proofErr w:type="spellStart"/>
      <w:r>
        <w:t>Fraccaro</w:t>
      </w:r>
      <w:proofErr w:type="spellEnd"/>
      <w:r>
        <w:t xml:space="preserve">, P., Gíslason, T. E., </w:t>
      </w:r>
      <w:proofErr w:type="spellStart"/>
      <w:r>
        <w:t>Blumenstiel</w:t>
      </w:r>
      <w:proofErr w:type="spellEnd"/>
      <w:r>
        <w:t xml:space="preserve">, B., Ghosal, R., de Oliveira, P. H., Almeida, J. L. C., Sedona, R., Kang, Y., Chakraborty, S., Wang, S., Gomes, C., Kumar, A., Truong, M., Godwin, D., Lee, H., Hsu, C.-Y., Lal, R., . . . Bernabe-Moreno, J. (2024). </w:t>
      </w:r>
      <w:r>
        <w:rPr>
          <w:i/>
          <w:iCs/>
        </w:rPr>
        <w:t>Prithvi-EO-2.0: A versatile multi-temporal foundation model for earth observation applications</w:t>
      </w:r>
      <w:r>
        <w:t xml:space="preserve">. </w:t>
      </w:r>
      <w:proofErr w:type="spellStart"/>
      <w:r>
        <w:t>arXiv</w:t>
      </w:r>
      <w:proofErr w:type="spellEnd"/>
      <w:r>
        <w:t>. https://doi.org/10.48550/arXiv.2412.02732</w:t>
      </w:r>
    </w:p>
    <w:sectPr w:rsidR="00ED53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23967"/>
    <w:multiLevelType w:val="hybridMultilevel"/>
    <w:tmpl w:val="4410A964"/>
    <w:lvl w:ilvl="0" w:tplc="0AA0114C">
      <w:start w:val="1"/>
      <w:numFmt w:val="bullet"/>
      <w:lvlText w:val="●"/>
      <w:lvlJc w:val="left"/>
      <w:pPr>
        <w:ind w:left="720" w:hanging="360"/>
      </w:pPr>
    </w:lvl>
    <w:lvl w:ilvl="1" w:tplc="D1AEBEEC">
      <w:start w:val="1"/>
      <w:numFmt w:val="bullet"/>
      <w:lvlText w:val="○"/>
      <w:lvlJc w:val="left"/>
      <w:pPr>
        <w:ind w:left="1440" w:hanging="360"/>
      </w:pPr>
    </w:lvl>
    <w:lvl w:ilvl="2" w:tplc="1F7EA5D4">
      <w:start w:val="1"/>
      <w:numFmt w:val="bullet"/>
      <w:lvlText w:val="■"/>
      <w:lvlJc w:val="left"/>
      <w:pPr>
        <w:ind w:left="2160" w:hanging="360"/>
      </w:pPr>
    </w:lvl>
    <w:lvl w:ilvl="3" w:tplc="2D3CCC1A">
      <w:start w:val="1"/>
      <w:numFmt w:val="bullet"/>
      <w:lvlText w:val="●"/>
      <w:lvlJc w:val="left"/>
      <w:pPr>
        <w:ind w:left="2880" w:hanging="360"/>
      </w:pPr>
    </w:lvl>
    <w:lvl w:ilvl="4" w:tplc="85CC7362">
      <w:start w:val="1"/>
      <w:numFmt w:val="bullet"/>
      <w:lvlText w:val="○"/>
      <w:lvlJc w:val="left"/>
      <w:pPr>
        <w:ind w:left="3600" w:hanging="360"/>
      </w:pPr>
    </w:lvl>
    <w:lvl w:ilvl="5" w:tplc="E7681530">
      <w:start w:val="1"/>
      <w:numFmt w:val="bullet"/>
      <w:lvlText w:val="■"/>
      <w:lvlJc w:val="left"/>
      <w:pPr>
        <w:ind w:left="4320" w:hanging="360"/>
      </w:pPr>
    </w:lvl>
    <w:lvl w:ilvl="6" w:tplc="4AB6988C">
      <w:start w:val="1"/>
      <w:numFmt w:val="bullet"/>
      <w:lvlText w:val="●"/>
      <w:lvlJc w:val="left"/>
      <w:pPr>
        <w:ind w:left="5040" w:hanging="360"/>
      </w:pPr>
    </w:lvl>
    <w:lvl w:ilvl="7" w:tplc="BEE84EE4">
      <w:start w:val="1"/>
      <w:numFmt w:val="bullet"/>
      <w:lvlText w:val="●"/>
      <w:lvlJc w:val="left"/>
      <w:pPr>
        <w:ind w:left="5760" w:hanging="360"/>
      </w:pPr>
    </w:lvl>
    <w:lvl w:ilvl="8" w:tplc="FDAC7500">
      <w:start w:val="1"/>
      <w:numFmt w:val="bullet"/>
      <w:lvlText w:val="●"/>
      <w:lvlJc w:val="left"/>
      <w:pPr>
        <w:ind w:left="6480" w:hanging="360"/>
      </w:pPr>
    </w:lvl>
  </w:abstractNum>
  <w:abstractNum w:abstractNumId="1" w15:restartNumberingAfterBreak="0">
    <w:nsid w:val="60777DDA"/>
    <w:multiLevelType w:val="hybridMultilevel"/>
    <w:tmpl w:val="DE60852E"/>
    <w:lvl w:ilvl="0" w:tplc="D2BE6C7C">
      <w:start w:val="1"/>
      <w:numFmt w:val="bullet"/>
      <w:lvlText w:val="•"/>
      <w:lvlJc w:val="left"/>
      <w:pPr>
        <w:ind w:left="720" w:hanging="360"/>
      </w:pPr>
    </w:lvl>
    <w:lvl w:ilvl="1" w:tplc="2FC4E3EE">
      <w:numFmt w:val="decimal"/>
      <w:lvlText w:val=""/>
      <w:lvlJc w:val="left"/>
    </w:lvl>
    <w:lvl w:ilvl="2" w:tplc="A9CA2110">
      <w:numFmt w:val="decimal"/>
      <w:lvlText w:val=""/>
      <w:lvlJc w:val="left"/>
    </w:lvl>
    <w:lvl w:ilvl="3" w:tplc="EA345F94">
      <w:numFmt w:val="decimal"/>
      <w:lvlText w:val=""/>
      <w:lvlJc w:val="left"/>
    </w:lvl>
    <w:lvl w:ilvl="4" w:tplc="1A8E3706">
      <w:numFmt w:val="decimal"/>
      <w:lvlText w:val=""/>
      <w:lvlJc w:val="left"/>
    </w:lvl>
    <w:lvl w:ilvl="5" w:tplc="433E1F68">
      <w:numFmt w:val="decimal"/>
      <w:lvlText w:val=""/>
      <w:lvlJc w:val="left"/>
    </w:lvl>
    <w:lvl w:ilvl="6" w:tplc="279E46FE">
      <w:numFmt w:val="decimal"/>
      <w:lvlText w:val=""/>
      <w:lvlJc w:val="left"/>
    </w:lvl>
    <w:lvl w:ilvl="7" w:tplc="080E7EC8">
      <w:numFmt w:val="decimal"/>
      <w:lvlText w:val=""/>
      <w:lvlJc w:val="left"/>
    </w:lvl>
    <w:lvl w:ilvl="8" w:tplc="373A1986">
      <w:numFmt w:val="decimal"/>
      <w:lvlText w:val=""/>
      <w:lvlJc w:val="left"/>
    </w:lvl>
  </w:abstractNum>
  <w:num w:numId="1" w16cid:durableId="1261179745">
    <w:abstractNumId w:val="0"/>
    <w:lvlOverride w:ilvl="0">
      <w:startOverride w:val="1"/>
    </w:lvlOverride>
  </w:num>
  <w:num w:numId="2" w16cid:durableId="1954899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3B9"/>
    <w:rsid w:val="0055567A"/>
    <w:rsid w:val="00A43832"/>
    <w:rsid w:val="00ED5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1D15"/>
  <w15:docId w15:val="{281AADD5-EAAE-4A38-933C-652EB347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sz w:val="30"/>
      <w:szCs w:val="30"/>
    </w:rPr>
  </w:style>
  <w:style w:type="paragraph" w:styleId="Ttulo2">
    <w:name w:val="heading 2"/>
    <w:uiPriority w:val="9"/>
    <w:unhideWhenUsed/>
    <w:qFormat/>
    <w:pPr>
      <w:spacing w:before="260" w:after="15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5448</Words>
  <Characters>31054</Characters>
  <Application>Microsoft Office Word</Application>
  <DocSecurity>0</DocSecurity>
  <Lines>258</Lines>
  <Paragraphs>72</Paragraphs>
  <ScaleCrop>false</ScaleCrop>
  <Company/>
  <LinksUpToDate>false</LinksUpToDate>
  <CharactersWithSpaces>36430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 Proyecto integrador</dc:title>
  <dc:creator>Equipo de proyecto integrador</dc:creator>
  <cp:lastModifiedBy>Juan Jose Restrepo Higuita</cp:lastModifiedBy>
  <cp:revision>2</cp:revision>
  <dcterms:created xsi:type="dcterms:W3CDTF">2026-05-19T21:12:00Z</dcterms:created>
  <dcterms:modified xsi:type="dcterms:W3CDTF">2026-05-19T21:18:00Z</dcterms:modified>
</cp:coreProperties>
</file>