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Permisos</w:t>
      </w:r>
      <w:r>
        <w:t xml:space="preserve"> </w:t>
      </w:r>
      <w:r>
        <w:t xml:space="preserve">para</w:t>
      </w:r>
      <w:r>
        <w:t xml:space="preserve"> </w:t>
      </w:r>
      <w:r>
        <w:t xml:space="preserve">la</w:t>
      </w:r>
      <w:r>
        <w:t xml:space="preserve"> </w:t>
      </w:r>
      <w:r>
        <w:t xml:space="preserve">investigación</w:t>
      </w:r>
      <w:r>
        <w:t xml:space="preserve"> </w:t>
      </w:r>
      <w:r>
        <w:t xml:space="preserve">y</w:t>
      </w:r>
      <w:r>
        <w:t xml:space="preserve"> </w:t>
      </w:r>
      <w:r>
        <w:t xml:space="preserve">el</w:t>
      </w:r>
      <w:r>
        <w:t xml:space="preserve"> </w:t>
      </w:r>
      <w:r>
        <w:t xml:space="preserve">monitoreo</w:t>
      </w:r>
      <w:r>
        <w:t xml:space="preserve"> </w:t>
      </w:r>
      <w:r>
        <w:t xml:space="preserve">de</w:t>
      </w:r>
      <w:r>
        <w:t xml:space="preserve"> </w:t>
      </w:r>
      <w:r>
        <w:t xml:space="preserve">la</w:t>
      </w:r>
      <w:r>
        <w:t xml:space="preserve"> </w:t>
      </w:r>
      <w:r>
        <w:t xml:space="preserve">biodiversidad</w:t>
      </w:r>
      <w:r>
        <w:t xml:space="preserve"> </w:t>
      </w:r>
      <w:r>
        <w:t xml:space="preserve">en</w:t>
      </w:r>
      <w:r>
        <w:t xml:space="preserve"> </w:t>
      </w:r>
      <w:r>
        <w:t xml:space="preserve">Colombia</w:t>
      </w:r>
    </w:p>
    <w:p>
      <w:pPr>
        <w:pStyle w:val="Subtitle"/>
      </w:pPr>
      <w:r>
        <w:t xml:space="preserve">Capítulo</w:t>
      </w:r>
      <w:r>
        <w:t xml:space="preserve"> </w:t>
      </w:r>
      <w:r>
        <w:t xml:space="preserve">—</w:t>
      </w:r>
      <w:r>
        <w:t xml:space="preserve"> </w:t>
      </w:r>
      <w:r>
        <w:t xml:space="preserve">Libro</w:t>
      </w:r>
      <w:r>
        <w:t xml:space="preserve"> </w:t>
      </w:r>
      <w:r>
        <w:t xml:space="preserve">de</w:t>
      </w:r>
      <w:r>
        <w:t xml:space="preserve"> </w:t>
      </w:r>
      <w:r>
        <w:t xml:space="preserve">métodos</w:t>
      </w:r>
      <w:r>
        <w:t xml:space="preserve"> </w:t>
      </w:r>
      <w:r>
        <w:t xml:space="preserve">de</w:t>
      </w:r>
      <w:r>
        <w:t xml:space="preserve"> </w:t>
      </w:r>
      <w:r>
        <w:t xml:space="preserve">campo</w:t>
      </w:r>
      <w:r>
        <w:t xml:space="preserve"> </w:t>
      </w:r>
      <w:r>
        <w:t xml:space="preserve">para</w:t>
      </w:r>
      <w:r>
        <w:t xml:space="preserve"> </w:t>
      </w:r>
      <w:r>
        <w:t xml:space="preserve">el</w:t>
      </w:r>
      <w:r>
        <w:t xml:space="preserve"> </w:t>
      </w:r>
      <w:r>
        <w:t xml:space="preserve">monitoreo</w:t>
      </w:r>
      <w:r>
        <w:t xml:space="preserve"> </w:t>
      </w:r>
      <w:r>
        <w:t xml:space="preserve">de</w:t>
      </w:r>
      <w:r>
        <w:t xml:space="preserve"> </w:t>
      </w:r>
      <w:r>
        <w:t xml:space="preserve">la</w:t>
      </w:r>
      <w:r>
        <w:t xml:space="preserve"> </w:t>
      </w:r>
      <w:r>
        <w:t xml:space="preserve">biodiversidad</w:t>
      </w:r>
      <w:r>
        <w:t xml:space="preserve"> </w:t>
      </w:r>
      <w:r>
        <w:t xml:space="preserve">(Instituto</w:t>
      </w:r>
      <w:r>
        <w:t xml:space="preserve"> </w:t>
      </w:r>
      <w:r>
        <w:t xml:space="preserve">Humboldt).</w:t>
      </w:r>
      <w:r>
        <w:t xml:space="preserve"> </w:t>
      </w:r>
      <w:r>
        <w:t xml:space="preserve">BORRADOR</w:t>
      </w:r>
      <w:r>
        <w:t xml:space="preserve"> </w:t>
      </w:r>
      <w:r>
        <w:t xml:space="preserve">v0.1,</w:t>
      </w:r>
      <w:r>
        <w:t xml:space="preserve"> </w:t>
      </w:r>
      <w:r>
        <w:t xml:space="preserve">10</w:t>
      </w:r>
      <w:r>
        <w:t xml:space="preserve"> </w:t>
      </w:r>
      <w:r>
        <w:t xml:space="preserve">de</w:t>
      </w:r>
      <w:r>
        <w:t xml:space="preserve"> </w:t>
      </w:r>
      <w:r>
        <w:t xml:space="preserve">octubre</w:t>
      </w:r>
      <w:r>
        <w:t xml:space="preserve"> </w:t>
      </w:r>
      <w:r>
        <w:t xml:space="preserve">de</w:t>
      </w:r>
      <w:r>
        <w:t xml:space="preserve"> </w:t>
      </w:r>
      <w:r>
        <w:t xml:space="preserve">2026</w:t>
      </w:r>
    </w:p>
    <w:p>
      <w:pPr>
        <w:pStyle w:val="Author"/>
      </w:pPr>
      <w:r>
        <w:t xml:space="preserve">Adriana</w:t>
      </w:r>
      <w:r>
        <w:t xml:space="preserve"> </w:t>
      </w:r>
      <w:r>
        <w:t xml:space="preserve">Restrepo</w:t>
      </w:r>
      <w:r>
        <w:t xml:space="preserve"> </w:t>
      </w:r>
      <w:r>
        <w:t xml:space="preserve">Isaza</w:t>
      </w:r>
    </w:p>
    <w:sdt>
      <w:sdtPr>
        <w:docPartObj>
          <w:docPartGallery w:val="Table of Contents"/>
          <w:docPartUnique/>
        </w:docPartObj>
      </w:sdtPr>
      <w:sdtContent>
        <w:p>
          <w:pPr>
            <w:pStyle w:val="TOCHeading"/>
          </w:pPr>
          <w:r>
            <w:t xml:space="preserve">Contenido</w:t>
          </w:r>
        </w:p>
        <w:p>
          <w:r>
            <w:fldChar w:fldCharType="begin" w:dirty="true"/>
            <w:instrText xml:space="preserve">TOC \o "1-2" \h \z \u</w:instrText>
            <w:fldChar w:fldCharType="separate"/>
            <w:fldChar w:fldCharType="end"/>
          </w:r>
        </w:p>
      </w:sdtContent>
    </w:sdt>
    <w:bookmarkStart w:id="22" w:name="X696be7feba7fa3dcd1ca9e540c08f86e15c1b87"/>
    <w:p>
      <w:pPr>
        <w:pStyle w:val="Heading1"/>
      </w:pPr>
      <w:r>
        <w:t xml:space="preserve">1. Introducción: por qué importan los permisos</w:t>
      </w:r>
    </w:p>
    <w:p>
      <w:pPr>
        <w:pStyle w:val="FirstParagraph"/>
      </w:pPr>
      <w:r>
        <w:t xml:space="preserve">Todo muestreo de biodiversidad ocurre dentro de un marco jurídico. Capturar un anfibio para medirlo, colectar una planta para herborizarla, filtrar agua para extraer ADN ambiental o instalar una cámara trampa en un predio privado son actividades que el Estado regula, porque la diversidad biológica es un bien de interés público y porque sus componentes, incluidos los recursos genéticos, están sometidos a la soberanía nacional. En Colombia, la Constitución Política establece que</w:t>
      </w:r>
      <w:r>
        <w:t xml:space="preserve"> </w:t>
      </w:r>
      <w:r>
        <w:t xml:space="preserve">“</w:t>
      </w:r>
      <w:r>
        <w:t xml:space="preserve">es obligación del Estado y de las personas proteger las riquezas culturales y naturales de la Nación</w:t>
      </w:r>
      <w:r>
        <w:t xml:space="preserve">”</w:t>
      </w:r>
      <w:r>
        <w:t xml:space="preserve"> </w:t>
      </w:r>
      <w:r>
        <w:t xml:space="preserve">(art. 8) y que el Estado</w:t>
      </w:r>
      <w:r>
        <w:t xml:space="preserve"> </w:t>
      </w:r>
      <w:r>
        <w:t xml:space="preserve">“</w:t>
      </w:r>
      <w:r>
        <w:t xml:space="preserve">regulará el ingreso al país y la salida de él de los recursos genéticos, y su utilización, de acuerdo con el interés nacional</w:t>
      </w:r>
      <w:r>
        <w:t xml:space="preserve">”</w:t>
      </w:r>
      <w:r>
        <w:t xml:space="preserve"> </w:t>
      </w:r>
      <w:r>
        <w:t xml:space="preserve">(art. 81) [N01]. La misma Constitución garantiza</w:t>
      </w:r>
      <w:r>
        <w:t xml:space="preserve"> </w:t>
      </w:r>
      <w:r>
        <w:t xml:space="preserve">“</w:t>
      </w:r>
      <w:r>
        <w:t xml:space="preserve">las libertades de enseñanza, aprendizaje, investigación y cátedra</w:t>
      </w:r>
      <w:r>
        <w:t xml:space="preserve">”</w:t>
      </w:r>
      <w:r>
        <w:t xml:space="preserve"> </w:t>
      </w:r>
      <w:r>
        <w:t xml:space="preserve">(art. 27) [N01]. Los permisos de investigación son el mecanismo mediante el cual el ordenamiento concilia ambos mandatos: proteger la biodiversidad y, al mismo tiempo, permitir que se estudie.</w:t>
      </w:r>
    </w:p>
    <w:p>
      <w:pPr>
        <w:pStyle w:val="BodyText"/>
      </w:pPr>
      <w:r>
        <w:t xml:space="preserve">Obtener el permiso adecuado antes de salir al campo no es un trámite accesorio. Tiene al menos cuatro consecuencias directas sobre el trabajo del investigador:</w:t>
      </w:r>
    </w:p>
    <w:p>
      <w:pPr>
        <w:numPr>
          <w:ilvl w:val="0"/>
          <w:numId w:val="1001"/>
        </w:numPr>
        <w:pStyle w:val="Compact"/>
      </w:pPr>
      <w:r>
        <w:rPr>
          <w:bCs/>
          <w:b/>
        </w:rPr>
        <w:t xml:space="preserve">Legalidad.</w:t>
      </w:r>
      <w:r>
        <w:t xml:space="preserve"> </w:t>
      </w:r>
      <w:r>
        <w:t xml:space="preserve">Colectar sin permiso, o por fuera del alcance del permiso otorgado, puede constituir una infracción ambiental y, en ciertos casos, un delito (véase la sección 7).</w:t>
      </w:r>
    </w:p>
    <w:p>
      <w:pPr>
        <w:numPr>
          <w:ilvl w:val="0"/>
          <w:numId w:val="1001"/>
        </w:numPr>
        <w:pStyle w:val="Compact"/>
      </w:pPr>
      <w:r>
        <w:rPr>
          <w:bCs/>
          <w:b/>
        </w:rPr>
        <w:t xml:space="preserve">Ética.</w:t>
      </w:r>
      <w:r>
        <w:t xml:space="preserve"> </w:t>
      </w:r>
      <w:r>
        <w:t xml:space="preserve">El permiso obliga a justificar el método, el número de individuos y el destino de los especímenes, y se articula con las normas de bienestar animal (sección 6) y con los derechos de las comunidades sobre sus territorios (sección 4).</w:t>
      </w:r>
    </w:p>
    <w:p>
      <w:pPr>
        <w:numPr>
          <w:ilvl w:val="0"/>
          <w:numId w:val="1001"/>
        </w:numPr>
        <w:pStyle w:val="Compact"/>
      </w:pPr>
      <w:r>
        <w:rPr>
          <w:bCs/>
          <w:b/>
        </w:rPr>
        <w:t xml:space="preserve">Validez y uso de los datos.</w:t>
      </w:r>
      <w:r>
        <w:t xml:space="preserve"> </w:t>
      </w:r>
      <w:r>
        <w:t xml:space="preserve">Los especímenes y datos obtenidos sin permiso pueden ser rechazados por colecciones, revistas y autoridades. Por el contrario, el permiso obliga a depositar especímenes en colecciones registradas y a publicar los datos en el Sistema de Información sobre Biodiversidad de Colombia (SiB Colombia), lo que asegura su verificabilidad y reutilización (sección 5) [N08, N10].</w:t>
      </w:r>
    </w:p>
    <w:p>
      <w:pPr>
        <w:numPr>
          <w:ilvl w:val="0"/>
          <w:numId w:val="1001"/>
        </w:numPr>
        <w:pStyle w:val="Compact"/>
      </w:pPr>
      <w:r>
        <w:rPr>
          <w:bCs/>
          <w:b/>
        </w:rPr>
        <w:t xml:space="preserve">Uso posterior de los especímenes.</w:t>
      </w:r>
      <w:r>
        <w:t xml:space="preserve"> </w:t>
      </w:r>
      <w:r>
        <w:t xml:space="preserve">El tipo de permiso determina lo que se puede hacer después con el material: no es lo mismo una colecta para un inventario que el uso de ese material para secuenciación o para fines comerciales, que puede configurar acceso a recursos genéticos (sección 3.5) [N14, N15].</w:t>
      </w:r>
    </w:p>
    <w:bookmarkStart w:id="20" w:name="un-problema-global-no-solo-colombiano"/>
    <w:p>
      <w:pPr>
        <w:pStyle w:val="Heading2"/>
      </w:pPr>
      <w:r>
        <w:t xml:space="preserve">Un problema global, no solo colombiano</w:t>
      </w:r>
    </w:p>
    <w:p>
      <w:pPr>
        <w:pStyle w:val="FirstParagraph"/>
      </w:pPr>
      <w:r>
        <w:t xml:space="preserve">Las dificultades para obtener permisos de investigación no son exclusivas de Colombia. El Convenio sobre la Diversidad Biológica (CDB), aprobado en Colombia mediante la Ley 165 de 1994, reconoce que</w:t>
      </w:r>
      <w:r>
        <w:t xml:space="preserve"> </w:t>
      </w:r>
      <w:r>
        <w:t xml:space="preserve">“</w:t>
      </w:r>
      <w:r>
        <w:t xml:space="preserve">la facultad de regular el acceso a los recursos genéticos incumbe a los gobiernos nacionales y está sometida a la legislación nacional</w:t>
      </w:r>
      <w:r>
        <w:t xml:space="preserve">”</w:t>
      </w:r>
      <w:r>
        <w:t xml:space="preserve"> </w:t>
      </w:r>
      <w:r>
        <w:t xml:space="preserve">(art. 15, num. 1) y que dicho acceso</w:t>
      </w:r>
      <w:r>
        <w:t xml:space="preserve"> </w:t>
      </w:r>
      <w:r>
        <w:t xml:space="preserve">“</w:t>
      </w:r>
      <w:r>
        <w:t xml:space="preserve">estará sometido al consentimiento fundamentado previo de la Parte Contratante que proporciona los recursos</w:t>
      </w:r>
      <w:r>
        <w:t xml:space="preserve">”</w:t>
      </w:r>
      <w:r>
        <w:t xml:space="preserve"> </w:t>
      </w:r>
      <w:r>
        <w:t xml:space="preserve">(art. 15, num. 5) [N02]. A partir de este principio, muchos países megadiversos desarrollaron regímenes de acceso y participación en los beneficios con el propósito de prevenir la biopiratería.</w:t>
      </w:r>
    </w:p>
    <w:p>
      <w:pPr>
        <w:pStyle w:val="BodyText"/>
      </w:pPr>
      <w:r>
        <w:t xml:space="preserve">La comunidad científica internacional ha documentado los efectos no deseados de estos regímenes sobre la investigación básica. Prathapan et al. (2018), en un artículo de opinión respaldado por más de 170 cofirmantes de 35 países, advierten que</w:t>
      </w:r>
      <w:r>
        <w:t xml:space="preserve"> </w:t>
      </w:r>
      <w:r>
        <w:t xml:space="preserve">“</w:t>
      </w:r>
      <w:r>
        <w:t xml:space="preserve">las regulaciones nacionales creadas en anticipación de beneficios comerciales, particularmente en muchos países ricos en biodiversidad, han restringido la investigación sobre biodiversidad realizada por científicos nacionales, así como la colaboración internacional</w:t>
      </w:r>
      <w:r>
        <w:t xml:space="preserve">”</w:t>
      </w:r>
      <w:r>
        <w:t xml:space="preserve"> </w:t>
      </w:r>
      <w:r>
        <w:t xml:space="preserve">(p. 1405; traducción propia) [L01]. Los autores proponen diferenciar la investigación sin fines de lucro, cuyos resultados son de dominio público, de la investigación con fines comerciales [L01]. En la misma línea, Neumann et al. (2018) señalan que las interpretaciones jurídicas del acceso y la participación en beneficios, en lugar de promover la investigación básica en conservación y biodiversidad,</w:t>
      </w:r>
      <w:r>
        <w:t xml:space="preserve"> </w:t>
      </w:r>
      <w:r>
        <w:t xml:space="preserve">“</w:t>
      </w:r>
      <w:r>
        <w:t xml:space="preserve">ponen potencialmente en riesgo la colaboración internacional, la investigación sobre biodiversidad y sus aplicaciones en monitoreo, control biológico e inocuidad alimentaria</w:t>
      </w:r>
      <w:r>
        <w:t xml:space="preserve">”</w:t>
      </w:r>
      <w:r>
        <w:t xml:space="preserve"> </w:t>
      </w:r>
      <w:r>
        <w:t xml:space="preserve">(p. 1; traducción propia) [L02].</w:t>
      </w:r>
    </w:p>
    <w:p>
      <w:pPr>
        <w:pStyle w:val="BodyText"/>
      </w:pPr>
      <w:r>
        <w:t xml:space="preserve">[VERIFICAR — buscar al menos una referencia revisada por pares sobre el caso colombiano o andino (efecto de la Decisión 391 de 1996 sobre la investigación) para cerrar este párrafo.]</w:t>
      </w:r>
    </w:p>
    <w:p>
      <w:pPr>
        <w:pStyle w:val="BodyText"/>
      </w:pPr>
      <w:r>
        <w:t xml:space="preserve">Colombia ha respondido a esta tensión con un régimen que distingue entre la recolección con fines de investigación científica no comercial, la recolección para la elaboración de estudios ambientales y el acceso a recursos genéticos [N07, N09, N14, N15]. Sin embargo, la coexistencia de normas de distintas épocas, la variedad de autoridades competentes y los cambios normativos recientes hacen que estudiantes, consultores e incluso funcionarios encuentren difícil determinar qué permiso se requiere en cada caso.</w:t>
      </w:r>
    </w:p>
    <w:bookmarkEnd w:id="20"/>
    <w:bookmarkStart w:id="21" w:name="objetivo-y-alcance-del-capítulo"/>
    <w:p>
      <w:pPr>
        <w:pStyle w:val="Heading2"/>
      </w:pPr>
      <w:r>
        <w:t xml:space="preserve">Objetivo y alcance del capítulo</w:t>
      </w:r>
    </w:p>
    <w:p>
      <w:pPr>
        <w:pStyle w:val="FirstParagraph"/>
      </w:pPr>
      <w:r>
        <w:t xml:space="preserve">Este capítulo ofrece una guía práctica para identificar, tramitar y cumplir los permisos y autorizaciones que se requieren para muestrear biodiversidad en Colombia. Está dirigido a tres públicos: estudiantes de ciencias biológicas que planean su primer trabajo de campo, consultores que elaboran estudios ambientales y funcionarios de las autoridades ambientales que evalúan estas solicitudes. Para cada tipo de permiso se indica qué cubre, quién lo otorga, cuál es su sustento normativo y qué obligaciones genera. El capítulo no sustituye la consulta de la norma vigente ni la asesoría jurídica: las normas cambian con frecuencia, y la fecha de corte de este texto es octubre de 2026. Los casos en que la interpretación normativa no es clara se señalan expresamente como zonas grises.</w:t>
      </w:r>
    </w:p>
    <w:p>
      <w:pPr>
        <w:pStyle w:val="BlockText"/>
      </w:pPr>
      <w:r>
        <w:t xml:space="preserve">🗣️</w:t>
      </w:r>
      <w:r>
        <w:t xml:space="preserve"> </w:t>
      </w:r>
      <w:r>
        <w:rPr>
          <w:bCs/>
          <w:b/>
        </w:rPr>
        <w:t xml:space="preserve">TESTIMONIO (por conseguir) — T0, apertura opcional.</w:t>
      </w:r>
      <w:r>
        <w:t xml:space="preserve"> </w:t>
      </w:r>
      <w:r>
        <w:t xml:space="preserve">Breve relato de un caso en que la falta de un permiso adecuado impidió publicar, depositar o exportar material. Perfil: investigador/a con experiencia en revisión editorial o curaduría.</w:t>
      </w:r>
    </w:p>
    <w:p>
      <w:r>
        <w:pict>
          <v:rect style="width:0;height:1.5pt" o:hralign="center" o:hrstd="t" o:hr="t"/>
        </w:pict>
      </w:r>
    </w:p>
    <w:p>
      <w:pPr>
        <w:pStyle w:val="FirstParagraph"/>
      </w:pPr>
      <w:r>
        <w:rPr>
          <w:bCs/>
          <w:b/>
        </w:rPr>
        <w:t xml:space="preserve">Referencias citadas en esta sección (APA 7, provisional)</w:t>
      </w:r>
    </w:p>
    <w:p>
      <w:pPr>
        <w:pStyle w:val="BodyText"/>
      </w:pPr>
      <w:r>
        <w:t xml:space="preserve">Constitución Política de Colombia [Const.]. (1991). Artículos 8, 27 y 81.</w:t>
      </w:r>
    </w:p>
    <w:p>
      <w:pPr>
        <w:pStyle w:val="BodyText"/>
      </w:pPr>
      <w:r>
        <w:t xml:space="preserve">Ley 165 de 1994. Por medio de la cual se aprueba el</w:t>
      </w:r>
      <w:r>
        <w:t xml:space="preserve"> </w:t>
      </w:r>
      <w:r>
        <w:t xml:space="preserve">“</w:t>
      </w:r>
      <w:r>
        <w:t xml:space="preserve">Convenio sobre la Diversidad Biológica</w:t>
      </w:r>
      <w:r>
        <w:t xml:space="preserve">”</w:t>
      </w:r>
      <w:r>
        <w:t xml:space="preserve">, hecho en Río de Janeiro el 5 de junio de 1992. Congreso de la República de Colombia.</w:t>
      </w:r>
    </w:p>
    <w:p>
      <w:pPr>
        <w:pStyle w:val="BodyText"/>
      </w:pPr>
      <w:r>
        <w:t xml:space="preserve">Neumann, D., Borisenko, A. V., Coddington, J. A., Häuser, C. L., Butler, C. R., Casino, A., Vogel, J. C., Haszprunar, G., &amp; Giere, P. (2018). Global biodiversity research tied up by juridical interpretations of access and benefit sharing.</w:t>
      </w:r>
      <w:r>
        <w:t xml:space="preserve"> </w:t>
      </w:r>
      <w:r>
        <w:rPr>
          <w:iCs/>
          <w:i/>
        </w:rPr>
        <w:t xml:space="preserve">Organisms Diversity &amp; Evolution, 18</w:t>
      </w:r>
      <w:r>
        <w:t xml:space="preserve">, 1–12. https://doi.org/10.1007/s13127-017-0347-1</w:t>
      </w:r>
    </w:p>
    <w:p>
      <w:pPr>
        <w:pStyle w:val="BodyText"/>
      </w:pPr>
      <w:r>
        <w:t xml:space="preserve">Prathapan, K. D., Pethiyagoda, R., Bawa, K. S., Raven, P. H., Rajan, P. D., &amp; 172 cofirmantes. (2018). When the cure kills—CBD limits biodiversity research.</w:t>
      </w:r>
      <w:r>
        <w:t xml:space="preserve"> </w:t>
      </w:r>
      <w:r>
        <w:rPr>
          <w:iCs/>
          <w:i/>
        </w:rPr>
        <w:t xml:space="preserve">Science, 360</w:t>
      </w:r>
      <w:r>
        <w:t xml:space="preserve">(6396), 1405–1406. https://doi.org/10.1126/science.aat9844</w:t>
      </w:r>
    </w:p>
    <w:bookmarkEnd w:id="21"/>
    <w:bookmarkEnd w:id="22"/>
    <w:bookmarkStart w:id="28" w:name="marco-normativo-y-conceptos-básicos"/>
    <w:p>
      <w:pPr>
        <w:pStyle w:val="Heading1"/>
      </w:pPr>
      <w:r>
        <w:t xml:space="preserve">2. Marco normativo y conceptos básicos</w:t>
      </w:r>
    </w:p>
    <w:p>
      <w:pPr>
        <w:pStyle w:val="FirstParagraph"/>
      </w:pPr>
      <w:r>
        <w:t xml:space="preserve">Antes de entrar en los tipos de permiso conviene conocer la estructura de normas que los sustenta. Esta sección no pretende ser exhaustiva: identifica las normas que el lector necesita reconocer y explica dónde encontrar cada una. El régimen de permisos para la investigación con biodiversidad en Colombia descansa en cuatro niveles: la Constitución, los tratados internacionales y la normativa andina, las leyes que organizan el sistema ambiental y el Decreto Único Reglamentario del sector ambiente, que reúne los trámites.</w:t>
      </w:r>
    </w:p>
    <w:bookmarkStart w:id="23" w:name="fundamento-constitucional"/>
    <w:p>
      <w:pPr>
        <w:pStyle w:val="Heading2"/>
      </w:pPr>
      <w:r>
        <w:t xml:space="preserve">2.1 Fundamento constitucional</w:t>
      </w:r>
    </w:p>
    <w:p>
      <w:pPr>
        <w:pStyle w:val="FirstParagraph"/>
      </w:pPr>
      <w:r>
        <w:t xml:space="preserve">La Constitución Política de 1991 establece las dos obligaciones que los permisos buscan conciliar. Por un lado, protege la biodiversidad:</w:t>
      </w:r>
      <w:r>
        <w:t xml:space="preserve"> </w:t>
      </w:r>
      <w:r>
        <w:t xml:space="preserve">“</w:t>
      </w:r>
      <w:r>
        <w:t xml:space="preserve">es deber del Estado proteger la diversidad e integridad del ambiente, conservar las áreas de especial importancia ecológica y fomentar la educación para el logro de estos fines</w:t>
      </w:r>
      <w:r>
        <w:t xml:space="preserve">”</w:t>
      </w:r>
      <w:r>
        <w:t xml:space="preserve"> </w:t>
      </w:r>
      <w:r>
        <w:t xml:space="preserve">(art. 79), y le asigna el deber de regular</w:t>
      </w:r>
      <w:r>
        <w:t xml:space="preserve"> </w:t>
      </w:r>
      <w:r>
        <w:t xml:space="preserve">“</w:t>
      </w:r>
      <w:r>
        <w:t xml:space="preserve">el ingreso al país y la salida de él de los recursos genéticos, y su utilización, de acuerdo con el interés nacional</w:t>
      </w:r>
      <w:r>
        <w:t xml:space="preserve">”</w:t>
      </w:r>
      <w:r>
        <w:t xml:space="preserve"> </w:t>
      </w:r>
      <w:r>
        <w:t xml:space="preserve">(art. 81) [N01]. Por el otro, garantiza</w:t>
      </w:r>
      <w:r>
        <w:t xml:space="preserve"> </w:t>
      </w:r>
      <w:r>
        <w:t xml:space="preserve">“</w:t>
      </w:r>
      <w:r>
        <w:t xml:space="preserve">las libertades de enseñanza, aprendizaje, investigación y cátedra</w:t>
      </w:r>
      <w:r>
        <w:t xml:space="preserve">”</w:t>
      </w:r>
      <w:r>
        <w:t xml:space="preserve"> </w:t>
      </w:r>
      <w:r>
        <w:t xml:space="preserve">(art. 27) y la autonomía universitaria, con el mandato de que el Estado fortalezca la investigación científica (art. 69) [N01]. Los permisos no son, entonces, una restricción a la investigación, sino la forma en que el ordenamiento la hace compatible con la protección del patrimonio natural.</w:t>
      </w:r>
    </w:p>
    <w:bookmarkEnd w:id="23"/>
    <w:bookmarkStart w:id="24" w:name="Xc7c1662d04df35f3a5631823fd988a7cc5c08ff"/>
    <w:p>
      <w:pPr>
        <w:pStyle w:val="Heading2"/>
      </w:pPr>
      <w:r>
        <w:t xml:space="preserve">2.2 Compromisos internacionales y normativa andina</w:t>
      </w:r>
    </w:p>
    <w:p>
      <w:pPr>
        <w:pStyle w:val="FirstParagraph"/>
      </w:pPr>
      <w:r>
        <w:rPr>
          <w:bCs/>
          <w:b/>
        </w:rPr>
        <w:t xml:space="preserve">Convenio sobre la Diversidad Biológica (CDB).</w:t>
      </w:r>
      <w:r>
        <w:t xml:space="preserve"> </w:t>
      </w:r>
      <w:r>
        <w:t xml:space="preserve">Colombia lo aprobó mediante la Ley 165 de 1994 [N02]. El CDB reconoce la soberanía de los Estados sobre sus recursos genéticos:</w:t>
      </w:r>
      <w:r>
        <w:t xml:space="preserve"> </w:t>
      </w:r>
      <w:r>
        <w:t xml:space="preserve">“</w:t>
      </w:r>
      <w:r>
        <w:t xml:space="preserve">la facultad de regular el acceso a los recursos genéticos incumbe a los gobiernos nacionales y está sometida a la legislación nacional</w:t>
      </w:r>
      <w:r>
        <w:t xml:space="preserve">”</w:t>
      </w:r>
      <w:r>
        <w:t xml:space="preserve"> </w:t>
      </w:r>
      <w:r>
        <w:t xml:space="preserve">(art. 15, num. 1), y el acceso requiere el</w:t>
      </w:r>
      <w:r>
        <w:t xml:space="preserve"> </w:t>
      </w:r>
      <w:r>
        <w:t xml:space="preserve">“</w:t>
      </w:r>
      <w:r>
        <w:t xml:space="preserve">consentimiento fundamentado previo</w:t>
      </w:r>
      <w:r>
        <w:t xml:space="preserve">”</w:t>
      </w:r>
      <w:r>
        <w:t xml:space="preserve"> </w:t>
      </w:r>
      <w:r>
        <w:t xml:space="preserve">del país que los provee (art. 15, num. 5) [N02].</w:t>
      </w:r>
    </w:p>
    <w:p>
      <w:pPr>
        <w:pStyle w:val="BodyText"/>
      </w:pPr>
      <w:r>
        <w:rPr>
          <w:bCs/>
          <w:b/>
        </w:rPr>
        <w:t xml:space="preserve">Decisión 391 de 1996 de la Comunidad Andina.</w:t>
      </w:r>
      <w:r>
        <w:t xml:space="preserve"> </w:t>
      </w:r>
      <w:r>
        <w:t xml:space="preserve">Establece el Régimen Común sobre Acceso a los Recursos Genéticos, de aplicación directa en Colombia [N14]. Declara que los recursos genéticos y sus productos derivados</w:t>
      </w:r>
      <w:r>
        <w:t xml:space="preserve"> </w:t>
      </w:r>
      <w:r>
        <w:t xml:space="preserve">“</w:t>
      </w:r>
      <w:r>
        <w:t xml:space="preserve">son bienes o patrimonio de la Nación o del Estado de cada País Miembro</w:t>
      </w:r>
      <w:r>
        <w:t xml:space="preserve">”</w:t>
      </w:r>
      <w:r>
        <w:t xml:space="preserve"> </w:t>
      </w:r>
      <w:r>
        <w:t xml:space="preserve">y que son</w:t>
      </w:r>
      <w:r>
        <w:t xml:space="preserve"> </w:t>
      </w:r>
      <w:r>
        <w:t xml:space="preserve">“</w:t>
      </w:r>
      <w:r>
        <w:t xml:space="preserve">inalienables, imprescriptibles e inembargables</w:t>
      </w:r>
      <w:r>
        <w:t xml:space="preserve">”</w:t>
      </w:r>
      <w:r>
        <w:t xml:space="preserve"> </w:t>
      </w:r>
      <w:r>
        <w:t xml:space="preserve">(art. 6) [N14]. Su definición de acceso es amplia: incluye la obtención y utilización de recursos genéticos</w:t>
      </w:r>
      <w:r>
        <w:t xml:space="preserve"> </w:t>
      </w:r>
      <w:r>
        <w:t xml:space="preserve">“</w:t>
      </w:r>
      <w:r>
        <w:t xml:space="preserve">con fines de investigación, prospección biológica, conservación, aplicación industrial o aprovechamiento comercial, entre otros</w:t>
      </w:r>
      <w:r>
        <w:t xml:space="preserve">”</w:t>
      </w:r>
      <w:r>
        <w:t xml:space="preserve"> </w:t>
      </w:r>
      <w:r>
        <w:t xml:space="preserve">(art. 1) [N14]. Las consecuencias de esta definición para la investigación con herramientas moleculares se tratan en la sección 3.5.</w:t>
      </w:r>
    </w:p>
    <w:p>
      <w:pPr>
        <w:pStyle w:val="BodyText"/>
      </w:pPr>
      <w:r>
        <w:rPr>
          <w:bCs/>
          <w:b/>
        </w:rPr>
        <w:t xml:space="preserve">Protocolo de Nagoya (2010).</w:t>
      </w:r>
      <w:r>
        <w:t xml:space="preserve"> </w:t>
      </w:r>
      <w:r>
        <w:t xml:space="preserve">Desarrolla el acceso y la participación en los beneficios del CDB. Colombia lo firmó el 2 de febrero de 2011, pero</w:t>
      </w:r>
      <w:r>
        <w:t xml:space="preserve"> </w:t>
      </w:r>
      <w:r>
        <w:rPr>
          <w:bCs/>
          <w:b/>
        </w:rPr>
        <w:t xml:space="preserve">no es Parte</w:t>
      </w:r>
      <w:r>
        <w:t xml:space="preserve"> </w:t>
      </w:r>
      <w:r>
        <w:t xml:space="preserve">del Protocolo [N16]. Esto es relevante cuando se colabora con instituciones de países que sí lo son, pues ellas pueden exigir documentación de cumplimiento propia de ese instrumento.</w:t>
      </w:r>
    </w:p>
    <w:p>
      <w:pPr>
        <w:pStyle w:val="BodyText"/>
      </w:pPr>
      <w:r>
        <w:rPr>
          <w:bCs/>
          <w:b/>
        </w:rPr>
        <w:t xml:space="preserve">Convención CITES.</w:t>
      </w:r>
      <w:r>
        <w:t xml:space="preserve"> </w:t>
      </w:r>
      <w:r>
        <w:t xml:space="preserve">Regula el comercio internacional de especies amenazadas de fauna y flora silvestres y fue aprobada por la Ley 17 de 1981 [N12]. Su aplicación a la investigación se concreta en la exportación e importación de especímenes, tratada en la sección 5.</w:t>
      </w:r>
    </w:p>
    <w:bookmarkEnd w:id="24"/>
    <w:bookmarkStart w:id="25" w:name="X1447b8e01a41a939894a58e09c30032f171216f"/>
    <w:p>
      <w:pPr>
        <w:pStyle w:val="Heading2"/>
      </w:pPr>
      <w:r>
        <w:t xml:space="preserve">2.3 El Sistema Nacional Ambiental y las autoridades competentes</w:t>
      </w:r>
    </w:p>
    <w:p>
      <w:pPr>
        <w:pStyle w:val="FirstParagraph"/>
      </w:pPr>
      <w:r>
        <w:t xml:space="preserve">La Ley 99 de 1993 creó el Sistema Nacional Ambiental (SINA) y distribuyó las competencias entre el Ministerio y las autoridades regionales [N04]. Entre sus principios, establece que</w:t>
      </w:r>
      <w:r>
        <w:t xml:space="preserve"> </w:t>
      </w:r>
      <w:r>
        <w:t xml:space="preserve">“</w:t>
      </w:r>
      <w:r>
        <w:t xml:space="preserve">la biodiversidad del país, por ser patrimonio nacional y de interés de la humanidad, deberá ser protegida prioritariamente y aprovechada en forma sostenible</w:t>
      </w:r>
      <w:r>
        <w:t xml:space="preserve">”</w:t>
      </w:r>
      <w:r>
        <w:t xml:space="preserve"> </w:t>
      </w:r>
      <w:r>
        <w:t xml:space="preserve">(art. 1, num. 2) y que</w:t>
      </w:r>
      <w:r>
        <w:t xml:space="preserve"> </w:t>
      </w:r>
      <w:r>
        <w:t xml:space="preserve">“</w:t>
      </w:r>
      <w:r>
        <w:t xml:space="preserve">la formulación de las políticas ambientales tendrá en cuenta el resultado del proceso de investigación científica</w:t>
      </w:r>
      <w:r>
        <w:t xml:space="preserve">”</w:t>
      </w:r>
      <w:r>
        <w:t xml:space="preserve"> </w:t>
      </w:r>
      <w:r>
        <w:t xml:space="preserve">(art. 1, num. 6) [N04]. Para la investigación con biodiversidad, el Ministerio tiene la función de</w:t>
      </w:r>
      <w:r>
        <w:t xml:space="preserve"> </w:t>
      </w:r>
      <w:r>
        <w:t xml:space="preserve">“</w:t>
      </w:r>
      <w:r>
        <w:t xml:space="preserve">regular, conforme a la ley, la obtención, uso, manejo, investigación, importación, exportación, así como la distribución y el comercio de especies y estirpes genéticas de fauna y flora silvestres</w:t>
      </w:r>
      <w:r>
        <w:t xml:space="preserve">”</w:t>
      </w:r>
      <w:r>
        <w:t xml:space="preserve"> </w:t>
      </w:r>
      <w:r>
        <w:t xml:space="preserve">(art. 5, num. 21) y de vigilar que la investigación de nacionales o extranjeros</w:t>
      </w:r>
      <w:r>
        <w:t xml:space="preserve"> </w:t>
      </w:r>
      <w:r>
        <w:t xml:space="preserve">“</w:t>
      </w:r>
      <w:r>
        <w:t xml:space="preserve">respete la soberanía nacional y los derechos de la Nación colombiana sobre sus recursos genéticos</w:t>
      </w:r>
      <w:r>
        <w:t xml:space="preserve">”</w:t>
      </w:r>
      <w:r>
        <w:t xml:space="preserve"> </w:t>
      </w:r>
      <w:r>
        <w:t xml:space="preserve">(art. 5, num. 38) [N04].</w:t>
      </w:r>
    </w:p>
    <w:p>
      <w:pPr>
        <w:pStyle w:val="BodyText"/>
      </w:pPr>
      <w:r>
        <w:t xml:space="preserve">Las autoridades con las que un investigador o consultor interactúa en materia de permisos se resumen en la Tabla 2.2. La regla general es que la autoridad competente depende del tipo de permiso y de la extensión geográfica del muestreo; el criterio específico de cada trámite se explica en la sección 3.</w:t>
      </w:r>
    </w:p>
    <w:p>
      <w:pPr>
        <w:pStyle w:val="BodyText"/>
      </w:pPr>
      <w:r>
        <w:rPr>
          <w:bCs/>
          <w:b/>
        </w:rPr>
        <w:t xml:space="preserve">Tabla 2.2.</w:t>
      </w:r>
      <w:r>
        <w:t xml:space="preserve"> </w:t>
      </w:r>
      <w:r>
        <w:t xml:space="preserve">Autoridades que intervienen en los permisos de investigación con biodiversidad.</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1980"/>
        <w:gridCol w:w="1980"/>
        <w:gridCol w:w="1980"/>
        <w:gridCol w:w="1980"/>
      </w:tblGrid>
      <w:tr>
        <w:trPr>
          <w:tblHeader w:val="true"/>
        </w:trPr>
        <w:tc>
          <w:tcPr/>
          <w:p>
            <w:pPr>
              <w:pStyle w:val="Compact"/>
              <w:jc w:val="left"/>
            </w:pPr>
            <w:r>
              <w:rPr>
                <w:sz w:val="18"/>
              </w:rPr>
              <w:t xml:space="preserve">Autoridad</w:t>
            </w:r>
          </w:p>
        </w:tc>
        <w:tc>
          <w:tcPr/>
          <w:p>
            <w:pPr>
              <w:pStyle w:val="Compact"/>
              <w:jc w:val="left"/>
            </w:pPr>
            <w:r>
              <w:rPr>
                <w:sz w:val="18"/>
              </w:rPr>
              <w:t xml:space="preserve">Naturaleza</w:t>
            </w:r>
          </w:p>
        </w:tc>
        <w:tc>
          <w:tcPr/>
          <w:p>
            <w:pPr>
              <w:pStyle w:val="Compact"/>
              <w:jc w:val="left"/>
            </w:pPr>
            <w:r>
              <w:rPr>
                <w:sz w:val="18"/>
              </w:rPr>
              <w:t xml:space="preserve">Papel en los permisos</w:t>
            </w:r>
          </w:p>
        </w:tc>
        <w:tc>
          <w:tcPr/>
          <w:p>
            <w:pPr>
              <w:pStyle w:val="Compact"/>
              <w:jc w:val="left"/>
            </w:pPr>
            <w:r>
              <w:rPr>
                <w:sz w:val="18"/>
              </w:rPr>
              <w:t xml:space="preserve">Fuente</w:t>
            </w:r>
          </w:p>
        </w:tc>
      </w:tr>
      <w:tr>
        <w:tc>
          <w:tcPr/>
          <w:p>
            <w:pPr>
              <w:pStyle w:val="Compact"/>
              <w:jc w:val="left"/>
            </w:pPr>
            <w:r>
              <w:rPr>
                <w:sz w:val="18"/>
              </w:rPr>
              <w:t xml:space="preserve">Ministerio de Ambiente y Desarrollo Sostenible (MADS)</w:t>
            </w:r>
          </w:p>
        </w:tc>
        <w:tc>
          <w:tcPr/>
          <w:p>
            <w:pPr>
              <w:pStyle w:val="Compact"/>
              <w:jc w:val="left"/>
            </w:pPr>
            <w:r>
              <w:rPr>
                <w:sz w:val="18"/>
              </w:rPr>
              <w:t xml:space="preserve">Rector de la gestión ambiental</w:t>
            </w:r>
          </w:p>
        </w:tc>
        <w:tc>
          <w:tcPr/>
          <w:p>
            <w:pPr>
              <w:pStyle w:val="Compact"/>
              <w:jc w:val="left"/>
            </w:pPr>
            <w:r>
              <w:rPr>
                <w:sz w:val="18"/>
              </w:rPr>
              <w:t xml:space="preserve">Regula; tramita el acceso a recursos genéticos y suscribe los contratos; es la autoridad administrativa CITES y expide sus certificados</w:t>
            </w:r>
          </w:p>
        </w:tc>
        <w:tc>
          <w:tcPr/>
          <w:p>
            <w:pPr>
              <w:pStyle w:val="Compact"/>
              <w:jc w:val="left"/>
            </w:pPr>
            <w:r>
              <w:rPr>
                <w:sz w:val="18"/>
              </w:rPr>
              <w:t xml:space="preserve">Ley 99/1993, art. 5 [N04]; Decreto-Ley 3570/2011, art. 16, nums. 13–14 [N37]</w:t>
            </w:r>
          </w:p>
        </w:tc>
      </w:tr>
      <w:tr>
        <w:tc>
          <w:tcPr/>
          <w:p>
            <w:pPr>
              <w:pStyle w:val="Compact"/>
              <w:jc w:val="left"/>
            </w:pPr>
            <w:r>
              <w:rPr>
                <w:sz w:val="18"/>
              </w:rPr>
              <w:t xml:space="preserve">Autoridad Nacional de Licencias Ambientales (ANLA)</w:t>
            </w:r>
          </w:p>
        </w:tc>
        <w:tc>
          <w:tcPr/>
          <w:p>
            <w:pPr>
              <w:pStyle w:val="Compact"/>
              <w:jc w:val="left"/>
            </w:pPr>
            <w:r>
              <w:rPr>
                <w:sz w:val="18"/>
              </w:rPr>
              <w:t xml:space="preserve">Unidad administrativa especial del sector ambiente</w:t>
            </w:r>
          </w:p>
        </w:tc>
        <w:tc>
          <w:tcPr/>
          <w:p>
            <w:pPr>
              <w:pStyle w:val="Compact"/>
              <w:jc w:val="left"/>
            </w:pPr>
            <w:r>
              <w:rPr>
                <w:sz w:val="18"/>
              </w:rPr>
              <w:t xml:space="preserve">Otorga o niega los permisos y trámites ambientales de competencia del MADS y hace su seguimiento; dirime conflictos de competencia entre jurisdicciones</w:t>
            </w:r>
          </w:p>
        </w:tc>
        <w:tc>
          <w:tcPr/>
          <w:p>
            <w:pPr>
              <w:pStyle w:val="Compact"/>
              <w:jc w:val="left"/>
            </w:pPr>
            <w:r>
              <w:rPr>
                <w:sz w:val="18"/>
              </w:rPr>
              <w:t xml:space="preserve">Decreto-Ley 3573/2011, arts. 2 y 3 [N05]</w:t>
            </w:r>
          </w:p>
        </w:tc>
      </w:tr>
      <w:tr>
        <w:tc>
          <w:tcPr/>
          <w:p>
            <w:pPr>
              <w:pStyle w:val="Compact"/>
              <w:jc w:val="left"/>
            </w:pPr>
            <w:r>
              <w:rPr>
                <w:sz w:val="18"/>
              </w:rPr>
              <w:t xml:space="preserve">Corporaciones Autónomas Regionales (CAR) y de Desarrollo Sostenible</w:t>
            </w:r>
          </w:p>
        </w:tc>
        <w:tc>
          <w:tcPr/>
          <w:p>
            <w:pPr>
              <w:pStyle w:val="Compact"/>
              <w:jc w:val="left"/>
            </w:pPr>
            <w:r>
              <w:rPr>
                <w:sz w:val="18"/>
              </w:rPr>
              <w:t xml:space="preserve">Entes corporativos con autonomía administrativa y financiera</w:t>
            </w:r>
          </w:p>
        </w:tc>
        <w:tc>
          <w:tcPr/>
          <w:p>
            <w:pPr>
              <w:pStyle w:val="Compact"/>
              <w:jc w:val="left"/>
            </w:pPr>
            <w:r>
              <w:rPr>
                <w:sz w:val="18"/>
              </w:rPr>
              <w:t xml:space="preserve">Administran el ambiente y los recursos naturales dentro de su jurisdicción; otorgan permisos cuando el muestreo se limita a su territorio</w:t>
            </w:r>
          </w:p>
        </w:tc>
        <w:tc>
          <w:tcPr/>
          <w:p>
            <w:pPr>
              <w:pStyle w:val="Compact"/>
              <w:jc w:val="left"/>
            </w:pPr>
            <w:r>
              <w:rPr>
                <w:sz w:val="18"/>
              </w:rPr>
              <w:t xml:space="preserve">Ley 99/1993, arts. 23 y 31 [N04]</w:t>
            </w:r>
          </w:p>
        </w:tc>
      </w:tr>
      <w:tr>
        <w:tc>
          <w:tcPr/>
          <w:p>
            <w:pPr>
              <w:pStyle w:val="Compact"/>
              <w:jc w:val="left"/>
            </w:pPr>
            <w:r>
              <w:rPr>
                <w:sz w:val="18"/>
              </w:rPr>
              <w:t xml:space="preserve">Autoridades ambientales de grandes centros urbanos</w:t>
            </w:r>
          </w:p>
        </w:tc>
        <w:tc>
          <w:tcPr/>
          <w:p>
            <w:pPr>
              <w:pStyle w:val="Compact"/>
              <w:jc w:val="left"/>
            </w:pPr>
            <w:r>
              <w:rPr>
                <w:sz w:val="18"/>
              </w:rPr>
              <w:t xml:space="preserve">Autoridades de municipios o distritos con población igual o superior a un millón de habitantes</w:t>
            </w:r>
          </w:p>
        </w:tc>
        <w:tc>
          <w:tcPr/>
          <w:p>
            <w:pPr>
              <w:pStyle w:val="Compact"/>
              <w:jc w:val="left"/>
            </w:pPr>
            <w:r>
              <w:rPr>
                <w:sz w:val="18"/>
              </w:rPr>
              <w:t xml:space="preserve">Ejercen dentro del perímetro urbano las funciones de las CAR</w:t>
            </w:r>
          </w:p>
        </w:tc>
        <w:tc>
          <w:tcPr/>
          <w:p>
            <w:pPr>
              <w:pStyle w:val="Compact"/>
              <w:jc w:val="left"/>
            </w:pPr>
            <w:r>
              <w:rPr>
                <w:sz w:val="18"/>
              </w:rPr>
              <w:t xml:space="preserve">Ley 99/1993, arts. 55 y 66 [N04]</w:t>
            </w:r>
          </w:p>
        </w:tc>
      </w:tr>
      <w:tr>
        <w:tc>
          <w:tcPr/>
          <w:p>
            <w:pPr>
              <w:pStyle w:val="Compact"/>
              <w:jc w:val="left"/>
            </w:pPr>
            <w:r>
              <w:rPr>
                <w:sz w:val="18"/>
              </w:rPr>
              <w:t xml:space="preserve">Parques Nacionales Naturales de Colombia (PNN)</w:t>
            </w:r>
          </w:p>
        </w:tc>
        <w:tc>
          <w:tcPr/>
          <w:p>
            <w:pPr>
              <w:pStyle w:val="Compact"/>
              <w:jc w:val="left"/>
            </w:pPr>
            <w:r>
              <w:rPr>
                <w:sz w:val="18"/>
              </w:rPr>
              <w:t xml:space="preserve">Administrador del Sistema de Parques Nacionales Naturales</w:t>
            </w:r>
          </w:p>
        </w:tc>
        <w:tc>
          <w:tcPr/>
          <w:p>
            <w:pPr>
              <w:pStyle w:val="Compact"/>
              <w:jc w:val="left"/>
            </w:pPr>
            <w:r>
              <w:rPr>
                <w:sz w:val="18"/>
              </w:rPr>
              <w:t xml:space="preserve">Autoriza la investigación dentro de las áreas del sistema</w:t>
            </w:r>
          </w:p>
        </w:tc>
        <w:tc>
          <w:tcPr/>
          <w:p>
            <w:pPr>
              <w:pStyle w:val="Compact"/>
              <w:jc w:val="left"/>
            </w:pPr>
            <w:r>
              <w:rPr>
                <w:sz w:val="18"/>
              </w:rPr>
              <w:t xml:space="preserve">DUR 1076/2015 [N06, N18]</w:t>
            </w:r>
          </w:p>
        </w:tc>
      </w:tr>
      <w:tr>
        <w:tc>
          <w:tcPr/>
          <w:p>
            <w:pPr>
              <w:pStyle w:val="Compact"/>
              <w:jc w:val="left"/>
            </w:pPr>
            <w:r>
              <w:rPr>
                <w:sz w:val="18"/>
              </w:rPr>
              <w:t xml:space="preserve">Instituto Humboldt</w:t>
            </w:r>
          </w:p>
        </w:tc>
        <w:tc>
          <w:tcPr/>
          <w:p>
            <w:pPr>
              <w:pStyle w:val="Compact"/>
              <w:jc w:val="left"/>
            </w:pPr>
            <w:r>
              <w:rPr>
                <w:sz w:val="18"/>
              </w:rPr>
              <w:t xml:space="preserve">Instituto de investigación del SINA</w:t>
            </w:r>
          </w:p>
        </w:tc>
        <w:tc>
          <w:tcPr/>
          <w:p>
            <w:pPr>
              <w:pStyle w:val="Compact"/>
              <w:jc w:val="left"/>
            </w:pPr>
            <w:r>
              <w:rPr>
                <w:sz w:val="18"/>
              </w:rPr>
              <w:t xml:space="preserve">Administra el Registro Único Nacional de Colecciones Biológicas y el SiB Colombia</w:t>
            </w:r>
          </w:p>
        </w:tc>
        <w:tc>
          <w:tcPr/>
          <w:p>
            <w:pPr>
              <w:pStyle w:val="Compact"/>
              <w:jc w:val="left"/>
            </w:pPr>
            <w:r>
              <w:rPr>
                <w:sz w:val="18"/>
              </w:rPr>
              <w:t xml:space="preserve">DUR 1076/2015 [N08, N10]</w:t>
            </w:r>
          </w:p>
        </w:tc>
      </w:tr>
    </w:tbl>
    <w:p>
      <w:pPr>
        <w:pStyle w:val="BodyText"/>
      </w:pPr>
      <w:r>
        <w:t xml:space="preserve">[VERIFICAR — N37: confirmar en la versión integrada que el art. 16 del Decreto-Ley 3570/2011 no tiene modificaciones posteriores antes de citarlo.]</w:t>
      </w:r>
    </w:p>
    <w:bookmarkEnd w:id="25"/>
    <w:bookmarkStart w:id="26" w:name="X3335ef2433ae0db7d623b4bd72d40dbb593f592"/>
    <w:p>
      <w:pPr>
        <w:pStyle w:val="Heading2"/>
      </w:pPr>
      <w:r>
        <w:t xml:space="preserve">2.4 El Decreto Único Reglamentario 1076 de 2015: la puerta de entrada</w:t>
      </w:r>
    </w:p>
    <w:p>
      <w:pPr>
        <w:pStyle w:val="FirstParagraph"/>
      </w:pPr>
      <w:r>
        <w:t xml:space="preserve">El Decreto 1076 de 2015, Decreto Único Reglamentario del Sector Ambiente y Desarrollo Sostenible (DUR), compila en un solo texto los decretos reglamentarios del sector, entre ellos los que regulan los permisos de investigación [N06]. Para quien trabaja con biodiversidad, los capítulos clave están en el Libro 2, Parte 2, Título 2:</w:t>
      </w:r>
    </w:p>
    <w:p>
      <w:pPr>
        <w:numPr>
          <w:ilvl w:val="0"/>
          <w:numId w:val="1002"/>
        </w:numPr>
        <w:pStyle w:val="Compact"/>
      </w:pPr>
      <w:r>
        <w:rPr>
          <w:bCs/>
          <w:b/>
        </w:rPr>
        <w:t xml:space="preserve">Capítulo 8,</w:t>
      </w:r>
      <w:r>
        <w:rPr>
          <w:bCs/>
          <w:b/>
        </w:rPr>
        <w:t xml:space="preserve"> </w:t>
      </w:r>
      <w:r>
        <w:rPr>
          <w:bCs/>
          <w:b/>
        </w:rPr>
        <w:t xml:space="preserve">“</w:t>
      </w:r>
      <w:r>
        <w:rPr>
          <w:bCs/>
          <w:b/>
        </w:rPr>
        <w:t xml:space="preserve">Investigación científica</w:t>
      </w:r>
      <w:r>
        <w:rPr>
          <w:bCs/>
          <w:b/>
        </w:rPr>
        <w:t xml:space="preserve">”</w:t>
      </w:r>
      <w:r>
        <w:t xml:space="preserve"> </w:t>
      </w:r>
      <w:r>
        <w:t xml:space="preserve">(arts. 2.2.2.8.1.1 a 2.2.2.8.6.9): permiso de recolección con fines de investigación científica no comercial, en sus modalidades marco e individual. Proviene del Decreto 1376 de 2013 [N06, N07].</w:t>
      </w:r>
    </w:p>
    <w:p>
      <w:pPr>
        <w:numPr>
          <w:ilvl w:val="0"/>
          <w:numId w:val="1002"/>
        </w:numPr>
        <w:pStyle w:val="Compact"/>
      </w:pPr>
      <w:r>
        <w:rPr>
          <w:bCs/>
          <w:b/>
        </w:rPr>
        <w:t xml:space="preserve">Capítulo 9, Sección 1,</w:t>
      </w:r>
      <w:r>
        <w:rPr>
          <w:bCs/>
          <w:b/>
        </w:rPr>
        <w:t xml:space="preserve"> </w:t>
      </w:r>
      <w:r>
        <w:rPr>
          <w:bCs/>
          <w:b/>
        </w:rPr>
        <w:t xml:space="preserve">“</w:t>
      </w:r>
      <w:r>
        <w:rPr>
          <w:bCs/>
          <w:b/>
        </w:rPr>
        <w:t xml:space="preserve">Colecciones biológicas</w:t>
      </w:r>
      <w:r>
        <w:rPr>
          <w:bCs/>
          <w:b/>
        </w:rPr>
        <w:t xml:space="preserve">”</w:t>
      </w:r>
      <w:r>
        <w:t xml:space="preserve"> </w:t>
      </w:r>
      <w:r>
        <w:t xml:space="preserve">(arts. 2.2.2.9.1.1 a 2.2.2.9.1.14): registro de colecciones y depósito de especímenes. Proviene del Decreto 1375 de 2013 [N06, N10].</w:t>
      </w:r>
    </w:p>
    <w:p>
      <w:pPr>
        <w:numPr>
          <w:ilvl w:val="0"/>
          <w:numId w:val="1002"/>
        </w:numPr>
        <w:pStyle w:val="Compact"/>
      </w:pPr>
      <w:r>
        <w:rPr>
          <w:bCs/>
          <w:b/>
        </w:rPr>
        <w:t xml:space="preserve">Capítulo 9, Sección 2,</w:t>
      </w:r>
      <w:r>
        <w:rPr>
          <w:bCs/>
          <w:b/>
        </w:rPr>
        <w:t xml:space="preserve"> </w:t>
      </w:r>
      <w:r>
        <w:rPr>
          <w:bCs/>
          <w:b/>
        </w:rPr>
        <w:t xml:space="preserve">“</w:t>
      </w:r>
      <w:r>
        <w:rPr>
          <w:bCs/>
          <w:b/>
        </w:rPr>
        <w:t xml:space="preserve">Permiso de estudio para la recolección de especímenes de especies silvestres de la diversidad biológica con fines de elaboración de estudios ambientales</w:t>
      </w:r>
      <w:r>
        <w:rPr>
          <w:bCs/>
          <w:b/>
        </w:rPr>
        <w:t xml:space="preserve">”</w:t>
      </w:r>
      <w:r>
        <w:t xml:space="preserve"> </w:t>
      </w:r>
      <w:r>
        <w:t xml:space="preserve">(arts. 2.2.2.9.2.1 a 2.2.2.9.2.14). Proviene del Decreto 3016 de 2013 [N06, N09].</w:t>
      </w:r>
    </w:p>
    <w:p>
      <w:pPr>
        <w:pStyle w:val="FirstParagraph"/>
      </w:pPr>
      <w:r>
        <w:t xml:space="preserve">Dos advertencias prácticas. Primera: el DUR se modifica con frecuencia, por lo que debe consultarse siempre en su versión integrada y actualizada; la versión utilizada en este capítulo es la publicada por el Departamento Administrativo de la Función Pública con fecha de actualización del 2 de noviembre de 2025 [N06]. Segunda: en la práctica se siguen citando los decretos de 2013 por su número original; ambas referencias son válidas, pero la que tiene fuerza vigente es el artículo del DUR.</w:t>
      </w:r>
    </w:p>
    <w:p>
      <w:pPr>
        <w:pStyle w:val="BlockText"/>
      </w:pPr>
      <w:r>
        <w:t xml:space="preserve">⚠️</w:t>
      </w:r>
      <w:r>
        <w:t xml:space="preserve"> </w:t>
      </w:r>
      <w:r>
        <w:rPr>
          <w:bCs/>
          <w:b/>
        </w:rPr>
        <w:t xml:space="preserve">ZONA GRIS (revisión jurídica) — Decreto 309 de 2000.</w:t>
      </w:r>
      <w:r>
        <w:t xml:space="preserve"> </w:t>
      </w:r>
      <w:r>
        <w:t xml:space="preserve">El DUR conserva compilado en el Libro 2, Parte 2, Título 1, Capítulo 5 (arts. 2.2.1.5.1.1 a 2.2.1.5.1.15) el régimen del antiguo permiso de estudio con fines de investigación científica en diversidad biológica (Decreto 309 de 2000), sin nota expresa de derogatoria, aunque el Decreto 1376 de 2013 reguló la misma materia [N40]. Este capítulo se basa en el régimen del Decreto 1376 de 2013 (sección 3.1). [Texto definitivo pendiente del concepto del abogado.]</w:t>
      </w:r>
    </w:p>
    <w:bookmarkEnd w:id="26"/>
    <w:bookmarkStart w:id="27" w:name="conceptos-básicos"/>
    <w:p>
      <w:pPr>
        <w:pStyle w:val="Heading2"/>
      </w:pPr>
      <w:r>
        <w:t xml:space="preserve">2.5 Conceptos básicos</w:t>
      </w:r>
    </w:p>
    <w:p>
      <w:pPr>
        <w:pStyle w:val="FirstParagraph"/>
      </w:pPr>
      <w:r>
        <w:t xml:space="preserve">La Tabla 2.1 reúne las definiciones normativas que se usan a lo largo del capítulo. Se transcriben literalmente porque de ellas depende qué permiso se requiere.</w:t>
      </w:r>
    </w:p>
    <w:p>
      <w:pPr>
        <w:pStyle w:val="BodyText"/>
      </w:pPr>
      <w:r>
        <w:rPr>
          <w:bCs/>
          <w:b/>
        </w:rPr>
        <w:t xml:space="preserve">Tabla 2.1.</w:t>
      </w:r>
      <w:r>
        <w:t xml:space="preserve"> </w:t>
      </w:r>
      <w:r>
        <w:t xml:space="preserve">Definiciones normativas básicas.</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2640"/>
        <w:gridCol w:w="2640"/>
        <w:gridCol w:w="2640"/>
      </w:tblGrid>
      <w:tr>
        <w:trPr>
          <w:tblHeader w:val="true"/>
        </w:trPr>
        <w:tc>
          <w:tcPr/>
          <w:p>
            <w:pPr>
              <w:pStyle w:val="Compact"/>
              <w:jc w:val="left"/>
            </w:pPr>
            <w:r>
              <w:rPr>
                <w:sz w:val="18"/>
              </w:rPr>
              <w:t xml:space="preserve">Término</w:t>
            </w:r>
          </w:p>
        </w:tc>
        <w:tc>
          <w:tcPr/>
          <w:p>
            <w:pPr>
              <w:pStyle w:val="Compact"/>
              <w:jc w:val="left"/>
            </w:pPr>
            <w:r>
              <w:rPr>
                <w:sz w:val="18"/>
              </w:rPr>
              <w:t xml:space="preserve">Definición</w:t>
            </w:r>
          </w:p>
        </w:tc>
        <w:tc>
          <w:tcPr/>
          <w:p>
            <w:pPr>
              <w:pStyle w:val="Compact"/>
              <w:jc w:val="left"/>
            </w:pPr>
            <w:r>
              <w:rPr>
                <w:sz w:val="18"/>
              </w:rPr>
              <w:t xml:space="preserve">Fuente</w:t>
            </w:r>
          </w:p>
        </w:tc>
      </w:tr>
      <w:tr>
        <w:tc>
          <w:tcPr/>
          <w:p>
            <w:pPr>
              <w:pStyle w:val="Compact"/>
              <w:jc w:val="left"/>
            </w:pPr>
            <w:r>
              <w:rPr>
                <w:sz w:val="18"/>
              </w:rPr>
              <w:t xml:space="preserve">Diversidad biológica</w:t>
            </w:r>
          </w:p>
        </w:tc>
        <w:tc>
          <w:tcPr/>
          <w:p>
            <w:pPr>
              <w:pStyle w:val="Compact"/>
              <w:jc w:val="left"/>
            </w:pPr>
            <w:r>
              <w:rPr>
                <w:sz w:val="18"/>
              </w:rPr>
              <w:t xml:space="preserve">“</w:t>
            </w:r>
            <w:r>
              <w:rPr>
                <w:sz w:val="18"/>
              </w:rPr>
              <w:t xml:space="preserve">La variabilidad de organismos vivos de cualquier fuente, incluidos entre otras cosas, los ecosistemas terrestres y marinos y otros ecosistemas acuáticos y los complejos ecológicos de los que forman parte; comprende la diversidad dentro de cada especie, entre las especies y de los ecosistemas.</w:t>
            </w:r>
            <w:r>
              <w:rPr>
                <w:sz w:val="18"/>
              </w:rPr>
              <w:t xml:space="preserve">”</w:t>
            </w:r>
          </w:p>
        </w:tc>
        <w:tc>
          <w:tcPr/>
          <w:p>
            <w:pPr>
              <w:pStyle w:val="Compact"/>
              <w:jc w:val="left"/>
            </w:pPr>
            <w:r>
              <w:rPr>
                <w:sz w:val="18"/>
              </w:rPr>
              <w:t xml:space="preserve">CDB, art. 2 (Ley 165/1994) [N02]</w:t>
            </w:r>
          </w:p>
        </w:tc>
      </w:tr>
      <w:tr>
        <w:tc>
          <w:tcPr/>
          <w:p>
            <w:pPr>
              <w:pStyle w:val="Compact"/>
              <w:jc w:val="left"/>
            </w:pPr>
            <w:r>
              <w:rPr>
                <w:sz w:val="18"/>
              </w:rPr>
              <w:t xml:space="preserve">Material genético</w:t>
            </w:r>
          </w:p>
        </w:tc>
        <w:tc>
          <w:tcPr/>
          <w:p>
            <w:pPr>
              <w:pStyle w:val="Compact"/>
              <w:jc w:val="left"/>
            </w:pPr>
            <w:r>
              <w:rPr>
                <w:sz w:val="18"/>
              </w:rPr>
              <w:t xml:space="preserve">“</w:t>
            </w:r>
            <w:r>
              <w:rPr>
                <w:sz w:val="18"/>
              </w:rPr>
              <w:t xml:space="preserve">Todo material de origen vegetal, animal, microbiano o de otro tipo que contenga unidades funcionales de la herencia.</w:t>
            </w:r>
            <w:r>
              <w:rPr>
                <w:sz w:val="18"/>
              </w:rPr>
              <w:t xml:space="preserve">”</w:t>
            </w:r>
          </w:p>
        </w:tc>
        <w:tc>
          <w:tcPr/>
          <w:p>
            <w:pPr>
              <w:pStyle w:val="Compact"/>
              <w:jc w:val="left"/>
            </w:pPr>
            <w:r>
              <w:rPr>
                <w:sz w:val="18"/>
              </w:rPr>
              <w:t xml:space="preserve">CDB, art. 2 [N02]</w:t>
            </w:r>
          </w:p>
        </w:tc>
      </w:tr>
      <w:tr>
        <w:tc>
          <w:tcPr/>
          <w:p>
            <w:pPr>
              <w:pStyle w:val="Compact"/>
              <w:jc w:val="left"/>
            </w:pPr>
            <w:r>
              <w:rPr>
                <w:sz w:val="18"/>
              </w:rPr>
              <w:t xml:space="preserve">Recursos genéticos</w:t>
            </w:r>
          </w:p>
        </w:tc>
        <w:tc>
          <w:tcPr/>
          <w:p>
            <w:pPr>
              <w:pStyle w:val="Compact"/>
              <w:jc w:val="left"/>
            </w:pPr>
            <w:r>
              <w:rPr>
                <w:sz w:val="18"/>
              </w:rPr>
              <w:t xml:space="preserve">“</w:t>
            </w:r>
            <w:r>
              <w:rPr>
                <w:sz w:val="18"/>
              </w:rPr>
              <w:t xml:space="preserve">Todo material de naturaleza biológica que contenga información genética de valor o utilidad real o potencial.</w:t>
            </w:r>
            <w:r>
              <w:rPr>
                <w:sz w:val="18"/>
              </w:rPr>
              <w:t xml:space="preserve">”</w:t>
            </w:r>
          </w:p>
        </w:tc>
        <w:tc>
          <w:tcPr/>
          <w:p>
            <w:pPr>
              <w:pStyle w:val="Compact"/>
              <w:jc w:val="left"/>
            </w:pPr>
            <w:r>
              <w:rPr>
                <w:sz w:val="18"/>
              </w:rPr>
              <w:t xml:space="preserve">Decisión 391/1996, art. 1 [N14]</w:t>
            </w:r>
          </w:p>
        </w:tc>
      </w:tr>
      <w:tr>
        <w:tc>
          <w:tcPr/>
          <w:p>
            <w:pPr>
              <w:pStyle w:val="Compact"/>
              <w:jc w:val="left"/>
            </w:pPr>
            <w:r>
              <w:rPr>
                <w:sz w:val="18"/>
              </w:rPr>
              <w:t xml:space="preserve">Producto derivado</w:t>
            </w:r>
          </w:p>
        </w:tc>
        <w:tc>
          <w:tcPr/>
          <w:p>
            <w:pPr>
              <w:pStyle w:val="Compact"/>
              <w:jc w:val="left"/>
            </w:pPr>
            <w:r>
              <w:rPr>
                <w:sz w:val="18"/>
              </w:rPr>
              <w:t xml:space="preserve">“</w:t>
            </w:r>
            <w:r>
              <w:rPr>
                <w:sz w:val="18"/>
              </w:rPr>
              <w:t xml:space="preserve">Molécula, combinación o mezcla de moléculas naturales, incluyendo extractos crudos de organismos vivos o muertos de origen biológico, provenientes del metabolismo de seres vivos.</w:t>
            </w:r>
            <w:r>
              <w:rPr>
                <w:sz w:val="18"/>
              </w:rPr>
              <w:t xml:space="preserve">”</w:t>
            </w:r>
          </w:p>
        </w:tc>
        <w:tc>
          <w:tcPr/>
          <w:p>
            <w:pPr>
              <w:pStyle w:val="Compact"/>
              <w:jc w:val="left"/>
            </w:pPr>
            <w:r>
              <w:rPr>
                <w:sz w:val="18"/>
              </w:rPr>
              <w:t xml:space="preserve">Decisión 391/1996, art. 1 [N14]</w:t>
            </w:r>
          </w:p>
        </w:tc>
      </w:tr>
      <w:tr>
        <w:tc>
          <w:tcPr/>
          <w:p>
            <w:pPr>
              <w:pStyle w:val="Compact"/>
              <w:jc w:val="left"/>
            </w:pPr>
            <w:r>
              <w:rPr>
                <w:sz w:val="18"/>
              </w:rPr>
              <w:t xml:space="preserve">Acceso</w:t>
            </w:r>
          </w:p>
        </w:tc>
        <w:tc>
          <w:tcPr/>
          <w:p>
            <w:pPr>
              <w:pStyle w:val="Compact"/>
              <w:jc w:val="left"/>
            </w:pPr>
            <w:r>
              <w:rPr>
                <w:sz w:val="18"/>
              </w:rPr>
              <w:t xml:space="preserve">“</w:t>
            </w:r>
            <w:r>
              <w:rPr>
                <w:sz w:val="18"/>
              </w:rPr>
              <w:t xml:space="preserve">Obtención y utilización de los recursos genéticos conservados en condiciones ex situ e in situ, de sus productos derivados o, de ser el caso, de sus componentes intangibles, con fines de investigación, prospección biológica, conservación, aplicación industrial o aprovechamiento comercial, entre otros.</w:t>
            </w:r>
            <w:r>
              <w:rPr>
                <w:sz w:val="18"/>
              </w:rPr>
              <w:t xml:space="preserve">”</w:t>
            </w:r>
          </w:p>
        </w:tc>
        <w:tc>
          <w:tcPr/>
          <w:p>
            <w:pPr>
              <w:pStyle w:val="Compact"/>
              <w:jc w:val="left"/>
            </w:pPr>
            <w:r>
              <w:rPr>
                <w:sz w:val="18"/>
              </w:rPr>
              <w:t xml:space="preserve">Decisión 391/1996, art. 1 [N14]</w:t>
            </w:r>
          </w:p>
        </w:tc>
      </w:tr>
      <w:tr>
        <w:tc>
          <w:tcPr/>
          <w:p>
            <w:pPr>
              <w:pStyle w:val="Compact"/>
              <w:jc w:val="left"/>
            </w:pPr>
            <w:r>
              <w:rPr>
                <w:sz w:val="18"/>
              </w:rPr>
              <w:t xml:space="preserve">Contrato de acceso</w:t>
            </w:r>
          </w:p>
        </w:tc>
        <w:tc>
          <w:tcPr/>
          <w:p>
            <w:pPr>
              <w:pStyle w:val="Compact"/>
              <w:jc w:val="left"/>
            </w:pPr>
            <w:r>
              <w:rPr>
                <w:sz w:val="18"/>
              </w:rPr>
              <w:t xml:space="preserve">“</w:t>
            </w:r>
            <w:r>
              <w:rPr>
                <w:sz w:val="18"/>
              </w:rPr>
              <w:t xml:space="preserve">Acuerdo entre la Autoridad Nacional Competente en representación del Estado y una persona, el cual establece los términos y condiciones para el acceso a recursos genéticos, sus productos derivados y, de ser el caso, el componente intangible asociado.</w:t>
            </w:r>
            <w:r>
              <w:rPr>
                <w:sz w:val="18"/>
              </w:rPr>
              <w:t xml:space="preserve">”</w:t>
            </w:r>
          </w:p>
        </w:tc>
        <w:tc>
          <w:tcPr/>
          <w:p>
            <w:pPr>
              <w:pStyle w:val="Compact"/>
              <w:jc w:val="left"/>
            </w:pPr>
            <w:r>
              <w:rPr>
                <w:sz w:val="18"/>
              </w:rPr>
              <w:t xml:space="preserve">Decisión 391/1996, art. 1 [N14]</w:t>
            </w:r>
          </w:p>
        </w:tc>
      </w:tr>
      <w:tr>
        <w:tc>
          <w:tcPr/>
          <w:p>
            <w:pPr>
              <w:pStyle w:val="Compact"/>
              <w:jc w:val="left"/>
            </w:pPr>
            <w:r>
              <w:rPr>
                <w:sz w:val="18"/>
              </w:rPr>
              <w:t xml:space="preserve">Colección biológica</w:t>
            </w:r>
          </w:p>
        </w:tc>
        <w:tc>
          <w:tcPr/>
          <w:p>
            <w:pPr>
              <w:pStyle w:val="Compact"/>
              <w:jc w:val="left"/>
            </w:pPr>
            <w:r>
              <w:rPr>
                <w:sz w:val="18"/>
              </w:rPr>
              <w:t xml:space="preserve">“</w:t>
            </w:r>
            <w:r>
              <w:rPr>
                <w:sz w:val="18"/>
              </w:rPr>
              <w:t xml:space="preserve">Conjunto de especímenes de la diversidad biológica preservados bajo estándares de curaduría especializada para cada uno de los grupos depositados en ella, los cuales deben estar debidamente catalogados, mantenidos y organizados taxonómicamente, de conformidad con lo establecido en el protocolo de manejo respectivo, que constituyen patrimonio de la Nación y que se encuentran bajo la administración de una persona natural o jurídica, tales como herbarios, museos de historia natural, bancos de germoplasma, bancos de tejidos y ADN, genotecas y ceparios […].</w:t>
            </w:r>
            <w:r>
              <w:rPr>
                <w:sz w:val="18"/>
              </w:rPr>
              <w:t xml:space="preserve">”</w:t>
            </w:r>
          </w:p>
        </w:tc>
        <w:tc>
          <w:tcPr/>
          <w:p>
            <w:pPr>
              <w:pStyle w:val="Compact"/>
              <w:jc w:val="left"/>
            </w:pPr>
            <w:r>
              <w:rPr>
                <w:sz w:val="18"/>
              </w:rPr>
              <w:t xml:space="preserve">DUR 1076/2015, art. 2.2.2.9.1.3 [N10]</w:t>
            </w:r>
          </w:p>
        </w:tc>
      </w:tr>
      <w:tr>
        <w:tc>
          <w:tcPr/>
          <w:p>
            <w:pPr>
              <w:pStyle w:val="Compact"/>
              <w:jc w:val="left"/>
            </w:pPr>
            <w:r>
              <w:rPr>
                <w:sz w:val="18"/>
              </w:rPr>
              <w:t xml:space="preserve">Recolección de especímenes</w:t>
            </w:r>
          </w:p>
        </w:tc>
        <w:tc>
          <w:tcPr/>
          <w:p>
            <w:pPr>
              <w:pStyle w:val="Compact"/>
              <w:jc w:val="left"/>
            </w:pPr>
            <w:r>
              <w:rPr>
                <w:sz w:val="18"/>
              </w:rPr>
              <w:t xml:space="preserve">“</w:t>
            </w:r>
            <w:r>
              <w:rPr>
                <w:sz w:val="18"/>
              </w:rPr>
              <w:t xml:space="preserve">Consiste en los procesos de captura, remoción o extracción temporal o definitiva del medio natural de especímenes de la diversidad biológica para la obtención de información científica con fines no comerciales, la integración de inventarios o el incremento de los acervos de las colecciones científicas o museográficas.</w:t>
            </w:r>
            <w:r>
              <w:rPr>
                <w:sz w:val="18"/>
              </w:rPr>
              <w:t xml:space="preserve">”</w:t>
            </w:r>
          </w:p>
        </w:tc>
        <w:tc>
          <w:tcPr/>
          <w:p>
            <w:pPr>
              <w:pStyle w:val="Compact"/>
              <w:jc w:val="left"/>
            </w:pPr>
            <w:r>
              <w:rPr>
                <w:sz w:val="18"/>
              </w:rPr>
              <w:t xml:space="preserve">DUR 1076/2015, art. 2.2.2.8.1.3 [N07]</w:t>
            </w:r>
          </w:p>
        </w:tc>
      </w:tr>
      <w:tr>
        <w:tc>
          <w:tcPr/>
          <w:p>
            <w:pPr>
              <w:pStyle w:val="Compact"/>
              <w:jc w:val="left"/>
            </w:pPr>
            <w:r>
              <w:rPr>
                <w:sz w:val="18"/>
              </w:rPr>
              <w:t xml:space="preserve">Instituciones Nacionales de Investigación</w:t>
            </w:r>
          </w:p>
        </w:tc>
        <w:tc>
          <w:tcPr/>
          <w:p>
            <w:pPr>
              <w:pStyle w:val="Compact"/>
              <w:jc w:val="left"/>
            </w:pPr>
            <w:r>
              <w:rPr>
                <w:sz w:val="18"/>
              </w:rPr>
              <w:t xml:space="preserve">“</w:t>
            </w:r>
            <w:r>
              <w:rPr>
                <w:sz w:val="18"/>
              </w:rPr>
              <w:t xml:space="preserve">a) Instituciones de educación superior. b) Colecciones biológicas vigentes registradas en el Registro Único Nacional de Colecciones Biológicas […]. c) Institutos o centros de investigación científica que cuenten con grupos de investigación categorizados ante Colciencias en áreas temáticas asociadas a las actividades de recolección.</w:t>
            </w:r>
            <w:r>
              <w:rPr>
                <w:sz w:val="18"/>
              </w:rPr>
              <w:t xml:space="preserve">”</w:t>
            </w:r>
          </w:p>
        </w:tc>
        <w:tc>
          <w:tcPr/>
          <w:p>
            <w:pPr>
              <w:pStyle w:val="Compact"/>
              <w:jc w:val="left"/>
            </w:pPr>
            <w:r>
              <w:rPr>
                <w:sz w:val="18"/>
              </w:rPr>
              <w:t xml:space="preserve">DUR 1076/2015, art. 2.2.2.8.1.3 [N07]</w:t>
            </w:r>
          </w:p>
        </w:tc>
      </w:tr>
    </w:tbl>
    <w:p>
      <w:pPr>
        <w:pStyle w:val="BodyText"/>
      </w:pPr>
      <w:r>
        <w:t xml:space="preserve">Nótese que la definición de recolección incluye la captura y la remoción</w:t>
      </w:r>
      <w:r>
        <w:t xml:space="preserve"> </w:t>
      </w:r>
      <w:r>
        <w:rPr>
          <w:bCs/>
          <w:b/>
        </w:rPr>
        <w:t xml:space="preserve">temporal</w:t>
      </w:r>
      <w:r>
        <w:t xml:space="preserve">: capturar, medir y liberar un animal también es recolección y requiere permiso [N07]. Nótese también que la Decisión 391 y el CDB definen</w:t>
      </w:r>
      <w:r>
        <w:t xml:space="preserve"> </w:t>
      </w:r>
      <w:r>
        <w:t xml:space="preserve">“</w:t>
      </w:r>
      <w:r>
        <w:t xml:space="preserve">recursos genéticos</w:t>
      </w:r>
      <w:r>
        <w:t xml:space="preserve">”</w:t>
      </w:r>
      <w:r>
        <w:t xml:space="preserve"> </w:t>
      </w:r>
      <w:r>
        <w:t xml:space="preserve">con formulaciones distintas; para efectos de trámite en Colombia prima la definición andina, por ser la norma que regula directamente el procedimiento de acceso [N14]. [VERIFICAR con el abogado la redacción de esta frase.]</w:t>
      </w:r>
    </w:p>
    <w:p>
      <w:pPr>
        <w:pStyle w:val="BlockText"/>
      </w:pPr>
      <w:r>
        <w:t xml:space="preserve">🗣️</w:t>
      </w:r>
      <w:r>
        <w:t xml:space="preserve"> </w:t>
      </w:r>
      <w:r>
        <w:rPr>
          <w:bCs/>
          <w:b/>
        </w:rPr>
        <w:t xml:space="preserve">TESTIMONIO (por conseguir) — T8, autoridad.</w:t>
      </w:r>
      <w:r>
        <w:t xml:space="preserve"> </w:t>
      </w:r>
      <w:r>
        <w:t xml:space="preserve">¿Cuáles son las confusiones más frecuentes sobre la autoridad competente en las solicitudes que llegan? Perfil: funcionario/a de la ANLA o de una CAR.</w:t>
      </w:r>
    </w:p>
    <w:p>
      <w:r>
        <w:pict>
          <v:rect style="width:0;height:1.5pt" o:hralign="center" o:hrstd="t" o:hr="t"/>
        </w:pict>
      </w:r>
    </w:p>
    <w:p>
      <w:pPr>
        <w:pStyle w:val="FirstParagraph"/>
      </w:pPr>
      <w:r>
        <w:rPr>
          <w:bCs/>
          <w:b/>
        </w:rPr>
        <w:t xml:space="preserve">Referencias citadas en esta sección (APA 7, provisional)</w:t>
      </w:r>
    </w:p>
    <w:p>
      <w:pPr>
        <w:pStyle w:val="BodyText"/>
      </w:pPr>
      <w:r>
        <w:t xml:space="preserve">Comunidad Andina. (1996).</w:t>
      </w:r>
      <w:r>
        <w:t xml:space="preserve"> </w:t>
      </w:r>
      <w:r>
        <w:rPr>
          <w:iCs/>
          <w:i/>
        </w:rPr>
        <w:t xml:space="preserve">Decisión 391: Régimen Común sobre Acceso a los Recursos Genéticos</w:t>
      </w:r>
      <w:r>
        <w:t xml:space="preserve">. Gaceta Oficial del Acuerdo de Cartagena, 213.</w:t>
      </w:r>
    </w:p>
    <w:p>
      <w:pPr>
        <w:pStyle w:val="BodyText"/>
      </w:pPr>
      <w:r>
        <w:t xml:space="preserve">Constitución Política de Colombia [Const.]. (1991). Artículos 27, 69, 79 y 81.</w:t>
      </w:r>
    </w:p>
    <w:p>
      <w:pPr>
        <w:pStyle w:val="BodyText"/>
      </w:pPr>
      <w:r>
        <w:t xml:space="preserve">Decreto 1076 de 2015. Por medio del cual se expide el Decreto Único Reglamentario del Sector Ambiente y Desarrollo Sostenible. Versión integrada actualizada al 2 de noviembre de 2025. Departamento Administrativo de la Función Pública.</w:t>
      </w:r>
    </w:p>
    <w:p>
      <w:pPr>
        <w:pStyle w:val="BodyText"/>
      </w:pPr>
      <w:r>
        <w:t xml:space="preserve">Decreto-Ley 3570 de 2011. Por el cual se modifican los objetivos y la estructura del Ministerio de Ambiente y Desarrollo Sostenible y se integra el Sector Administrativo de Ambiente y Desarrollo Sostenible.</w:t>
      </w:r>
    </w:p>
    <w:p>
      <w:pPr>
        <w:pStyle w:val="BodyText"/>
      </w:pPr>
      <w:r>
        <w:t xml:space="preserve">Decreto-Ley 3573 de 2011. Por el cual se crea la Autoridad Nacional de Licencias Ambientales –ANLA– y se dictan otras disposiciones.</w:t>
      </w:r>
    </w:p>
    <w:p>
      <w:pPr>
        <w:pStyle w:val="BodyText"/>
      </w:pPr>
      <w:r>
        <w:t xml:space="preserve">Ley 17 de 1981. Por la cual se aprueba la Convención sobre el Comercio Internacional de Especies Amenazadas de Fauna y Flora Silvestres.</w:t>
      </w:r>
    </w:p>
    <w:p>
      <w:pPr>
        <w:pStyle w:val="BodyText"/>
      </w:pPr>
      <w:r>
        <w:t xml:space="preserve">Ley 99 de 1993. Por la cual se crea el Ministerio del Medio Ambiente, se reordena el sector público encargado de la gestión y conservación del medio ambiente y los recursos naturales renovables, se organiza el Sistema Nacional Ambiental, SINA, y se dictan otras disposiciones.</w:t>
      </w:r>
    </w:p>
    <w:p>
      <w:pPr>
        <w:pStyle w:val="BodyText"/>
      </w:pPr>
      <w:r>
        <w:t xml:space="preserve">Ley 165 de 1994. Por medio de la cual se aprueba el</w:t>
      </w:r>
      <w:r>
        <w:t xml:space="preserve"> </w:t>
      </w:r>
      <w:r>
        <w:t xml:space="preserve">“</w:t>
      </w:r>
      <w:r>
        <w:t xml:space="preserve">Convenio sobre la Diversidad Biológica</w:t>
      </w:r>
      <w:r>
        <w:t xml:space="preserve">”</w:t>
      </w:r>
      <w:r>
        <w:t xml:space="preserve">, hecho en Río de Janeiro el 5 de junio de 1992.</w:t>
      </w:r>
    </w:p>
    <w:p>
      <w:pPr>
        <w:pStyle w:val="BodyText"/>
      </w:pPr>
      <w:r>
        <w:t xml:space="preserve">[VERIFICAR títulos exactos de la Ley 17/1981 y los decretos-ley antes de la versión final.]</w:t>
      </w:r>
    </w:p>
    <w:bookmarkEnd w:id="27"/>
    <w:bookmarkEnd w:id="28"/>
    <w:bookmarkStart w:id="40" w:name="tipos-de-permiso-y-autoridad-competente"/>
    <w:p>
      <w:pPr>
        <w:pStyle w:val="Heading1"/>
      </w:pPr>
      <w:r>
        <w:t xml:space="preserve">3. Tipos de permiso y autoridad competente</w:t>
      </w:r>
    </w:p>
    <w:p>
      <w:pPr>
        <w:pStyle w:val="FirstParagraph"/>
      </w:pPr>
      <w:r>
        <w:t xml:space="preserve">La primera pregunta que debe hacerse quien planea un muestreo no es</w:t>
      </w:r>
      <w:r>
        <w:t xml:space="preserve"> </w:t>
      </w:r>
      <w:r>
        <w:t xml:space="preserve">“</w:t>
      </w:r>
      <w:r>
        <w:t xml:space="preserve">¿qué permiso pido?</w:t>
      </w:r>
      <w:r>
        <w:t xml:space="preserve">”</w:t>
      </w:r>
      <w:r>
        <w:t xml:space="preserve">, sino</w:t>
      </w:r>
      <w:r>
        <w:t xml:space="preserve"> </w:t>
      </w:r>
      <w:r>
        <w:t xml:space="preserve">“</w:t>
      </w:r>
      <w:r>
        <w:t xml:space="preserve">¿para qué voy a recolectar?</w:t>
      </w:r>
      <w:r>
        <w:t xml:space="preserve">”</w:t>
      </w:r>
      <w:r>
        <w:t xml:space="preserve">. La normativa colombiana separa los permisos según la</w:t>
      </w:r>
      <w:r>
        <w:t xml:space="preserve"> </w:t>
      </w:r>
      <w:r>
        <w:rPr>
          <w:bCs/>
          <w:b/>
        </w:rPr>
        <w:t xml:space="preserve">finalidad</w:t>
      </w:r>
      <w:r>
        <w:t xml:space="preserve"> </w:t>
      </w:r>
      <w:r>
        <w:t xml:space="preserve">de la recolección, y esa finalidad determina el régimen aplicable, la autoridad, la duración y las obligaciones (Tabla 3.1). Tres finalidades conducen a regímenes distintos:</w:t>
      </w:r>
    </w:p>
    <w:p>
      <w:pPr>
        <w:numPr>
          <w:ilvl w:val="0"/>
          <w:numId w:val="1003"/>
        </w:numPr>
        <w:pStyle w:val="Compact"/>
      </w:pPr>
      <w:r>
        <w:rPr>
          <w:bCs/>
          <w:b/>
        </w:rPr>
        <w:t xml:space="preserve">Investigación científica no comercial</w:t>
      </w:r>
      <w:r>
        <w:t xml:space="preserve"> </w:t>
      </w:r>
      <w:r>
        <w:t xml:space="preserve">(incluida la docencia universitaria): permiso de recolección, en modalidad marco o individual (secciones 3.1 y 3.2) [N07].</w:t>
      </w:r>
    </w:p>
    <w:p>
      <w:pPr>
        <w:numPr>
          <w:ilvl w:val="0"/>
          <w:numId w:val="1003"/>
        </w:numPr>
        <w:pStyle w:val="Compact"/>
      </w:pPr>
      <w:r>
        <w:rPr>
          <w:bCs/>
          <w:b/>
        </w:rPr>
        <w:t xml:space="preserve">Elaboración de estudios ambientales</w:t>
      </w:r>
      <w:r>
        <w:t xml:space="preserve"> </w:t>
      </w:r>
      <w:r>
        <w:t xml:space="preserve">para solicitar o modificar licencias, permisos, concesiones o autorizaciones: permiso de estudio (sección 3.3) [N09].</w:t>
      </w:r>
    </w:p>
    <w:p>
      <w:pPr>
        <w:numPr>
          <w:ilvl w:val="0"/>
          <w:numId w:val="1003"/>
        </w:numPr>
        <w:pStyle w:val="Compact"/>
      </w:pPr>
      <w:r>
        <w:rPr>
          <w:bCs/>
          <w:b/>
        </w:rPr>
        <w:t xml:space="preserve">Fines industriales, comerciales o de prospección biológica</w:t>
      </w:r>
      <w:r>
        <w:t xml:space="preserve">, o acceso a recursos genéticos y productos derivados: contrato de acceso (sección 3.5) [N14, N15].</w:t>
      </w:r>
    </w:p>
    <w:p>
      <w:pPr>
        <w:pStyle w:val="FirstParagraph"/>
      </w:pPr>
      <w:r>
        <w:t xml:space="preserve">La separación entre los dos primeros regímenes está en el propio DUR: el permiso de recolección para investigación aclara que la recolección</w:t>
      </w:r>
      <w:r>
        <w:t xml:space="preserve"> </w:t>
      </w:r>
      <w:r>
        <w:t xml:space="preserve">“</w:t>
      </w:r>
      <w:r>
        <w:t xml:space="preserve">para efectos de adelantar estudios de impacto ambiental, se regirá por la reglamentación específica expedida por el Gobierno Nacional para tal efecto</w:t>
      </w:r>
      <w:r>
        <w:t xml:space="preserve">”</w:t>
      </w:r>
      <w:r>
        <w:t xml:space="preserve"> </w:t>
      </w:r>
      <w:r>
        <w:t xml:space="preserve">(art. 2.2.2.8.1.2, par. 2) [N08], y el permiso de estudio aclara a su vez que</w:t>
      </w:r>
      <w:r>
        <w:t xml:space="preserve"> </w:t>
      </w:r>
      <w:r>
        <w:t xml:space="preserve">“</w:t>
      </w:r>
      <w:r>
        <w:t xml:space="preserve">no implica la autorización de acceso y aprovechamiento a recursos genéticos</w:t>
      </w:r>
      <w:r>
        <w:t xml:space="preserve">”</w:t>
      </w:r>
      <w:r>
        <w:t xml:space="preserve"> </w:t>
      </w:r>
      <w:r>
        <w:t xml:space="preserve">(art. 2.2.2.9.2.1, par. 2) [N09]. Un mismo muestreo de campo, con los mismos métodos, puede requerir permisos distintos según quién lo haga y para qué.</w:t>
      </w:r>
    </w:p>
    <w:p>
      <w:pPr>
        <w:pStyle w:val="BodyText"/>
      </w:pPr>
      <w:r>
        <w:rPr>
          <w:bCs/>
          <w:b/>
        </w:rPr>
        <w:t xml:space="preserve">¿Quién no necesita permiso de recolección?</w:t>
      </w:r>
      <w:r>
        <w:t xml:space="preserve"> </w:t>
      </w:r>
      <w:r>
        <w:t xml:space="preserve">El Ministerio de Ambiente, sus entidades científicas adscritas y vinculadas, Parques Nacionales Naturales, las CAR y las autoridades de los grandes centros urbanos están exentos. Aun así, deben depositar los ejemplares en una colección registrada y publicar la información asociada en el SiB Colombia (DUR, art. 2.2.2.8.1.2, par. 1) [N08].</w:t>
      </w:r>
    </w:p>
    <w:p>
      <w:pPr>
        <w:pStyle w:val="BodyText"/>
      </w:pPr>
      <w:r>
        <w:rPr>
          <w:bCs/>
          <w:b/>
        </w:rPr>
        <w:t xml:space="preserve">¿Ante quién se tramita?</w:t>
      </w:r>
      <w:r>
        <w:t xml:space="preserve"> </w:t>
      </w:r>
      <w:r>
        <w:t xml:space="preserve">Para ambos permisos rige el mismo criterio geográfico [N07, N09]:</w:t>
      </w:r>
    </w:p>
    <w:p>
      <w:pPr>
        <w:numPr>
          <w:ilvl w:val="0"/>
          <w:numId w:val="1004"/>
        </w:numPr>
        <w:pStyle w:val="Compact"/>
      </w:pPr>
      <w:r>
        <w:t xml:space="preserve">la</w:t>
      </w:r>
      <w:r>
        <w:t xml:space="preserve"> </w:t>
      </w:r>
      <w:r>
        <w:rPr>
          <w:bCs/>
          <w:b/>
        </w:rPr>
        <w:t xml:space="preserve">CAR</w:t>
      </w:r>
      <w:r>
        <w:t xml:space="preserve">, la corporación de desarrollo sostenible o la autoridad del gran centro urbano, si la recolección se realiza</w:t>
      </w:r>
      <w:r>
        <w:t xml:space="preserve"> </w:t>
      </w:r>
      <w:r>
        <w:rPr>
          <w:bCs/>
          <w:b/>
        </w:rPr>
        <w:t xml:space="preserve">exclusivamente</w:t>
      </w:r>
      <w:r>
        <w:t xml:space="preserve"> </w:t>
      </w:r>
      <w:r>
        <w:t xml:space="preserve">en su jurisdicción;</w:t>
      </w:r>
    </w:p>
    <w:p>
      <w:pPr>
        <w:numPr>
          <w:ilvl w:val="0"/>
          <w:numId w:val="1004"/>
        </w:numPr>
        <w:pStyle w:val="Compact"/>
      </w:pPr>
      <w:r>
        <w:t xml:space="preserve">la</w:t>
      </w:r>
      <w:r>
        <w:t xml:space="preserve"> </w:t>
      </w:r>
      <w:r>
        <w:rPr>
          <w:bCs/>
          <w:b/>
        </w:rPr>
        <w:t xml:space="preserve">ANLA</w:t>
      </w:r>
      <w:r>
        <w:t xml:space="preserve">, si la recolección abarca la jurisdicción de</w:t>
      </w:r>
      <w:r>
        <w:t xml:space="preserve"> </w:t>
      </w:r>
      <w:r>
        <w:rPr>
          <w:bCs/>
          <w:b/>
        </w:rPr>
        <w:t xml:space="preserve">dos o más</w:t>
      </w:r>
      <w:r>
        <w:t xml:space="preserve"> </w:t>
      </w:r>
      <w:r>
        <w:t xml:space="preserve">autoridades ambientales;</w:t>
      </w:r>
    </w:p>
    <w:p>
      <w:pPr>
        <w:numPr>
          <w:ilvl w:val="0"/>
          <w:numId w:val="1004"/>
        </w:numPr>
        <w:pStyle w:val="Compact"/>
      </w:pPr>
      <w:r>
        <w:rPr>
          <w:bCs/>
          <w:b/>
        </w:rPr>
        <w:t xml:space="preserve">Parques Nacionales Naturales</w:t>
      </w:r>
      <w:r>
        <w:t xml:space="preserve">, si la recolección se realiza dentro de las áreas del Sistema de Parques Nacionales Naturales.</w:t>
      </w:r>
    </w:p>
    <w:bookmarkStart w:id="29" w:name="permiso-marco-de-recolección"/>
    <w:p>
      <w:pPr>
        <w:pStyle w:val="Heading2"/>
      </w:pPr>
      <w:r>
        <w:t xml:space="preserve">3.1 Permiso Marco de Recolección</w:t>
      </w:r>
    </w:p>
    <w:p>
      <w:pPr>
        <w:pStyle w:val="FirstParagraph"/>
      </w:pPr>
      <w:r>
        <w:rPr>
          <w:bCs/>
          <w:b/>
        </w:rPr>
        <w:t xml:space="preserve">Qué es.</w:t>
      </w:r>
      <w:r>
        <w:t xml:space="preserve"> </w:t>
      </w:r>
      <w:r>
        <w:t xml:space="preserve">Un permiso que se otorga a una</w:t>
      </w:r>
      <w:r>
        <w:t xml:space="preserve"> </w:t>
      </w:r>
      <w:r>
        <w:rPr>
          <w:bCs/>
          <w:b/>
        </w:rPr>
        <w:t xml:space="preserve">institución</w:t>
      </w:r>
      <w:r>
        <w:t xml:space="preserve">, no a una persona, y que</w:t>
      </w:r>
      <w:r>
        <w:t xml:space="preserve"> </w:t>
      </w:r>
      <w:r>
        <w:t xml:space="preserve">“</w:t>
      </w:r>
      <w:r>
        <w:t xml:space="preserve">ampare todos los programas de investigación científica, que realicen los investigadores vinculados a la respectiva institución</w:t>
      </w:r>
      <w:r>
        <w:t xml:space="preserve">”</w:t>
      </w:r>
      <w:r>
        <w:t xml:space="preserve"> </w:t>
      </w:r>
      <w:r>
        <w:t xml:space="preserve">(DUR, art. 2.2.2.8.2.1) [N07].</w:t>
      </w:r>
    </w:p>
    <w:p>
      <w:pPr>
        <w:pStyle w:val="BodyText"/>
      </w:pPr>
      <w:r>
        <w:rPr>
          <w:bCs/>
          <w:b/>
        </w:rPr>
        <w:t xml:space="preserve">Quién puede solicitarlo.</w:t>
      </w:r>
      <w:r>
        <w:t xml:space="preserve"> </w:t>
      </w:r>
      <w:r>
        <w:t xml:space="preserve">Solo las</w:t>
      </w:r>
      <w:r>
        <w:t xml:space="preserve"> </w:t>
      </w:r>
      <w:r>
        <w:t xml:space="preserve">“</w:t>
      </w:r>
      <w:r>
        <w:t xml:space="preserve">Instituciones Nacionales de Investigación</w:t>
      </w:r>
      <w:r>
        <w:t xml:space="preserve">”</w:t>
      </w:r>
      <w:r>
        <w:t xml:space="preserve">: instituciones de educación superior, colecciones biológicas registradas en el Registro Único Nacional de Colecciones Biológicas e institutos o centros de investigación con grupos categorizados en áreas temáticas asociadas a la recolección (art. 2.2.2.8.1.3) [N07]. [VERIFICAR: la norma dice</w:t>
      </w:r>
      <w:r>
        <w:t xml:space="preserve"> </w:t>
      </w:r>
      <w:r>
        <w:t xml:space="preserve">“</w:t>
      </w:r>
      <w:r>
        <w:t xml:space="preserve">categorizados ante Colciencias</w:t>
      </w:r>
      <w:r>
        <w:t xml:space="preserve">”</w:t>
      </w:r>
      <w:r>
        <w:t xml:space="preserve">; confirmar la referencia vigente a MinCiencias.]</w:t>
      </w:r>
    </w:p>
    <w:p>
      <w:pPr>
        <w:pStyle w:val="BodyText"/>
      </w:pPr>
      <w:r>
        <w:rPr>
          <w:bCs/>
          <w:b/>
        </w:rPr>
        <w:t xml:space="preserve">Docencia.</w:t>
      </w:r>
      <w:r>
        <w:t xml:space="preserve"> </w:t>
      </w:r>
      <w:r>
        <w:t xml:space="preserve">“</w:t>
      </w:r>
      <w:r>
        <w:t xml:space="preserve">La recolección de especímenes para fines docentes y educativos a nivel universitario deberá estar amparada por un Permiso Marco de Recolección vigente</w:t>
      </w:r>
      <w:r>
        <w:t xml:space="preserve">”</w:t>
      </w:r>
      <w:r>
        <w:t xml:space="preserve"> </w:t>
      </w:r>
      <w:r>
        <w:t xml:space="preserve">(art. 2.2.2.8.2.1, par.) [N07]. Las salidas de campo de un curso universitario no pueden hacerse con un permiso individual ni sin permiso.</w:t>
      </w:r>
    </w:p>
    <w:p>
      <w:pPr>
        <w:pStyle w:val="BodyText"/>
      </w:pPr>
      <w:r>
        <w:rPr>
          <w:bCs/>
          <w:b/>
        </w:rPr>
        <w:t xml:space="preserve">Tesis de grado.</w:t>
      </w:r>
      <w:r>
        <w:t xml:space="preserve"> </w:t>
      </w:r>
      <w:r>
        <w:t xml:space="preserve">La guía de evaluación de la ANLA señala que la colecta de una tesis puede realizarse bajo el permiso marco de la universidad</w:t>
      </w:r>
      <w:r>
        <w:t xml:space="preserve"> </w:t>
      </w:r>
      <w:r>
        <w:t xml:space="preserve">“</w:t>
      </w:r>
      <w:r>
        <w:t xml:space="preserve">siempre y cuando se cuente con el aval del docente y éste se encuentre dentro de los investigadores amparados</w:t>
      </w:r>
      <w:r>
        <w:t xml:space="preserve">”</w:t>
      </w:r>
      <w:r>
        <w:t xml:space="preserve">, y que el proyecto debe informarse como novedad en los informes a la autoridad (ANLA, 2025, secc. 7.1) [N39]. Esta guía es un documento administrativo, no una norma: orienta, pero prevalece el DUR [N39].</w:t>
      </w:r>
    </w:p>
    <w:p>
      <w:pPr>
        <w:pStyle w:val="BodyText"/>
      </w:pPr>
      <w:r>
        <w:rPr>
          <w:bCs/>
          <w:b/>
        </w:rPr>
        <w:t xml:space="preserve">Duración.</w:t>
      </w:r>
      <w:r>
        <w:t xml:space="preserve"> </w:t>
      </w:r>
      <w:r>
        <w:t xml:space="preserve">Hasta diez años (art. 2.2.2.8.5.3) [N07].</w:t>
      </w:r>
    </w:p>
    <w:p>
      <w:pPr>
        <w:pStyle w:val="BodyText"/>
      </w:pPr>
      <w:r>
        <w:rPr>
          <w:bCs/>
          <w:b/>
        </w:rPr>
        <w:t xml:space="preserve">Autorizaciones adicionales dentro del permiso marco.</w:t>
      </w:r>
      <w:r>
        <w:t xml:space="preserve"> </w:t>
      </w:r>
      <w:r>
        <w:t xml:space="preserve">El permiso marco no lo cubre todo. El titular debe pedir autorización previa:</w:t>
      </w:r>
    </w:p>
    <w:p>
      <w:pPr>
        <w:numPr>
          <w:ilvl w:val="0"/>
          <w:numId w:val="1005"/>
        </w:numPr>
        <w:pStyle w:val="Compact"/>
      </w:pPr>
      <w:r>
        <w:t xml:space="preserve">para recolectar</w:t>
      </w:r>
      <w:r>
        <w:t xml:space="preserve"> </w:t>
      </w:r>
      <w:r>
        <w:rPr>
          <w:bCs/>
          <w:b/>
        </w:rPr>
        <w:t xml:space="preserve">especies amenazadas, vedadas o endémicas</w:t>
      </w:r>
      <w:r>
        <w:t xml:space="preserve">, mediante el formato de solicitud correspondiente (art. 2.2.2.8.2.4, par. 1) [N07];</w:t>
      </w:r>
    </w:p>
    <w:p>
      <w:pPr>
        <w:numPr>
          <w:ilvl w:val="0"/>
          <w:numId w:val="1005"/>
        </w:numPr>
        <w:pStyle w:val="Compact"/>
      </w:pPr>
      <w:r>
        <w:t xml:space="preserve">para recolectar</w:t>
      </w:r>
      <w:r>
        <w:t xml:space="preserve"> </w:t>
      </w:r>
      <w:r>
        <w:rPr>
          <w:bCs/>
          <w:b/>
        </w:rPr>
        <w:t xml:space="preserve">dentro de un área del Sistema de Parques Nacionales Naturales</w:t>
      </w:r>
      <w:r>
        <w:t xml:space="preserve">, ante Parques Nacionales, que debe resolver en treinta días y puede fijar condiciones (art. 2.2.2.8.2.4, par. 2) [N07]. Véase la sección 3.6.</w:t>
      </w:r>
    </w:p>
    <w:p>
      <w:pPr>
        <w:pStyle w:val="FirstParagraph"/>
      </w:pPr>
      <w:r>
        <w:rPr>
          <w:bCs/>
          <w:b/>
        </w:rPr>
        <w:t xml:space="preserve">Obligaciones principales.</w:t>
      </w:r>
      <w:r>
        <w:t xml:space="preserve"> </w:t>
      </w:r>
      <w:r>
        <w:t xml:space="preserve">Suministrar al SiB Colombia la información asociada a los especímenes y entregar a la autoridad la constancia (art. 2.2.2.8.2.4, lit. e) [N08]; depositar los especímenes en una colección registrada (sección 5) [N10]; y presentar informes a la autoridad, que la guía de la ANLA describe como semestrales [N39]. [VERIFICAR en el DUR la periodicidad de los informes del permiso marco.]</w:t>
      </w:r>
    </w:p>
    <w:p>
      <w:pPr>
        <w:pStyle w:val="BlockText"/>
      </w:pPr>
      <w:r>
        <w:t xml:space="preserve">🗣️</w:t>
      </w:r>
      <w:r>
        <w:t xml:space="preserve"> </w:t>
      </w:r>
      <w:r>
        <w:rPr>
          <w:bCs/>
          <w:b/>
        </w:rPr>
        <w:t xml:space="preserve">TESTIMONIO (por conseguir) — T1, permiso marco.</w:t>
      </w:r>
      <w:r>
        <w:t xml:space="preserve"> </w:t>
      </w:r>
      <w:r>
        <w:t xml:space="preserve">¿Cómo administra una universidad su permiso marco: quién registra los proyectos, cómo se consolidan los informes, qué pasa cuando un investigador no reporta? Perfil: curador/a o coordinador/a de investigación de una universidad con permiso marco.</w:t>
      </w:r>
    </w:p>
    <w:bookmarkEnd w:id="29"/>
    <w:bookmarkStart w:id="30" w:name="permiso-individual-de-recolección"/>
    <w:p>
      <w:pPr>
        <w:pStyle w:val="Heading2"/>
      </w:pPr>
      <w:r>
        <w:t xml:space="preserve">3.2 Permiso Individual de Recolección</w:t>
      </w:r>
    </w:p>
    <w:p>
      <w:pPr>
        <w:pStyle w:val="FirstParagraph"/>
      </w:pPr>
      <w:r>
        <w:rPr>
          <w:bCs/>
          <w:b/>
        </w:rPr>
        <w:t xml:space="preserve">Qué es.</w:t>
      </w:r>
      <w:r>
        <w:t xml:space="preserve"> </w:t>
      </w:r>
      <w:r>
        <w:t xml:space="preserve">El permiso que deben obtener</w:t>
      </w:r>
      <w:r>
        <w:t xml:space="preserve"> </w:t>
      </w:r>
      <w:r>
        <w:t xml:space="preserve">“</w:t>
      </w:r>
      <w:r>
        <w:t xml:space="preserve">las personas naturales o jurídicas que pretendan recolectar especímenes para adelantar un proyecto de investigación científica no comercial</w:t>
      </w:r>
      <w:r>
        <w:t xml:space="preserve">”</w:t>
      </w:r>
      <w:r>
        <w:t xml:space="preserve"> </w:t>
      </w:r>
      <w:r>
        <w:t xml:space="preserve">(DUR, art. 2.2.2.8.3.1) [N07]. A diferencia del permiso marco, ampara un</w:t>
      </w:r>
      <w:r>
        <w:t xml:space="preserve"> </w:t>
      </w:r>
      <w:r>
        <w:rPr>
          <w:bCs/>
          <w:b/>
        </w:rPr>
        <w:t xml:space="preserve">proyecto</w:t>
      </w:r>
      <w:r>
        <w:t xml:space="preserve"> </w:t>
      </w:r>
      <w:r>
        <w:t xml:space="preserve">concreto.</w:t>
      </w:r>
    </w:p>
    <w:p>
      <w:pPr>
        <w:pStyle w:val="BodyText"/>
      </w:pPr>
      <w:r>
        <w:rPr>
          <w:bCs/>
          <w:b/>
        </w:rPr>
        <w:t xml:space="preserve">Cuándo se usa.</w:t>
      </w:r>
      <w:r>
        <w:t xml:space="preserve"> </w:t>
      </w:r>
      <w:r>
        <w:t xml:space="preserve">Cuando el investigador no está vinculado a una institución con permiso marco, o cuando la institución que adelanta la investigación no es una Institución Nacional de Investigación en los términos del DUR (por ejemplo, una ONG o una fundación sin colección registrada). [VERIFICAR con el abogado la redacción de los ejemplos.]</w:t>
      </w:r>
    </w:p>
    <w:p>
      <w:pPr>
        <w:pStyle w:val="BodyText"/>
      </w:pPr>
      <w:r>
        <w:rPr>
          <w:bCs/>
          <w:b/>
        </w:rPr>
        <w:t xml:space="preserve">Duración.</w:t>
      </w:r>
      <w:r>
        <w:t xml:space="preserve"> </w:t>
      </w:r>
      <w:r>
        <w:t xml:space="preserve">Hasta cinco años (art. 2.2.2.8.5.3) [N07].</w:t>
      </w:r>
    </w:p>
    <w:p>
      <w:pPr>
        <w:pStyle w:val="BodyText"/>
      </w:pPr>
      <w:r>
        <w:rPr>
          <w:bCs/>
          <w:b/>
        </w:rPr>
        <w:t xml:space="preserve">Obligaciones principales.</w:t>
      </w:r>
      <w:r>
        <w:t xml:space="preserve"> </w:t>
      </w:r>
      <w:r>
        <w:t xml:space="preserve">Las mismas en lo esencial: reporte al SiB Colombia con constancia (art. 2.2.2.8.3.3, lit. d) [N08] y depósito de especímenes (sección 5) [N10].</w:t>
      </w:r>
    </w:p>
    <w:p>
      <w:pPr>
        <w:pStyle w:val="BodyText"/>
      </w:pPr>
      <w:r>
        <w:rPr>
          <w:bCs/>
          <w:b/>
        </w:rPr>
        <w:t xml:space="preserve">Reglas comunes a ambas modalidades del permiso de recolección:</w:t>
      </w:r>
    </w:p>
    <w:p>
      <w:pPr>
        <w:numPr>
          <w:ilvl w:val="0"/>
          <w:numId w:val="1006"/>
        </w:numPr>
        <w:pStyle w:val="Compact"/>
      </w:pPr>
      <w:r>
        <w:t xml:space="preserve">La recolección</w:t>
      </w:r>
      <w:r>
        <w:t xml:space="preserve"> </w:t>
      </w:r>
      <w:r>
        <w:t xml:space="preserve">“</w:t>
      </w:r>
      <w:r>
        <w:t xml:space="preserve">deberá tener la finalidad exclusiva de investigación científica no comercial</w:t>
      </w:r>
      <w:r>
        <w:t xml:space="preserve">”</w:t>
      </w:r>
      <w:r>
        <w:t xml:space="preserve"> </w:t>
      </w:r>
      <w:r>
        <w:t xml:space="preserve">(art. 2.2.2.8.1.2, par. 4) [N07].</w:t>
      </w:r>
    </w:p>
    <w:p>
      <w:pPr>
        <w:numPr>
          <w:ilvl w:val="0"/>
          <w:numId w:val="1006"/>
        </w:numPr>
        <w:pStyle w:val="Compact"/>
      </w:pPr>
      <w:r>
        <w:t xml:space="preserve">“</w:t>
      </w:r>
      <w:r>
        <w:t xml:space="preserve">Los especímenes o muestras obtenidos en ejercicio del permiso […] no podrán ser aprovechados con fines comerciales</w:t>
      </w:r>
      <w:r>
        <w:t xml:space="preserve">”</w:t>
      </w:r>
      <w:r>
        <w:t xml:space="preserve"> </w:t>
      </w:r>
      <w:r>
        <w:t xml:space="preserve">(art. 2.2.2.8.6.1) [N07].</w:t>
      </w:r>
    </w:p>
    <w:p>
      <w:pPr>
        <w:numPr>
          <w:ilvl w:val="0"/>
          <w:numId w:val="1006"/>
        </w:numPr>
        <w:pStyle w:val="Compact"/>
      </w:pPr>
      <w:r>
        <w:t xml:space="preserve">“</w:t>
      </w:r>
      <w:r>
        <w:t xml:space="preserve">Como estímulo a la investigación científica, las autoridades competentes no realizarán ningún cobro de los servicios de evaluación y seguimiento a los Permisos de Recolección</w:t>
      </w:r>
      <w:r>
        <w:t xml:space="preserve">”</w:t>
      </w:r>
      <w:r>
        <w:t xml:space="preserve"> </w:t>
      </w:r>
      <w:r>
        <w:t xml:space="preserve">(art. 2.2.2.8.6.5) [N07]. El trámite es gratuito.</w:t>
      </w:r>
    </w:p>
    <w:p>
      <w:pPr>
        <w:numPr>
          <w:ilvl w:val="0"/>
          <w:numId w:val="1006"/>
        </w:numPr>
        <w:pStyle w:val="Compact"/>
      </w:pPr>
      <w:r>
        <w:t xml:space="preserve">El permiso cubre también la recolección de especímenes contenidos en muestras de agua o suelo: según la ANLA,</w:t>
      </w:r>
      <w:r>
        <w:t xml:space="preserve"> </w:t>
      </w:r>
      <w:r>
        <w:t xml:space="preserve">“</w:t>
      </w:r>
      <w:r>
        <w:t xml:space="preserve">el permiso es necesario si se va a recolectar especímenes (individuos, ADN, invertebrados, microorganismos entre otros) asociados a las muestras de agua y suelo</w:t>
      </w:r>
      <w:r>
        <w:t xml:space="preserve">”</w:t>
      </w:r>
      <w:r>
        <w:t xml:space="preserve"> </w:t>
      </w:r>
      <w:r>
        <w:t xml:space="preserve">(ANLA, 2025, secc. 7.1) [N39]. Esto es relevante para el ADN ambiental (sección 3.5).</w:t>
      </w:r>
    </w:p>
    <w:p>
      <w:pPr>
        <w:pStyle w:val="BlockText"/>
      </w:pPr>
      <w:r>
        <w:t xml:space="preserve">🗣️</w:t>
      </w:r>
      <w:r>
        <w:t xml:space="preserve"> </w:t>
      </w:r>
      <w:r>
        <w:rPr>
          <w:bCs/>
          <w:b/>
        </w:rPr>
        <w:t xml:space="preserve">TESTIMONIO (por conseguir) — T2, permiso individual.</w:t>
      </w:r>
      <w:r>
        <w:t xml:space="preserve"> </w:t>
      </w:r>
      <w:r>
        <w:t xml:space="preserve">¿Cuánto tardó el trámite, qué documentos le pidieron y qué haría distinto? Perfil: estudiante de posgrado o investigador/a independiente que tramitó un permiso individual.</w:t>
      </w:r>
    </w:p>
    <w:bookmarkEnd w:id="30"/>
    <w:bookmarkStart w:id="31" w:name="X0c92207ee8319b0377dc950d1df6ecf17050c37"/>
    <w:p>
      <w:pPr>
        <w:pStyle w:val="Heading2"/>
      </w:pPr>
      <w:r>
        <w:t xml:space="preserve">3.3 Permiso de estudio para la elaboración de estudios ambientales</w:t>
      </w:r>
    </w:p>
    <w:p>
      <w:pPr>
        <w:pStyle w:val="FirstParagraph"/>
      </w:pPr>
      <w:r>
        <w:rPr>
          <w:bCs/>
          <w:b/>
        </w:rPr>
        <w:t xml:space="preserve">Qué es.</w:t>
      </w:r>
      <w:r>
        <w:t xml:space="preserve"> </w:t>
      </w:r>
      <w:r>
        <w:t xml:space="preserve">El permiso que debe obtener previamente</w:t>
      </w:r>
      <w:r>
        <w:t xml:space="preserve"> </w:t>
      </w:r>
      <w:r>
        <w:t xml:space="preserve">“</w:t>
      </w:r>
      <w:r>
        <w:t xml:space="preserve">toda persona que pretenda adelantar estudios en los que sea necesario realizar actividades de recolección de especímenes de especies silvestres de la diversidad biológica en el territorio nacional, con la finalidad de elaborar estudios ambientales necesarios para solicitar y/o modificar licencias ambientales o su equivalente, permisos, concesiones o autorizaciones</w:t>
      </w:r>
      <w:r>
        <w:t xml:space="preserve">”</w:t>
      </w:r>
      <w:r>
        <w:t xml:space="preserve"> </w:t>
      </w:r>
      <w:r>
        <w:t xml:space="preserve">(DUR, art. 2.2.2.9.2.1) [N09]. Es el permiso de los consultores.</w:t>
      </w:r>
    </w:p>
    <w:p>
      <w:pPr>
        <w:pStyle w:val="BodyText"/>
      </w:pPr>
      <w:r>
        <w:rPr>
          <w:bCs/>
          <w:b/>
        </w:rPr>
        <w:t xml:space="preserve">Alcance.</w:t>
      </w:r>
      <w:r>
        <w:t xml:space="preserve"> </w:t>
      </w:r>
      <w:r>
        <w:t xml:space="preserve">“</w:t>
      </w:r>
      <w:r>
        <w:t xml:space="preserve">Amparará la recolecta de especímenes que se realicen durante su vigencia en el marco de la elaboración de uno o varios estudios ambientales</w:t>
      </w:r>
      <w:r>
        <w:t xml:space="preserve">”</w:t>
      </w:r>
      <w:r>
        <w:t xml:space="preserve"> </w:t>
      </w:r>
      <w:r>
        <w:t xml:space="preserve">(art. 2.2.2.9.2.1) [N09]. Constituye</w:t>
      </w:r>
      <w:r>
        <w:t xml:space="preserve"> </w:t>
      </w:r>
      <w:r>
        <w:t xml:space="preserve">“</w:t>
      </w:r>
      <w:r>
        <w:t xml:space="preserve">un trámite previo dentro del proceso de licenciamiento ambiental</w:t>
      </w:r>
      <w:r>
        <w:t xml:space="preserve">”</w:t>
      </w:r>
      <w:r>
        <w:t xml:space="preserve"> </w:t>
      </w:r>
      <w:r>
        <w:t xml:space="preserve">(art. 2.2.2.9.2.1, par. 2) [N09].</w:t>
      </w:r>
    </w:p>
    <w:p>
      <w:pPr>
        <w:pStyle w:val="BodyText"/>
      </w:pPr>
      <w:r>
        <w:rPr>
          <w:bCs/>
          <w:b/>
        </w:rPr>
        <w:t xml:space="preserve">Autoridad.</w:t>
      </w:r>
      <w:r>
        <w:t xml:space="preserve"> </w:t>
      </w:r>
      <w:r>
        <w:t xml:space="preserve">El mismo criterio geográfico: la ANLA si el muestreo abarca dos o más jurisdicciones; la CAR, la autoridad urbana o las autoridades creadas por la Ley 768 de 2002 si se limita a una; Parques Nacionales si se realiza exclusivamente dentro de sus áreas (art. 2.2.2.9.2.3) [N09].</w:t>
      </w:r>
    </w:p>
    <w:p>
      <w:pPr>
        <w:pStyle w:val="BodyText"/>
      </w:pPr>
      <w:r>
        <w:rPr>
          <w:bCs/>
          <w:b/>
        </w:rPr>
        <w:t xml:space="preserve">Duración.</w:t>
      </w:r>
      <w:r>
        <w:t xml:space="preserve"> </w:t>
      </w:r>
      <w:r>
        <w:t xml:space="preserve">“</w:t>
      </w:r>
      <w:r>
        <w:t xml:space="preserve">Hasta de dos (2) años según la índole de los estudios</w:t>
      </w:r>
      <w:r>
        <w:t xml:space="preserve">”</w:t>
      </w:r>
      <w:r>
        <w:t xml:space="preserve">, prorrogable solo cuando la inejecución obedezca a fuerza mayor (art. 2.2.2.9.2.7) [N09]. Un consultor que planea campañas de muestreo en distintas temporadas climáticas debe tenerlo en cuenta al calcular el cronograma.</w:t>
      </w:r>
    </w:p>
    <w:p>
      <w:pPr>
        <w:pStyle w:val="BodyText"/>
      </w:pPr>
      <w:r>
        <w:rPr>
          <w:bCs/>
          <w:b/>
        </w:rPr>
        <w:t xml:space="preserve">Obligaciones principales.</w:t>
      </w:r>
    </w:p>
    <w:p>
      <w:pPr>
        <w:numPr>
          <w:ilvl w:val="0"/>
          <w:numId w:val="1007"/>
        </w:numPr>
        <w:pStyle w:val="Compact"/>
      </w:pPr>
      <w:r>
        <w:t xml:space="preserve">“</w:t>
      </w:r>
      <w:r>
        <w:t xml:space="preserve">Abstenerse de comercializar el material recolectado</w:t>
      </w:r>
      <w:r>
        <w:t xml:space="preserve">”</w:t>
      </w:r>
      <w:r>
        <w:t xml:space="preserve"> </w:t>
      </w:r>
      <w:r>
        <w:t xml:space="preserve">(art. 2.2.2.9.2.6, num. 8) [N09].</w:t>
      </w:r>
    </w:p>
    <w:p>
      <w:pPr>
        <w:numPr>
          <w:ilvl w:val="0"/>
          <w:numId w:val="1007"/>
        </w:numPr>
        <w:pStyle w:val="Compact"/>
      </w:pPr>
      <w:r>
        <w:t xml:space="preserve">“</w:t>
      </w:r>
      <w:r>
        <w:t xml:space="preserve">Terminado el estudio, el titular del permiso deberá reportar al Sistema de Información sobre Biodiversidad de Colombia (SIB) la información asociada a los especímenes recolectados, y entregar a la autoridad ambiental la constancia emitida por dicho sistema</w:t>
      </w:r>
      <w:r>
        <w:t xml:space="preserve">”</w:t>
      </w:r>
      <w:r>
        <w:t xml:space="preserve"> </w:t>
      </w:r>
      <w:r>
        <w:t xml:space="preserve">(art. 2.2.2.9.2.6, num. 6) [N09].</w:t>
      </w:r>
    </w:p>
    <w:p>
      <w:pPr>
        <w:numPr>
          <w:ilvl w:val="0"/>
          <w:numId w:val="1007"/>
        </w:numPr>
        <w:pStyle w:val="Compact"/>
      </w:pPr>
      <w:r>
        <w:t xml:space="preserve">Depositar los especímenes en una colección registrada (sección 5) [N10]. [VERIFICAR el artículo específico del permiso de estudio sobre depósito.]</w:t>
      </w:r>
    </w:p>
    <w:p>
      <w:pPr>
        <w:pStyle w:val="FirstParagraph"/>
      </w:pPr>
      <w:r>
        <w:rPr>
          <w:bCs/>
          <w:b/>
        </w:rPr>
        <w:t xml:space="preserve">El permiso no basta: la calidad de la información también se evalúa.</w:t>
      </w:r>
      <w:r>
        <w:t xml:space="preserve"> </w:t>
      </w:r>
      <w:r>
        <w:t xml:space="preserve">Contar con el permiso no garantiza que el estudio sea aceptado. En una solicitud de sustracción de reserva forestal, el Ministerio de Ambiente concluyó que el componente de fauna no tenía soporte porque el solicitante no adjuntó</w:t>
      </w:r>
      <w:r>
        <w:t xml:space="preserve"> </w:t>
      </w:r>
      <w:r>
        <w:t xml:space="preserve">“</w:t>
      </w:r>
      <w:r>
        <w:t xml:space="preserve">formularios de campo sobre el registro de la información de composición de especies y sus abundancias</w:t>
      </w:r>
      <w:r>
        <w:t xml:space="preserve">”</w:t>
      </w:r>
      <w:r>
        <w:t xml:space="preserve"> </w:t>
      </w:r>
      <w:r>
        <w:t xml:space="preserve">ni</w:t>
      </w:r>
      <w:r>
        <w:t xml:space="preserve"> </w:t>
      </w:r>
      <w:r>
        <w:t xml:space="preserve">“</w:t>
      </w:r>
      <w:r>
        <w:t xml:space="preserve">soportes de la tabulación de datos ni de los cálculos de los índices de diversidad, riqueza y esfuerzo del muestreo realizado</w:t>
      </w:r>
      <w:r>
        <w:t xml:space="preserve">”</w:t>
      </w:r>
      <w:r>
        <w:t xml:space="preserve">, y porque no aportó</w:t>
      </w:r>
      <w:r>
        <w:t xml:space="preserve"> </w:t>
      </w:r>
      <w:r>
        <w:t xml:space="preserve">“</w:t>
      </w:r>
      <w:r>
        <w:t xml:space="preserve">evidencias de la identificación taxonómica de especies</w:t>
      </w:r>
      <w:r>
        <w:t xml:space="preserve">”</w:t>
      </w:r>
      <w:r>
        <w:t xml:space="preserve"> </w:t>
      </w:r>
      <w:r>
        <w:t xml:space="preserve">(MADS, Auto 328 de 2024, pp. 7–8) [N41]. Este caso se retoma en la sección 7.</w:t>
      </w:r>
    </w:p>
    <w:p>
      <w:pPr>
        <w:pStyle w:val="BlockText"/>
      </w:pPr>
      <w:r>
        <w:t xml:space="preserve">🗣️</w:t>
      </w:r>
      <w:r>
        <w:t xml:space="preserve"> </w:t>
      </w:r>
      <w:r>
        <w:rPr>
          <w:bCs/>
          <w:b/>
        </w:rPr>
        <w:t xml:space="preserve">TESTIMONIO (por conseguir) — T3, estudios ambientales.</w:t>
      </w:r>
      <w:r>
        <w:t xml:space="preserve"> </w:t>
      </w:r>
      <w:r>
        <w:t xml:space="preserve">¿Qué diferencias encuentra entre tramitar el permiso de estudio ante la ANLA y ante una CAR? ¿Cómo organiza los muestreos para que quepan en los dos años de vigencia? Perfil: consultor/a con experiencia en estudios de impacto ambiental.</w:t>
      </w:r>
    </w:p>
    <w:bookmarkEnd w:id="31"/>
    <w:bookmarkStart w:id="32" w:name="monitoreo-de-largo-plazo"/>
    <w:p>
      <w:pPr>
        <w:pStyle w:val="Heading2"/>
      </w:pPr>
      <w:r>
        <w:t xml:space="preserve">3.4 Monitoreo de largo plazo</w:t>
      </w:r>
    </w:p>
    <w:p>
      <w:pPr>
        <w:pStyle w:val="FirstParagraph"/>
      </w:pPr>
      <w:r>
        <w:t xml:space="preserve">El monitoreo de la biodiversidad implica repetir muestreos durante años o décadas en los mismos sitios. La normativa no contempla un</w:t>
      </w:r>
      <w:r>
        <w:t xml:space="preserve"> </w:t>
      </w:r>
      <w:r>
        <w:t xml:space="preserve">“</w:t>
      </w:r>
      <w:r>
        <w:t xml:space="preserve">permiso de monitoreo</w:t>
      </w:r>
      <w:r>
        <w:t xml:space="preserve">”</w:t>
      </w:r>
      <w:r>
        <w:t xml:space="preserve"> </w:t>
      </w:r>
      <w:r>
        <w:t xml:space="preserve">como figura propia: el monitoreo se ampara en el permiso que corresponda a su finalidad (Tabla 3.1). La decisión práctica más importante es, por tanto,</w:t>
      </w:r>
      <w:r>
        <w:t xml:space="preserve"> </w:t>
      </w:r>
      <w:r>
        <w:rPr>
          <w:bCs/>
          <w:b/>
        </w:rPr>
        <w:t xml:space="preserve">alinear la duración del programa con la vigencia del permiso</w:t>
      </w:r>
      <w:r>
        <w:t xml:space="preserve">:</w:t>
      </w:r>
    </w:p>
    <w:p>
      <w:pPr>
        <w:numPr>
          <w:ilvl w:val="0"/>
          <w:numId w:val="1008"/>
        </w:numPr>
        <w:pStyle w:val="Compact"/>
      </w:pPr>
      <w:r>
        <w:t xml:space="preserve">Un programa de monitoreo académico o institucional de largo plazo encaja mejor bajo un</w:t>
      </w:r>
      <w:r>
        <w:t xml:space="preserve"> </w:t>
      </w:r>
      <w:r>
        <w:rPr>
          <w:bCs/>
          <w:b/>
        </w:rPr>
        <w:t xml:space="preserve">Permiso Marco</w:t>
      </w:r>
      <w:r>
        <w:t xml:space="preserve">, que puede otorgarse hasta por diez años [N07]. Un permiso individual dura como máximo cinco [N07].</w:t>
      </w:r>
    </w:p>
    <w:p>
      <w:pPr>
        <w:numPr>
          <w:ilvl w:val="0"/>
          <w:numId w:val="1008"/>
        </w:numPr>
        <w:pStyle w:val="Compact"/>
      </w:pPr>
      <w:r>
        <w:t xml:space="preserve">El monitoreo que hace parte de las obligaciones de una licencia ambiental (seguimiento de un proyecto licenciado) no es un estudio para</w:t>
      </w:r>
      <w:r>
        <w:t xml:space="preserve"> </w:t>
      </w:r>
      <w:r>
        <w:rPr>
          <w:iCs/>
          <w:i/>
        </w:rPr>
        <w:t xml:space="preserve">solicitar</w:t>
      </w:r>
      <w:r>
        <w:t xml:space="preserve"> </w:t>
      </w:r>
      <w:r>
        <w:t xml:space="preserve">una licencia. [VERIFICAR con el abogado qué permiso ampara la recolección en el seguimiento y monitoreo de proyectos ya licenciados: ¿la propia licencia, un permiso de estudio o un permiso de recolección?]</w:t>
      </w:r>
    </w:p>
    <w:p>
      <w:pPr>
        <w:numPr>
          <w:ilvl w:val="0"/>
          <w:numId w:val="1008"/>
        </w:numPr>
        <w:pStyle w:val="Compact"/>
      </w:pPr>
      <w:r>
        <w:t xml:space="preserve">Las entidades del SINA que monitorean dentro de sus funciones están exentas del permiso, pero no de depositar especímenes y publicar datos en el SiB Colombia (art. 2.2.2.8.1.2, par. 1) [N08].</w:t>
      </w:r>
    </w:p>
    <w:p>
      <w:pPr>
        <w:pStyle w:val="FirstParagraph"/>
      </w:pPr>
      <w:r>
        <w:rPr>
          <w:bCs/>
          <w:b/>
        </w:rPr>
        <w:t xml:space="preserve">Métodos no letales y sin captura.</w:t>
      </w:r>
      <w:r>
        <w:t xml:space="preserve"> </w:t>
      </w:r>
      <w:r>
        <w:t xml:space="preserve">Las cámaras trampa, las grabadoras acústicas o los censos visuales no implican, en principio,</w:t>
      </w:r>
      <w:r>
        <w:t xml:space="preserve"> </w:t>
      </w:r>
      <w:r>
        <w:t xml:space="preserve">“</w:t>
      </w:r>
      <w:r>
        <w:t xml:space="preserve">captura, remoción o extracción</w:t>
      </w:r>
      <w:r>
        <w:t xml:space="preserve">”</w:t>
      </w:r>
      <w:r>
        <w:t xml:space="preserve"> </w:t>
      </w:r>
      <w:r>
        <w:t xml:space="preserve">de especímenes, que es lo que define la recolección (art. 2.2.2.8.1.3) [N07]. [ZONA GRIS — verificar con el abogado si el registro fotográfico o acústico sin captura requiere permiso de recolección. Si se instala infraestructura en áreas protegidas o reservas forestales, aplican las reglas de la sección 3.6.]</w:t>
      </w:r>
    </w:p>
    <w:p>
      <w:pPr>
        <w:pStyle w:val="BodyText"/>
      </w:pPr>
      <w:r>
        <w:rPr>
          <w:bCs/>
          <w:b/>
        </w:rPr>
        <w:t xml:space="preserve">Infraestructura permanente en reservas forestales.</w:t>
      </w:r>
      <w:r>
        <w:t xml:space="preserve"> </w:t>
      </w:r>
      <w:r>
        <w:t xml:space="preserve">Parcelas permanentes, torres o estaciones de monitoreo pueden instalarse sin sustracción de la reserva forestal, porque la Resolución 0083 de 2026 incluye entre las actividades de bajo impacto</w:t>
      </w:r>
      <w:r>
        <w:t xml:space="preserve"> </w:t>
      </w:r>
      <w:r>
        <w:t xml:space="preserve">“</w:t>
      </w:r>
      <w:r>
        <w:t xml:space="preserve">el montaje de infraestructura para el desarrollo de actividades de campo, que hagan parte de proyectos de investigación científica en diversidad biológica</w:t>
      </w:r>
      <w:r>
        <w:t xml:space="preserve">”</w:t>
      </w:r>
      <w:r>
        <w:t xml:space="preserve"> </w:t>
      </w:r>
      <w:r>
        <w:t xml:space="preserve">(art. 2, num. 4) y</w:t>
      </w:r>
      <w:r>
        <w:t xml:space="preserve"> </w:t>
      </w:r>
      <w:r>
        <w:t xml:space="preserve">“</w:t>
      </w:r>
      <w:r>
        <w:t xml:space="preserve">la ubicación de estaciones hidrometeorológicas y de monitoreo ambiental</w:t>
      </w:r>
      <w:r>
        <w:t xml:space="preserve">”</w:t>
      </w:r>
      <w:r>
        <w:t xml:space="preserve"> </w:t>
      </w:r>
      <w:r>
        <w:t xml:space="preserve">(art. 2, num. 11) [N26]. Esto no exime del permiso de recolección (art. 5) y exige informar previamente a la autoridad (art. 6). Véase la sección 3.6.</w:t>
      </w:r>
    </w:p>
    <w:p>
      <w:pPr>
        <w:pStyle w:val="BodyText"/>
      </w:pPr>
      <w:r>
        <w:rPr>
          <w:bCs/>
          <w:b/>
        </w:rPr>
        <w:t xml:space="preserve">Renovación.</w:t>
      </w:r>
      <w:r>
        <w:t xml:space="preserve"> </w:t>
      </w:r>
      <w:r>
        <w:t xml:space="preserve">Antes de que venza el permiso, planifique su renovación con tiempo: una interrupción del permiso es una interrupción de la serie temporal. [VERIFICAR en el DUR si existe trámite de prórroga o renovación del permiso marco e individual y con qué antelación debe solicitarse.]</w:t>
      </w:r>
    </w:p>
    <w:p>
      <w:pPr>
        <w:pStyle w:val="BlockText"/>
      </w:pPr>
      <w:r>
        <w:t xml:space="preserve">🗣️</w:t>
      </w:r>
      <w:r>
        <w:t xml:space="preserve"> </w:t>
      </w:r>
      <w:r>
        <w:rPr>
          <w:bCs/>
          <w:b/>
        </w:rPr>
        <w:t xml:space="preserve">TESTIMONIO (por conseguir) — T1b, monitoreo de largo plazo.</w:t>
      </w:r>
      <w:r>
        <w:t xml:space="preserve"> </w:t>
      </w:r>
      <w:r>
        <w:t xml:space="preserve">¿Cómo se ha mantenido el amparo legal de una serie de monitoreo a lo largo de varios permisos? Perfil: coordinador/a de un programa de monitoreo de largo plazo.</w:t>
      </w:r>
    </w:p>
    <w:bookmarkEnd w:id="32"/>
    <w:bookmarkStart w:id="33" w:name="X2b13a9dc8ce9b7b27691853afa3017657daa7a6"/>
    <w:p>
      <w:pPr>
        <w:pStyle w:val="Heading2"/>
      </w:pPr>
      <w:r>
        <w:t xml:space="preserve">3.5 Acceso a recursos genéticos y productos derivados: códigos de barras, ADN ambiental y envío de muestras</w:t>
      </w:r>
    </w:p>
    <w:p>
      <w:pPr>
        <w:pStyle w:val="FirstParagraph"/>
      </w:pPr>
      <w:r>
        <w:t xml:space="preserve">Las herramientas moleculares se han vuelto rutinarias en el monitoreo de la biodiversidad: códigos de barras de ADN para identificar especies, ADN ambiental (eDNA) extraído de agua o suelo, metabarcoding de muestras de suelo o heces. La pregunta práctica es si estas técnicas requieren, además del permiso de recolección, un</w:t>
      </w:r>
      <w:r>
        <w:t xml:space="preserve"> </w:t>
      </w:r>
      <w:r>
        <w:rPr>
          <w:bCs/>
          <w:b/>
        </w:rPr>
        <w:t xml:space="preserve">contrato de acceso a recursos genéticos</w:t>
      </w:r>
      <w:r>
        <w:t xml:space="preserve">, que se tramita ante el Ministerio de Ambiente y es mucho más exigente.</w:t>
      </w:r>
    </w:p>
    <w:p>
      <w:pPr>
        <w:pStyle w:val="BodyText"/>
      </w:pPr>
      <w:r>
        <w:rPr>
          <w:bCs/>
          <w:b/>
        </w:rPr>
        <w:t xml:space="preserve">Qué configura acceso.</w:t>
      </w:r>
      <w:r>
        <w:t xml:space="preserve"> </w:t>
      </w:r>
      <w:r>
        <w:t xml:space="preserve">La Resolución 1348 de 2014, que precisa la aplicación de la Decisión 391 en Colombia, establece que configuran acceso las actividades realizadas con especies nativas</w:t>
      </w:r>
      <w:r>
        <w:t xml:space="preserve"> </w:t>
      </w:r>
      <w:r>
        <w:t xml:space="preserve">“</w:t>
      </w:r>
      <w:r>
        <w:t xml:space="preserve">que pretendan la separación de las unidades funcionales y no funcionales del ADN y/o el ARN, en todas las formas que se encuentren en la naturaleza</w:t>
      </w:r>
      <w:r>
        <w:t xml:space="preserve">”</w:t>
      </w:r>
      <w:r>
        <w:t xml:space="preserve"> </w:t>
      </w:r>
      <w:r>
        <w:t xml:space="preserve">y las que pretendan</w:t>
      </w:r>
      <w:r>
        <w:t xml:space="preserve"> </w:t>
      </w:r>
      <w:r>
        <w:t xml:space="preserve">“</w:t>
      </w:r>
      <w:r>
        <w:t xml:space="preserve">el aislamiento de una o varias moléculas […] producidas por el metabolismo de un organismo</w:t>
      </w:r>
      <w:r>
        <w:t xml:space="preserve">”</w:t>
      </w:r>
      <w:r>
        <w:t xml:space="preserve"> </w:t>
      </w:r>
      <w:r>
        <w:t xml:space="preserve">(art. 2, nums. 1–2) [N15]. El contrato de acceso es un procedimiento formal que requiere solicitud, contrato, resolución y registro (Decisión 391, art. 16) [N14].</w:t>
      </w:r>
    </w:p>
    <w:p>
      <w:pPr>
        <w:pStyle w:val="BodyText"/>
      </w:pPr>
      <w:r>
        <w:rPr>
          <w:bCs/>
          <w:b/>
        </w:rPr>
        <w:t xml:space="preserve">Qué no configura acceso.</w:t>
      </w:r>
      <w:r>
        <w:t xml:space="preserve"> </w:t>
      </w:r>
      <w:r>
        <w:t xml:space="preserve">El DUR establece dos exclusiones para la investigación no comercial:</w:t>
      </w:r>
    </w:p>
    <w:p>
      <w:pPr>
        <w:numPr>
          <w:ilvl w:val="0"/>
          <w:numId w:val="1009"/>
        </w:numPr>
        <w:pStyle w:val="Compact"/>
      </w:pPr>
      <w:r>
        <w:t xml:space="preserve">Bajo</w:t>
      </w:r>
      <w:r>
        <w:t xml:space="preserve"> </w:t>
      </w:r>
      <w:r>
        <w:rPr>
          <w:bCs/>
          <w:b/>
        </w:rPr>
        <w:t xml:space="preserve">permiso de recolección</w:t>
      </w:r>
      <w:r>
        <w:t xml:space="preserve">, las actividades de sistemática molecular, ecología molecular, evolución y biogeografía</w:t>
      </w:r>
      <w:r>
        <w:t xml:space="preserve"> </w:t>
      </w:r>
      <w:r>
        <w:t xml:space="preserve">“</w:t>
      </w:r>
      <w:r>
        <w:t xml:space="preserve">no configuran acceso al recurso genético</w:t>
      </w:r>
      <w:r>
        <w:t xml:space="preserve">”</w:t>
      </w:r>
      <w:r>
        <w:t xml:space="preserve"> </w:t>
      </w:r>
      <w:r>
        <w:t xml:space="preserve">(DUR, art. 2.2.2.8.1.2, par. 5) [N07, N15].</w:t>
      </w:r>
    </w:p>
    <w:p>
      <w:pPr>
        <w:numPr>
          <w:ilvl w:val="0"/>
          <w:numId w:val="1009"/>
        </w:numPr>
        <w:pStyle w:val="Compact"/>
      </w:pPr>
      <w:r>
        <w:t xml:space="preserve">Con</w:t>
      </w:r>
      <w:r>
        <w:t xml:space="preserve"> </w:t>
      </w:r>
      <w:r>
        <w:rPr>
          <w:bCs/>
          <w:b/>
        </w:rPr>
        <w:t xml:space="preserve">especímenes de colecciones biológicas</w:t>
      </w:r>
      <w:r>
        <w:t xml:space="preserve">,</w:t>
      </w:r>
      <w:r>
        <w:t xml:space="preserve"> </w:t>
      </w:r>
      <w:r>
        <w:t xml:space="preserve">“</w:t>
      </w:r>
      <w:r>
        <w:t xml:space="preserve">las actividades de investigación científica básica con fines no comerciales que usen colecciones biológicas y que involucren actividades de sistemática molecular, ecología molecular, evolución y biogeografía molecular no configuran acceso al recurso genético</w:t>
      </w:r>
      <w:r>
        <w:t xml:space="preserve">”</w:t>
      </w:r>
      <w:r>
        <w:t xml:space="preserve"> </w:t>
      </w:r>
      <w:r>
        <w:t xml:space="preserve">(art. 2.2.2.9.1.4, par. 1) [N10].</w:t>
      </w:r>
    </w:p>
    <w:p>
      <w:pPr>
        <w:pStyle w:val="FirstParagraph"/>
      </w:pPr>
      <w:r>
        <w:t xml:space="preserve">La Resolución 1348 excluye también las especies introducidas y los recursos de origen humano (art. 2, par. 2) [N15]. En cambio, el acceso con fines</w:t>
      </w:r>
      <w:r>
        <w:t xml:space="preserve"> </w:t>
      </w:r>
      <w:r>
        <w:t xml:space="preserve">“</w:t>
      </w:r>
      <w:r>
        <w:t xml:space="preserve">industriales, comerciales o de prospección biológica</w:t>
      </w:r>
      <w:r>
        <w:t xml:space="preserve">”</w:t>
      </w:r>
      <w:r>
        <w:t xml:space="preserve"> </w:t>
      </w:r>
      <w:r>
        <w:t xml:space="preserve">exige siempre contrato (art. 2.2.2.9.1.4, par. 2) [N10].</w:t>
      </w:r>
    </w:p>
    <w:p>
      <w:pPr>
        <w:pStyle w:val="BodyText"/>
      </w:pPr>
      <w:r>
        <w:rPr>
          <w:bCs/>
          <w:b/>
        </w:rPr>
        <w:t xml:space="preserve">Regla práctica.</w:t>
      </w:r>
      <w:r>
        <w:t xml:space="preserve"> </w:t>
      </w:r>
      <w:r>
        <w:t xml:space="preserve">Un estudio de códigos de barras o de filogeografía con especies nativas, hecho por un grupo académico, con especímenes colectados bajo permiso de recolección o depositados en una colección registrada y sin fines comerciales, se ubica dentro de las exclusiones del DUR. Si cualquiera de esas condiciones falla (no hay permiso, la finalidad es comercial, o se busca una molécula con fines de bioprospección), debe consultarse al Ministerio sobre la necesidad de contrato de acceso.</w:t>
      </w:r>
    </w:p>
    <w:p>
      <w:pPr>
        <w:pStyle w:val="BlockText"/>
      </w:pPr>
      <w:r>
        <w:t xml:space="preserve">⚠️</w:t>
      </w:r>
      <w:r>
        <w:t xml:space="preserve"> </w:t>
      </w:r>
      <w:r>
        <w:rPr>
          <w:bCs/>
          <w:b/>
        </w:rPr>
        <w:t xml:space="preserve">ZONA GRIS (revisión jurídica) — La definición andina de acceso.</w:t>
      </w:r>
      <w:r>
        <w:t xml:space="preserve"> </w:t>
      </w:r>
      <w:r>
        <w:t xml:space="preserve">La Decisión 391 define el acceso como la obtención y utilización de recursos genéticos</w:t>
      </w:r>
      <w:r>
        <w:t xml:space="preserve"> </w:t>
      </w:r>
      <w:r>
        <w:t xml:space="preserve">“</w:t>
      </w:r>
      <w:r>
        <w:t xml:space="preserve">con fines de investigación, prospección biológica, conservación, aplicación industrial o aprovechamiento comercial, entre otros</w:t>
      </w:r>
      <w:r>
        <w:t xml:space="preserve">”</w:t>
      </w:r>
      <w:r>
        <w:t xml:space="preserve"> </w:t>
      </w:r>
      <w:r>
        <w:t xml:space="preserve">(art. 1) [N14]. Es decir, incluye expresamente la investigación y la conservación. Las exclusiones del DUR y de la Resolución 1348 son normas nacionales de menor jerarquía que la norma comunitaria andina. Este capítulo no resuelve esa tensión: se limita a señalar que existe y que las exclusiones nacionales son las que aplican hoy las autoridades colombianas. [Pendiente: literatura jurídica revisada por pares o jurisprudencia del Tribunal de Justicia de la Comunidad Andina.]</w:t>
      </w:r>
    </w:p>
    <w:p>
      <w:pPr>
        <w:pStyle w:val="BlockText"/>
      </w:pPr>
      <w:r>
        <w:t xml:space="preserve">⚠️</w:t>
      </w:r>
      <w:r>
        <w:t xml:space="preserve"> </w:t>
      </w:r>
      <w:r>
        <w:rPr>
          <w:bCs/>
          <w:b/>
        </w:rPr>
        <w:t xml:space="preserve">ZONA GRIS — ADN ambiental.</w:t>
      </w:r>
      <w:r>
        <w:t xml:space="preserve"> </w:t>
      </w:r>
      <w:r>
        <w:t xml:space="preserve">El eDNA no proviene de un espécimen colectado en el sentido tradicional, y no encaja claramente en la definición de recolección de especímenes del DUR [N07, N15]. La ANLA, en su guía para el permiso marco, considera que</w:t>
      </w:r>
      <w:r>
        <w:t xml:space="preserve"> </w:t>
      </w:r>
      <w:r>
        <w:t xml:space="preserve">“</w:t>
      </w:r>
      <w:r>
        <w:t xml:space="preserve">el permiso es necesario si se va a recolectar especímenes (individuos, ADN, invertebrados, microorganismos entre otros) asociados a las muestras de agua y suelo</w:t>
      </w:r>
      <w:r>
        <w:t xml:space="preserve">”</w:t>
      </w:r>
      <w:r>
        <w:t xml:space="preserve"> </w:t>
      </w:r>
      <w:r>
        <w:t xml:space="preserve">(ANLA, 2025, secc. 7.1) [N39]. Esta es una interpretación administrativa que resuelve si se necesita permiso de recolección, pero no si el eDNA configura acceso. Recomendación: tramitar el muestreo de eDNA bajo permiso de recolección y documentar que el análisis tiene fines de ecología molecular no comercial.</w:t>
      </w:r>
    </w:p>
    <w:p>
      <w:pPr>
        <w:pStyle w:val="FirstParagraph"/>
      </w:pPr>
      <w:r>
        <w:rPr>
          <w:bCs/>
          <w:b/>
        </w:rPr>
        <w:t xml:space="preserve">Envío de muestras al exterior para secuenciación.</w:t>
      </w:r>
      <w:r>
        <w:t xml:space="preserve"> </w:t>
      </w:r>
      <w:r>
        <w:t xml:space="preserve">No existe una norma única que regule el envío de muestras o extractos de ADN a laboratorios extranjeros [N17]. Las recomendaciones mínimas son:</w:t>
      </w:r>
    </w:p>
    <w:p>
      <w:pPr>
        <w:numPr>
          <w:ilvl w:val="0"/>
          <w:numId w:val="1010"/>
        </w:numPr>
        <w:pStyle w:val="Compact"/>
      </w:pPr>
      <w:r>
        <w:t xml:space="preserve">Verificar que la colecta original esté amparada por un permiso vigente y que el análisis esté dentro de las exclusiones de acceso descritas arriba.</w:t>
      </w:r>
    </w:p>
    <w:p>
      <w:pPr>
        <w:numPr>
          <w:ilvl w:val="0"/>
          <w:numId w:val="1010"/>
        </w:numPr>
        <w:pStyle w:val="Compact"/>
      </w:pPr>
      <w:r>
        <w:t xml:space="preserve">Formalizar el envío con un</w:t>
      </w:r>
      <w:r>
        <w:t xml:space="preserve"> </w:t>
      </w:r>
      <w:r>
        <w:rPr>
          <w:bCs/>
          <w:b/>
        </w:rPr>
        <w:t xml:space="preserve">acuerdo de transferencia de material</w:t>
      </w:r>
      <w:r>
        <w:t xml:space="preserve"> </w:t>
      </w:r>
      <w:r>
        <w:t xml:space="preserve">institucional que prohíba el uso comercial y la transferencia a terceros, y que exija devolver o destruir el material sobrante.</w:t>
      </w:r>
    </w:p>
    <w:p>
      <w:pPr>
        <w:numPr>
          <w:ilvl w:val="0"/>
          <w:numId w:val="1010"/>
        </w:numPr>
        <w:pStyle w:val="Compact"/>
      </w:pPr>
      <w:r>
        <w:t xml:space="preserve">Si el material va a un país Parte del Protocolo de Nagoya, prever que la institución receptora puede pedir documentación de cumplimiento (sección 2.2) [N16].</w:t>
      </w:r>
    </w:p>
    <w:p>
      <w:pPr>
        <w:numPr>
          <w:ilvl w:val="0"/>
          <w:numId w:val="1010"/>
        </w:numPr>
        <w:pStyle w:val="Compact"/>
      </w:pPr>
      <w:r>
        <w:t xml:space="preserve">Cumplir los requisitos de exportación de especímenes (CITES y requisitos sanitarios del ICA, sección 5).</w:t>
      </w:r>
    </w:p>
    <w:p>
      <w:pPr>
        <w:pStyle w:val="FirstParagraph"/>
      </w:pPr>
      <w:r>
        <w:t xml:space="preserve">[VERIFICAR con el abogado si el envío de extractos de ADN —no de especímenes— requiere algún permiso de exportación ambiental.]</w:t>
      </w:r>
    </w:p>
    <w:p>
      <w:pPr>
        <w:pStyle w:val="BlockText"/>
      </w:pPr>
      <w:r>
        <w:t xml:space="preserve">🗣️</w:t>
      </w:r>
      <w:r>
        <w:t xml:space="preserve"> </w:t>
      </w:r>
      <w:r>
        <w:rPr>
          <w:bCs/>
          <w:b/>
        </w:rPr>
        <w:t xml:space="preserve">TESTIMONIO (por conseguir) — T4, recursos genéticos.</w:t>
      </w:r>
      <w:r>
        <w:t xml:space="preserve"> </w:t>
      </w:r>
      <w:r>
        <w:t xml:space="preserve">¿Cómo resolvió su grupo el envío de muestras para secuenciación al exterior? ¿Alguna vez tuvo que tramitar un contrato de acceso? Perfil: investigador/a en sistemática molecular o eDNA.</w:t>
      </w:r>
    </w:p>
    <w:bookmarkEnd w:id="33"/>
    <w:bookmarkStart w:id="38" w:name="Xbf08c809cffd46f2cca069f52a3d7f852eb7e46"/>
    <w:p>
      <w:pPr>
        <w:pStyle w:val="Heading2"/>
      </w:pPr>
      <w:r>
        <w:t xml:space="preserve">3.6 Áreas protegidas, reservas forestales y especies en veda</w:t>
      </w:r>
    </w:p>
    <w:p>
      <w:pPr>
        <w:pStyle w:val="FirstParagraph"/>
      </w:pPr>
      <w:r>
        <w:t xml:space="preserve">El permiso de recolección autoriza a recolectar; no autoriza a hacerlo en cualquier lugar ni sobre cualquier especie. Antes de salir al campo hay que revisar</w:t>
      </w:r>
      <w:r>
        <w:t xml:space="preserve"> </w:t>
      </w:r>
      <w:r>
        <w:rPr>
          <w:bCs/>
          <w:b/>
        </w:rPr>
        <w:t xml:space="preserve">dónde</w:t>
      </w:r>
      <w:r>
        <w:t xml:space="preserve"> </w:t>
      </w:r>
      <w:r>
        <w:t xml:space="preserve">se va a muestrear y</w:t>
      </w:r>
      <w:r>
        <w:t xml:space="preserve"> </w:t>
      </w:r>
      <w:r>
        <w:rPr>
          <w:bCs/>
          <w:b/>
        </w:rPr>
        <w:t xml:space="preserve">qué</w:t>
      </w:r>
      <w:r>
        <w:t xml:space="preserve"> </w:t>
      </w:r>
      <w:r>
        <w:t xml:space="preserve">se va a recolectar, porque ambas cosas pueden exigir autorizaciones adicionales.</w:t>
      </w:r>
    </w:p>
    <w:bookmarkStart w:id="34" w:name="sistema-de-parques-nacionales-naturales"/>
    <w:p>
      <w:pPr>
        <w:pStyle w:val="Heading3"/>
      </w:pPr>
      <w:r>
        <w:t xml:space="preserve">Sistema de Parques Nacionales Naturales</w:t>
      </w:r>
    </w:p>
    <w:p>
      <w:pPr>
        <w:pStyle w:val="FirstParagraph"/>
      </w:pPr>
      <w:r>
        <w:t xml:space="preserve">Parques Nacionales Naturales de Colombia interviene de dos formas distintas, que conviene no confundir [N07]:</w:t>
      </w:r>
    </w:p>
    <w:p>
      <w:pPr>
        <w:numPr>
          <w:ilvl w:val="0"/>
          <w:numId w:val="1011"/>
        </w:numPr>
        <w:pStyle w:val="Compact"/>
      </w:pPr>
      <w:r>
        <w:rPr>
          <w:bCs/>
          <w:b/>
        </w:rPr>
        <w:t xml:space="preserve">Como autoridad que otorga el permiso</w:t>
      </w:r>
      <w:r>
        <w:t xml:space="preserve">, cuando la recolección se realiza dentro de las áreas del sistema (DUR, art. 2.2.2.8.1.4, lit. c; art. 2.2.2.9.2.3, num. 3) [N07, N09].</w:t>
      </w:r>
    </w:p>
    <w:p>
      <w:pPr>
        <w:numPr>
          <w:ilvl w:val="0"/>
          <w:numId w:val="1011"/>
        </w:numPr>
        <w:pStyle w:val="Compact"/>
      </w:pPr>
      <w:r>
        <w:rPr>
          <w:bCs/>
          <w:b/>
        </w:rPr>
        <w:t xml:space="preserve">Como autoridad que autoriza la recolección de quien ya tiene un permiso marco</w:t>
      </w:r>
      <w:r>
        <w:t xml:space="preserve"> </w:t>
      </w:r>
      <w:r>
        <w:t xml:space="preserve">otorgado por otra autoridad:</w:t>
      </w:r>
      <w:r>
        <w:t xml:space="preserve"> </w:t>
      </w:r>
      <w:r>
        <w:t xml:space="preserve">“</w:t>
      </w:r>
      <w:r>
        <w:t xml:space="preserve">El titular del Permiso Marco de Recolección que pretenda recolectar especímenes al interior de un área del Sistema de Parques Nacionales Naturales, deberá, previo a la recolección, obtener autorización de Parques Nacionales Naturales de Colombia</w:t>
      </w:r>
      <w:r>
        <w:t xml:space="preserve">”</w:t>
      </w:r>
      <w:r>
        <w:t xml:space="preserve">, que debe resolver en treinta días (art. 2.2.2.8.2.4, par. 2) [N07].</w:t>
      </w:r>
    </w:p>
    <w:p>
      <w:pPr>
        <w:pStyle w:val="FirstParagraph"/>
      </w:pPr>
      <w:r>
        <w:t xml:space="preserve">Cuando un muestreo combina áreas del sistema con áreas externas, la ANLA exige allegar la autorización expedida por Parques Nacionales (ANLA, 2025, secc. 7.1) [N39]. El régimen general de las áreas del sistema, incluida la investigación, proviene del Decreto 622 de 1977, compilado en el DUR [N18]. [Pendiente: texto literal del Decreto 622/1977 sobre investigación en el SPNN.]</w:t>
      </w:r>
    </w:p>
    <w:bookmarkEnd w:id="34"/>
    <w:bookmarkStart w:id="35" w:name="otras-áreas-protegidas-del-sinap"/>
    <w:p>
      <w:pPr>
        <w:pStyle w:val="Heading3"/>
      </w:pPr>
      <w:r>
        <w:t xml:space="preserve">Otras áreas protegidas del SINAP</w:t>
      </w:r>
    </w:p>
    <w:p>
      <w:pPr>
        <w:pStyle w:val="FirstParagraph"/>
      </w:pPr>
      <w:r>
        <w:t xml:space="preserve">Las áreas protegidas regionales (parques naturales regionales, distritos de manejo integrado, reservas forestales protectoras, entre otras) y las reservas naturales de la sociedad civil hacen parte del Sistema Nacional de Áreas Protegidas, cuya regulación proviene del Decreto 2372 de 2010, compilado en el DUR [N19]. Para un muestreo concreto deben revisarse la categoría del área, su acto de declaratoria y su plan de manejo, que pueden restringir actividades aunque se tenga permiso de recolección [N19]. En las reservas naturales de la sociedad civil, además, se requiere la autorización del propietario (sección 4).</w:t>
      </w:r>
    </w:p>
    <w:bookmarkEnd w:id="35"/>
    <w:bookmarkStart w:id="36" w:name="reservas-forestales-de-la-ley-2-de-1959"/>
    <w:p>
      <w:pPr>
        <w:pStyle w:val="Heading3"/>
      </w:pPr>
      <w:r>
        <w:t xml:space="preserve">Reservas forestales de la Ley 2 de 1959</w:t>
      </w:r>
    </w:p>
    <w:p>
      <w:pPr>
        <w:pStyle w:val="FirstParagraph"/>
      </w:pPr>
      <w:r>
        <w:t xml:space="preserve">Las reservas forestales de la Ley 2 de 1959 no son áreas protegidas en sentido estricto, pero cubren buena parte del territorio nacional y tienen un régimen especial [N24]. La recolección de especímenes no requiere sustraer el área. La instalación de infraestructura de investigación o de monitoreo tampoco, porque está incluida entre las actividades de bajo impacto de la Resolución 0083 de 2026 (art. 2, nums. 4, 9 y 11) [N26]. Sin embargo:</w:t>
      </w:r>
    </w:p>
    <w:p>
      <w:pPr>
        <w:numPr>
          <w:ilvl w:val="0"/>
          <w:numId w:val="1012"/>
        </w:numPr>
        <w:pStyle w:val="Compact"/>
      </w:pPr>
      <w:r>
        <w:t xml:space="preserve">el interesado debe enviar</w:t>
      </w:r>
      <w:r>
        <w:t xml:space="preserve"> </w:t>
      </w:r>
      <w:r>
        <w:rPr>
          <w:bCs/>
          <w:b/>
        </w:rPr>
        <w:t xml:space="preserve">previamente</w:t>
      </w:r>
      <w:r>
        <w:t xml:space="preserve"> </w:t>
      </w:r>
      <w:r>
        <w:t xml:space="preserve">la información del artículo 6 (identificación, cronograma, coordenadas, descripción técnica y medidas de manejo) al Ministerio de Ambiente, si la reserva es nacional, o a la autoridad ambiental regional, si es regional [N26];</w:t>
      </w:r>
    </w:p>
    <w:p>
      <w:pPr>
        <w:numPr>
          <w:ilvl w:val="0"/>
          <w:numId w:val="1012"/>
        </w:numPr>
        <w:pStyle w:val="Compact"/>
      </w:pPr>
      <w:r>
        <w:t xml:space="preserve">la resolución</w:t>
      </w:r>
      <w:r>
        <w:t xml:space="preserve"> </w:t>
      </w:r>
      <w:r>
        <w:t xml:space="preserve">“</w:t>
      </w:r>
      <w:r>
        <w:t xml:space="preserve">no exonera al interesado […] de obtener por parte de la autoridad ambiental competente, el derecho al uso o afectación de los recursos naturales renovables</w:t>
      </w:r>
      <w:r>
        <w:t xml:space="preserve">”</w:t>
      </w:r>
      <w:r>
        <w:t xml:space="preserve"> </w:t>
      </w:r>
      <w:r>
        <w:t xml:space="preserve">(art. 5) [N26];</w:t>
      </w:r>
    </w:p>
    <w:p>
      <w:pPr>
        <w:numPr>
          <w:ilvl w:val="0"/>
          <w:numId w:val="1012"/>
        </w:numPr>
        <w:pStyle w:val="Compact"/>
      </w:pPr>
      <w:r>
        <w:t xml:space="preserve">en las reservas forestales</w:t>
      </w:r>
      <w:r>
        <w:t xml:space="preserve"> </w:t>
      </w:r>
      <w:r>
        <w:rPr>
          <w:bCs/>
          <w:b/>
        </w:rPr>
        <w:t xml:space="preserve">protectoras</w:t>
      </w:r>
      <w:r>
        <w:t xml:space="preserve"> </w:t>
      </w:r>
      <w:r>
        <w:t xml:space="preserve">prevalece el régimen de usos del plan de manejo (art. 2, par. 1) [N26].</w:t>
      </w:r>
    </w:p>
    <w:p>
      <w:pPr>
        <w:pStyle w:val="FirstParagraph"/>
      </w:pPr>
      <w:r>
        <w:t xml:space="preserve">Las actividades que no están en la lista requieren sustracción, cuyo estudio técnico se rige hoy por los términos de referencia de la Resolución 1705 de 2024 [N25].</w:t>
      </w:r>
    </w:p>
    <w:p>
      <w:pPr>
        <w:pStyle w:val="BlockText"/>
      </w:pPr>
      <w:r>
        <w:t xml:space="preserve">⚠️</w:t>
      </w:r>
      <w:r>
        <w:t xml:space="preserve"> </w:t>
      </w:r>
      <w:r>
        <w:rPr>
          <w:bCs/>
          <w:b/>
        </w:rPr>
        <w:t xml:space="preserve">ZONA GRIS (revisión jurídica).</w:t>
      </w:r>
      <w:r>
        <w:t xml:space="preserve"> </w:t>
      </w:r>
      <w:r>
        <w:t xml:space="preserve">La Resolución 0083 de 2026 regula la infraestructura, no la colecta. No es claro si un muestreo sin infraestructura en una reserva forestal de Ley 2 requiere el aviso previo del artículo 6. [Pendiente del concepto del abogado.]</w:t>
      </w:r>
    </w:p>
    <w:bookmarkEnd w:id="36"/>
    <w:bookmarkStart w:id="37" w:name="especies-amenazadas-y-en-veda"/>
    <w:p>
      <w:pPr>
        <w:pStyle w:val="Heading3"/>
      </w:pPr>
      <w:r>
        <w:t xml:space="preserve">Especies amenazadas y en veda</w:t>
      </w:r>
    </w:p>
    <w:p>
      <w:pPr>
        <w:numPr>
          <w:ilvl w:val="0"/>
          <w:numId w:val="1013"/>
        </w:numPr>
        <w:pStyle w:val="Compact"/>
      </w:pPr>
      <w:r>
        <w:rPr>
          <w:bCs/>
          <w:b/>
        </w:rPr>
        <w:t xml:space="preserve">Especies amenazadas.</w:t>
      </w:r>
      <w:r>
        <w:t xml:space="preserve"> </w:t>
      </w:r>
      <w:r>
        <w:t xml:space="preserve">El listado oficial vigente es el de la Resolución 0126 de 2024, que derogó las Resoluciones 1218 de 2003 y 1912 de 2017 [N23]. Recolectar especies amenazadas, vedadas o endémicas bajo un permiso marco requiere autorización previa con el formato correspondiente (DUR, art. 2.2.2.8.2.4, par. 1) [N07].</w:t>
      </w:r>
    </w:p>
    <w:p>
      <w:pPr>
        <w:numPr>
          <w:ilvl w:val="0"/>
          <w:numId w:val="1013"/>
        </w:numPr>
        <w:pStyle w:val="Compact"/>
      </w:pPr>
      <w:r>
        <w:rPr>
          <w:bCs/>
          <w:b/>
        </w:rPr>
        <w:t xml:space="preserve">Vedas de flora.</w:t>
      </w:r>
      <w:r>
        <w:t xml:space="preserve"> </w:t>
      </w:r>
      <w:r>
        <w:t xml:space="preserve">Siguen vigentes, en lo que no haya sido modificado por actos posteriores, la Resolución 0213 de 1977, que estableció</w:t>
      </w:r>
      <w:r>
        <w:t xml:space="preserve"> </w:t>
      </w:r>
      <w:r>
        <w:t xml:space="preserve">“</w:t>
      </w:r>
      <w:r>
        <w:t xml:space="preserve">veda en todo el territorio nacional para el aprovechamiento, transporte y comercialización</w:t>
      </w:r>
      <w:r>
        <w:t xml:space="preserve">”</w:t>
      </w:r>
      <w:r>
        <w:t xml:space="preserve"> </w:t>
      </w:r>
      <w:r>
        <w:t xml:space="preserve">de plantas epífitas como musgos, líquenes y orquídeas, entre otras, y la Resolución 0801 de 1977, para helechos arborescentes [N28]. Pueden existir además vedas regionales. Para proyectos sometidos a licencia, permiso o autorización ambiental, ya no se tramita por separado el levantamiento parcial de veda: la autoridad impone las medidas dentro del instrumento ambiental (Decreto 2106 de 2019, art. 125) [N29]. [Pendiente: texto literal del par. 2 del art. 125 y lista exacta de grupos de la Res. 0213/1977.]</w:t>
      </w:r>
    </w:p>
    <w:p>
      <w:pPr>
        <w:pStyle w:val="BlockText"/>
      </w:pPr>
      <w:r>
        <w:t xml:space="preserve">🗣️</w:t>
      </w:r>
      <w:r>
        <w:t xml:space="preserve"> </w:t>
      </w:r>
      <w:r>
        <w:rPr>
          <w:bCs/>
          <w:b/>
        </w:rPr>
        <w:t xml:space="preserve">TESTIMONIO (por conseguir) — T5, Parques Nacionales.</w:t>
      </w:r>
      <w:r>
        <w:t xml:space="preserve"> </w:t>
      </w:r>
      <w:r>
        <w:t xml:space="preserve">¿Cómo fue el trámite de autorización para investigar dentro de un parque nacional y qué condiciones le impusieron? Perfil: investigador/a con autorización de PNN.</w:t>
      </w:r>
    </w:p>
    <w:bookmarkEnd w:id="37"/>
    <w:bookmarkEnd w:id="38"/>
    <w:bookmarkStart w:id="39" w:name="ciencia-participativa"/>
    <w:p>
      <w:pPr>
        <w:pStyle w:val="Heading2"/>
      </w:pPr>
      <w:r>
        <w:t xml:space="preserve">3.7 Ciencia participativa</w:t>
      </w:r>
    </w:p>
    <w:p>
      <w:pPr>
        <w:pStyle w:val="FirstParagraph"/>
      </w:pPr>
      <w:r>
        <w:t xml:space="preserve">Los proyectos de ciencia participativa (o ciudadana) involucran a personas no especialistas en la toma de datos: conteos de aves, registros fotográficos en plataformas en línea, monitoreos comunitarios. Además de las reglas sobre recolección, plantean tres cuestiones jurídicas propias.</w:t>
      </w:r>
    </w:p>
    <w:p>
      <w:pPr>
        <w:pStyle w:val="BodyText"/>
      </w:pPr>
      <w:r>
        <w:rPr>
          <w:bCs/>
          <w:b/>
        </w:rPr>
        <w:t xml:space="preserve">1. ¿Necesitan permiso los participantes?</w:t>
      </w:r>
      <w:r>
        <w:t xml:space="preserve"> </w:t>
      </w:r>
      <w:r>
        <w:t xml:space="preserve">Si el proyecto implica captura, remoción o extracción de especímenes, sí: la recolección es la misma, la haga un científico o un voluntario [N07]. El permiso debe estar a nombre de la institución o persona que coordina el proyecto, y los participantes deben actuar dentro de su alcance. Si la participación se limita a observaciones, fotografías o grabaciones sin captura, se aplica la zona gris señalada en la sección 3.4.</w:t>
      </w:r>
    </w:p>
    <w:p>
      <w:pPr>
        <w:pStyle w:val="BodyText"/>
      </w:pPr>
      <w:r>
        <w:rPr>
          <w:bCs/>
          <w:b/>
        </w:rPr>
        <w:t xml:space="preserve">2. Datos personales de los participantes.</w:t>
      </w:r>
      <w:r>
        <w:t xml:space="preserve"> </w:t>
      </w:r>
      <w:r>
        <w:t xml:space="preserve">Los registros suelen ir acompañados de nombres, correos, ubicaciones y fotografías de los participantes. Estos son datos personales y su tratamiento se rige por la Ley 1581 de 2012, que exige, entre otras cosas, la autorización del titular [N30]. Conviene separar desde el diseño los datos de biodiversidad, que deben publicarse en el SiB Colombia [N08], de los datos personales, que deben protegerse. [Pendiente: texto literal del principio de autorización de la Ley 1581/2012.]</w:t>
      </w:r>
    </w:p>
    <w:p>
      <w:pPr>
        <w:pStyle w:val="BodyText"/>
      </w:pPr>
      <w:r>
        <w:rPr>
          <w:bCs/>
          <w:b/>
        </w:rPr>
        <w:t xml:space="preserve">3. Derechos sobre los datos y reconocimiento.</w:t>
      </w:r>
      <w:r>
        <w:t xml:space="preserve"> </w:t>
      </w:r>
      <w:r>
        <w:t xml:space="preserve">Las fotografías y bases de datos pueden estar protegidas por derechos de autor cuando son originales (Ley 23 de 1982, modificada por la Ley 1915 de 2018) [N31]. No debe afirmarse que los datos</w:t>
      </w:r>
      <w:r>
        <w:t xml:space="preserve"> </w:t>
      </w:r>
      <w:r>
        <w:t xml:space="preserve">“</w:t>
      </w:r>
      <w:r>
        <w:t xml:space="preserve">son de</w:t>
      </w:r>
      <w:r>
        <w:t xml:space="preserve">”</w:t>
      </w:r>
      <w:r>
        <w:t xml:space="preserve"> </w:t>
      </w:r>
      <w:r>
        <w:t xml:space="preserve">alguien sin analizar el tipo de dato, el contrato y la licencia [N31]. La recomendación práctica es definir desde el inicio, en los términos de participación, la licencia de uso de los datos, la forma de atribución y la gobernanza de la información. [Pendiente: incorporar literatura sobre reconocimiento y autoría de participantes (L03–L05, aún no verificadas).]</w:t>
      </w:r>
    </w:p>
    <w:p>
      <w:pPr>
        <w:pStyle w:val="BodyText"/>
      </w:pPr>
      <w:r>
        <w:t xml:space="preserve">El Acuerdo de Escazú, aprobado por la Ley 2273 de 2022, refuerza el derecho de acceso a la información ambiental y la participación pública, y sirve de marco para que los datos generados con comunidades vuelvan a ellas [N32]. [Pendiente: texto literal del art. 7 del Acuerdo.]</w:t>
      </w:r>
    </w:p>
    <w:p>
      <w:pPr>
        <w:pStyle w:val="BlockText"/>
      </w:pPr>
      <w:r>
        <w:t xml:space="preserve">🗣️</w:t>
      </w:r>
      <w:r>
        <w:t xml:space="preserve"> </w:t>
      </w:r>
      <w:r>
        <w:rPr>
          <w:bCs/>
          <w:b/>
        </w:rPr>
        <w:t xml:space="preserve">TESTIMONIO (por conseguir) — T9, ciencia participativa.</w:t>
      </w:r>
      <w:r>
        <w:t xml:space="preserve"> </w:t>
      </w:r>
      <w:r>
        <w:t xml:space="preserve">¿Cómo maneja su iniciativa los permisos, los datos personales y la atribución de los registros? Perfil: coordinador/a de una iniciativa de ciencia participativa.</w:t>
      </w:r>
    </w:p>
    <w:p>
      <w:pPr>
        <w:pStyle w:val="FirstParagraph"/>
      </w:pPr>
      <w:r>
        <w:rPr>
          <w:bCs/>
          <w:b/>
        </w:rPr>
        <w:t xml:space="preserve">Tabla 3.1.</w:t>
      </w:r>
      <w:r>
        <w:t xml:space="preserve"> </w:t>
      </w:r>
      <w:r>
        <w:t xml:space="preserve">Comparación de los permisos de recolección y de estudio. [Borrador; se completará con 3.4–3.7.]</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1980"/>
        <w:gridCol w:w="1980"/>
        <w:gridCol w:w="1980"/>
        <w:gridCol w:w="1980"/>
      </w:tblGrid>
      <w:tr>
        <w:trPr>
          <w:tblHeader w:val="true"/>
        </w:trPr>
        <w:tc>
          <w:tcPr/>
          <w:p>
            <w:pPr>
              <w:pStyle w:val="Compact"/>
            </w:pPr>
          </w:p>
        </w:tc>
        <w:tc>
          <w:tcPr/>
          <w:p>
            <w:pPr>
              <w:pStyle w:val="Compact"/>
              <w:jc w:val="left"/>
            </w:pPr>
            <w:r>
              <w:rPr>
                <w:sz w:val="18"/>
              </w:rPr>
              <w:t xml:space="preserve">Permiso Marco</w:t>
            </w:r>
          </w:p>
        </w:tc>
        <w:tc>
          <w:tcPr/>
          <w:p>
            <w:pPr>
              <w:pStyle w:val="Compact"/>
              <w:jc w:val="left"/>
            </w:pPr>
            <w:r>
              <w:rPr>
                <w:sz w:val="18"/>
              </w:rPr>
              <w:t xml:space="preserve">Permiso Individual</w:t>
            </w:r>
          </w:p>
        </w:tc>
        <w:tc>
          <w:tcPr/>
          <w:p>
            <w:pPr>
              <w:pStyle w:val="Compact"/>
              <w:jc w:val="left"/>
            </w:pPr>
            <w:r>
              <w:rPr>
                <w:sz w:val="18"/>
              </w:rPr>
              <w:t xml:space="preserve">Permiso de estudio</w:t>
            </w:r>
          </w:p>
        </w:tc>
      </w:tr>
      <w:tr>
        <w:tc>
          <w:tcPr/>
          <w:p>
            <w:pPr>
              <w:pStyle w:val="Compact"/>
              <w:jc w:val="left"/>
            </w:pPr>
            <w:r>
              <w:rPr>
                <w:sz w:val="18"/>
              </w:rPr>
              <w:t xml:space="preserve">Finalidad</w:t>
            </w:r>
          </w:p>
        </w:tc>
        <w:tc>
          <w:tcPr/>
          <w:p>
            <w:pPr>
              <w:pStyle w:val="Compact"/>
              <w:jc w:val="left"/>
            </w:pPr>
            <w:r>
              <w:rPr>
                <w:sz w:val="18"/>
              </w:rPr>
              <w:t xml:space="preserve">Investigación científica no comercial y docencia universitaria</w:t>
            </w:r>
          </w:p>
        </w:tc>
        <w:tc>
          <w:tcPr/>
          <w:p>
            <w:pPr>
              <w:pStyle w:val="Compact"/>
              <w:jc w:val="left"/>
            </w:pPr>
            <w:r>
              <w:rPr>
                <w:sz w:val="18"/>
              </w:rPr>
              <w:t xml:space="preserve">Investigación científica no comercial (un proyecto)</w:t>
            </w:r>
          </w:p>
        </w:tc>
        <w:tc>
          <w:tcPr/>
          <w:p>
            <w:pPr>
              <w:pStyle w:val="Compact"/>
              <w:jc w:val="left"/>
            </w:pPr>
            <w:r>
              <w:rPr>
                <w:sz w:val="18"/>
              </w:rPr>
              <w:t xml:space="preserve">Elaboración de estudios ambientales</w:t>
            </w:r>
          </w:p>
        </w:tc>
      </w:tr>
      <w:tr>
        <w:tc>
          <w:tcPr/>
          <w:p>
            <w:pPr>
              <w:pStyle w:val="Compact"/>
              <w:jc w:val="left"/>
            </w:pPr>
            <w:r>
              <w:rPr>
                <w:sz w:val="18"/>
              </w:rPr>
              <w:t xml:space="preserve">Titular</w:t>
            </w:r>
          </w:p>
        </w:tc>
        <w:tc>
          <w:tcPr/>
          <w:p>
            <w:pPr>
              <w:pStyle w:val="Compact"/>
              <w:jc w:val="left"/>
            </w:pPr>
            <w:r>
              <w:rPr>
                <w:sz w:val="18"/>
              </w:rPr>
              <w:t xml:space="preserve">Institución Nacional de Investigación</w:t>
            </w:r>
          </w:p>
        </w:tc>
        <w:tc>
          <w:tcPr/>
          <w:p>
            <w:pPr>
              <w:pStyle w:val="Compact"/>
              <w:jc w:val="left"/>
            </w:pPr>
            <w:r>
              <w:rPr>
                <w:sz w:val="18"/>
              </w:rPr>
              <w:t xml:space="preserve">Persona natural o jurídica</w:t>
            </w:r>
          </w:p>
        </w:tc>
        <w:tc>
          <w:tcPr/>
          <w:p>
            <w:pPr>
              <w:pStyle w:val="Compact"/>
              <w:jc w:val="left"/>
            </w:pPr>
            <w:r>
              <w:rPr>
                <w:sz w:val="18"/>
              </w:rPr>
              <w:t xml:space="preserve">Persona natural o jurídica</w:t>
            </w:r>
          </w:p>
        </w:tc>
      </w:tr>
      <w:tr>
        <w:tc>
          <w:tcPr/>
          <w:p>
            <w:pPr>
              <w:pStyle w:val="Compact"/>
              <w:jc w:val="left"/>
            </w:pPr>
            <w:r>
              <w:rPr>
                <w:sz w:val="18"/>
              </w:rPr>
              <w:t xml:space="preserve">Autoridad</w:t>
            </w:r>
          </w:p>
        </w:tc>
        <w:tc>
          <w:tcPr/>
          <w:p>
            <w:pPr>
              <w:pStyle w:val="Compact"/>
              <w:jc w:val="left"/>
            </w:pPr>
            <w:r>
              <w:rPr>
                <w:sz w:val="18"/>
              </w:rPr>
              <w:t xml:space="preserve">CAR / gran centro urbano (una jurisdicción); ANLA (dos o más); PNN (áreas del SPNN)</w:t>
            </w:r>
          </w:p>
        </w:tc>
        <w:tc>
          <w:tcPr/>
          <w:p>
            <w:pPr>
              <w:pStyle w:val="Compact"/>
              <w:jc w:val="left"/>
            </w:pPr>
            <w:r>
              <w:rPr>
                <w:sz w:val="18"/>
              </w:rPr>
              <w:t xml:space="preserve">Igual</w:t>
            </w:r>
          </w:p>
        </w:tc>
        <w:tc>
          <w:tcPr/>
          <w:p>
            <w:pPr>
              <w:pStyle w:val="Compact"/>
              <w:jc w:val="left"/>
            </w:pPr>
            <w:r>
              <w:rPr>
                <w:sz w:val="18"/>
              </w:rPr>
              <w:t xml:space="preserve">Igual (incluye autoridades de la Ley 768/2002)</w:t>
            </w:r>
          </w:p>
        </w:tc>
      </w:tr>
      <w:tr>
        <w:tc>
          <w:tcPr/>
          <w:p>
            <w:pPr>
              <w:pStyle w:val="Compact"/>
              <w:jc w:val="left"/>
            </w:pPr>
            <w:r>
              <w:rPr>
                <w:sz w:val="18"/>
              </w:rPr>
              <w:t xml:space="preserve">Duración máxima</w:t>
            </w:r>
          </w:p>
        </w:tc>
        <w:tc>
          <w:tcPr/>
          <w:p>
            <w:pPr>
              <w:pStyle w:val="Compact"/>
              <w:jc w:val="left"/>
            </w:pPr>
            <w:r>
              <w:rPr>
                <w:sz w:val="18"/>
              </w:rPr>
              <w:t xml:space="preserve">10 años</w:t>
            </w:r>
          </w:p>
        </w:tc>
        <w:tc>
          <w:tcPr/>
          <w:p>
            <w:pPr>
              <w:pStyle w:val="Compact"/>
              <w:jc w:val="left"/>
            </w:pPr>
            <w:r>
              <w:rPr>
                <w:sz w:val="18"/>
              </w:rPr>
              <w:t xml:space="preserve">5 años</w:t>
            </w:r>
          </w:p>
        </w:tc>
        <w:tc>
          <w:tcPr/>
          <w:p>
            <w:pPr>
              <w:pStyle w:val="Compact"/>
              <w:jc w:val="left"/>
            </w:pPr>
            <w:r>
              <w:rPr>
                <w:sz w:val="18"/>
              </w:rPr>
              <w:t xml:space="preserve">2 años, prorrogable por fuerza mayor</w:t>
            </w:r>
          </w:p>
        </w:tc>
      </w:tr>
      <w:tr>
        <w:tc>
          <w:tcPr/>
          <w:p>
            <w:pPr>
              <w:pStyle w:val="Compact"/>
              <w:jc w:val="left"/>
            </w:pPr>
            <w:r>
              <w:rPr>
                <w:sz w:val="18"/>
              </w:rPr>
              <w:t xml:space="preserve">Costo de evaluación y seguimiento</w:t>
            </w:r>
          </w:p>
        </w:tc>
        <w:tc>
          <w:tcPr/>
          <w:p>
            <w:pPr>
              <w:pStyle w:val="Compact"/>
              <w:jc w:val="left"/>
            </w:pPr>
            <w:r>
              <w:rPr>
                <w:sz w:val="18"/>
              </w:rPr>
              <w:t xml:space="preserve">Gratuito</w:t>
            </w:r>
          </w:p>
        </w:tc>
        <w:tc>
          <w:tcPr/>
          <w:p>
            <w:pPr>
              <w:pStyle w:val="Compact"/>
              <w:jc w:val="left"/>
            </w:pPr>
            <w:r>
              <w:rPr>
                <w:sz w:val="18"/>
              </w:rPr>
              <w:t xml:space="preserve">Gratuito</w:t>
            </w:r>
          </w:p>
        </w:tc>
        <w:tc>
          <w:tcPr/>
          <w:p>
            <w:pPr>
              <w:pStyle w:val="Compact"/>
              <w:jc w:val="left"/>
            </w:pPr>
            <w:r>
              <w:rPr>
                <w:sz w:val="18"/>
              </w:rPr>
              <w:t xml:space="preserve">[VERIFICAR]</w:t>
            </w:r>
          </w:p>
        </w:tc>
      </w:tr>
      <w:tr>
        <w:tc>
          <w:tcPr/>
          <w:p>
            <w:pPr>
              <w:pStyle w:val="Compact"/>
              <w:jc w:val="left"/>
            </w:pPr>
            <w:r>
              <w:rPr>
                <w:sz w:val="18"/>
              </w:rPr>
              <w:t xml:space="preserve">Reporte al SiB Colombia</w:t>
            </w:r>
          </w:p>
        </w:tc>
        <w:tc>
          <w:tcPr/>
          <w:p>
            <w:pPr>
              <w:pStyle w:val="Compact"/>
              <w:jc w:val="left"/>
            </w:pPr>
            <w:r>
              <w:rPr>
                <w:sz w:val="18"/>
              </w:rPr>
              <w:t xml:space="preserve">Sí, con constancia</w:t>
            </w:r>
          </w:p>
        </w:tc>
        <w:tc>
          <w:tcPr/>
          <w:p>
            <w:pPr>
              <w:pStyle w:val="Compact"/>
              <w:jc w:val="left"/>
            </w:pPr>
            <w:r>
              <w:rPr>
                <w:sz w:val="18"/>
              </w:rPr>
              <w:t xml:space="preserve">Sí, con constancia</w:t>
            </w:r>
          </w:p>
        </w:tc>
        <w:tc>
          <w:tcPr/>
          <w:p>
            <w:pPr>
              <w:pStyle w:val="Compact"/>
              <w:jc w:val="left"/>
            </w:pPr>
            <w:r>
              <w:rPr>
                <w:sz w:val="18"/>
              </w:rPr>
              <w:t xml:space="preserve">Sí, terminado el estudio, con constancia</w:t>
            </w:r>
          </w:p>
        </w:tc>
      </w:tr>
      <w:tr>
        <w:tc>
          <w:tcPr/>
          <w:p>
            <w:pPr>
              <w:pStyle w:val="Compact"/>
              <w:jc w:val="left"/>
            </w:pPr>
            <w:r>
              <w:rPr>
                <w:sz w:val="18"/>
              </w:rPr>
              <w:t xml:space="preserve">Uso comercial del material</w:t>
            </w:r>
          </w:p>
        </w:tc>
        <w:tc>
          <w:tcPr/>
          <w:p>
            <w:pPr>
              <w:pStyle w:val="Compact"/>
              <w:jc w:val="left"/>
            </w:pPr>
            <w:r>
              <w:rPr>
                <w:sz w:val="18"/>
              </w:rPr>
              <w:t xml:space="preserve">Prohibido</w:t>
            </w:r>
          </w:p>
        </w:tc>
        <w:tc>
          <w:tcPr/>
          <w:p>
            <w:pPr>
              <w:pStyle w:val="Compact"/>
              <w:jc w:val="left"/>
            </w:pPr>
            <w:r>
              <w:rPr>
                <w:sz w:val="18"/>
              </w:rPr>
              <w:t xml:space="preserve">Prohibido</w:t>
            </w:r>
          </w:p>
        </w:tc>
        <w:tc>
          <w:tcPr/>
          <w:p>
            <w:pPr>
              <w:pStyle w:val="Compact"/>
              <w:jc w:val="left"/>
            </w:pPr>
            <w:r>
              <w:rPr>
                <w:sz w:val="18"/>
              </w:rPr>
              <w:t xml:space="preserve">Prohibido</w:t>
            </w:r>
          </w:p>
        </w:tc>
      </w:tr>
      <w:tr>
        <w:tc>
          <w:tcPr/>
          <w:p>
            <w:pPr>
              <w:pStyle w:val="Compact"/>
              <w:jc w:val="left"/>
            </w:pPr>
            <w:r>
              <w:rPr>
                <w:sz w:val="18"/>
              </w:rPr>
              <w:t xml:space="preserve">Norma</w:t>
            </w:r>
          </w:p>
        </w:tc>
        <w:tc>
          <w:tcPr/>
          <w:p>
            <w:pPr>
              <w:pStyle w:val="Compact"/>
              <w:jc w:val="left"/>
            </w:pPr>
            <w:r>
              <w:rPr>
                <w:sz w:val="18"/>
              </w:rPr>
              <w:t xml:space="preserve">DUR 1076/2015, arts. 2.2.2.8.1.1 y ss. (Decreto 1376/2013)</w:t>
            </w:r>
          </w:p>
        </w:tc>
        <w:tc>
          <w:tcPr/>
          <w:p>
            <w:pPr>
              <w:pStyle w:val="Compact"/>
              <w:jc w:val="left"/>
            </w:pPr>
            <w:r>
              <w:rPr>
                <w:sz w:val="18"/>
              </w:rPr>
              <w:t xml:space="preserve">Igual</w:t>
            </w:r>
          </w:p>
        </w:tc>
        <w:tc>
          <w:tcPr/>
          <w:p>
            <w:pPr>
              <w:pStyle w:val="Compact"/>
              <w:jc w:val="left"/>
            </w:pPr>
            <w:r>
              <w:rPr>
                <w:sz w:val="18"/>
              </w:rPr>
              <w:t xml:space="preserve">DUR 1076/2015, arts. 2.2.2.9.2.1 y ss. (Decreto 3016/2013)</w:t>
            </w:r>
          </w:p>
        </w:tc>
      </w:tr>
    </w:tbl>
    <w:p>
      <w:r>
        <w:pict>
          <v:rect style="width:0;height:1.5pt" o:hralign="center" o:hrstd="t" o:hr="t"/>
        </w:pict>
      </w:r>
    </w:p>
    <w:p>
      <w:pPr>
        <w:pStyle w:val="FirstParagraph"/>
      </w:pPr>
      <w:r>
        <w:rPr>
          <w:bCs/>
          <w:b/>
        </w:rPr>
        <w:t xml:space="preserve">Referencias citadas en esta parte (APA 7, provisional)</w:t>
      </w:r>
    </w:p>
    <w:p>
      <w:pPr>
        <w:pStyle w:val="BodyText"/>
      </w:pPr>
      <w:r>
        <w:t xml:space="preserve">Autoridad Nacional de Licencias Ambientales [ANLA]. (2025).</w:t>
      </w:r>
      <w:r>
        <w:t xml:space="preserve"> </w:t>
      </w:r>
      <w:r>
        <w:rPr>
          <w:iCs/>
          <w:i/>
        </w:rPr>
        <w:t xml:space="preserve">Guía externa para la evaluación del Permiso Marco de Recolección de especímenes de especies silvestres de la diversidad biológica con fines de investigación científica no comercial</w:t>
      </w:r>
      <w:r>
        <w:t xml:space="preserve"> </w:t>
      </w:r>
      <w:r>
        <w:t xml:space="preserve">(IR-GU-04, versión 1). [VERIFICAR título exacto y URL.]</w:t>
      </w:r>
    </w:p>
    <w:p>
      <w:pPr>
        <w:pStyle w:val="BodyText"/>
      </w:pPr>
      <w:r>
        <w:t xml:space="preserve">Decreto 1076 de 2015. Decreto Único Reglamentario del Sector Ambiente y Desarrollo Sostenible. Versión integrada actualizada al 2 de noviembre de 2025. Departamento Administrativo de la Función Pública.</w:t>
      </w:r>
    </w:p>
    <w:p>
      <w:pPr>
        <w:pStyle w:val="BodyText"/>
      </w:pPr>
      <w:r>
        <w:t xml:space="preserve">Comunidad Andina. (1996).</w:t>
      </w:r>
      <w:r>
        <w:t xml:space="preserve"> </w:t>
      </w:r>
      <w:r>
        <w:rPr>
          <w:iCs/>
          <w:i/>
        </w:rPr>
        <w:t xml:space="preserve">Decisión 391: Régimen Común sobre Acceso a los Recursos Genéticos</w:t>
      </w:r>
      <w:r>
        <w:t xml:space="preserve">.</w:t>
      </w:r>
    </w:p>
    <w:p>
      <w:pPr>
        <w:pStyle w:val="BodyText"/>
      </w:pPr>
      <w:r>
        <w:t xml:space="preserve">Ministerio de Ambiente y Desarrollo Sostenible [MADS]. (2014).</w:t>
      </w:r>
      <w:r>
        <w:t xml:space="preserve"> </w:t>
      </w:r>
      <w:r>
        <w:rPr>
          <w:iCs/>
          <w:i/>
        </w:rPr>
        <w:t xml:space="preserve">Resolución 1348 de 2014</w:t>
      </w:r>
      <w:r>
        <w:t xml:space="preserve">, modificada por la Resolución 1352 de 2017.</w:t>
      </w:r>
    </w:p>
    <w:p>
      <w:pPr>
        <w:pStyle w:val="BodyText"/>
      </w:pPr>
      <w:r>
        <w:t xml:space="preserve">Ministerio de Ambiente y Desarrollo Sostenible [MADS]. (2026).</w:t>
      </w:r>
      <w:r>
        <w:t xml:space="preserve"> </w:t>
      </w:r>
      <w:r>
        <w:rPr>
          <w:iCs/>
          <w:i/>
        </w:rPr>
        <w:t xml:space="preserve">Resolución 0083 de 2026</w:t>
      </w:r>
      <w:r>
        <w:t xml:space="preserve">, corregida por la Resolución 0122 de 2026.</w:t>
      </w:r>
    </w:p>
    <w:p>
      <w:pPr>
        <w:pStyle w:val="BodyText"/>
      </w:pPr>
      <w:r>
        <w:t xml:space="preserve">Ministerio de Ambiente y Desarrollo Sostenible [MADS]. (2024).</w:t>
      </w:r>
      <w:r>
        <w:t xml:space="preserve"> </w:t>
      </w:r>
      <w:r>
        <w:rPr>
          <w:iCs/>
          <w:i/>
        </w:rPr>
        <w:t xml:space="preserve">Auto 328 del 4 de octubre de 2024</w:t>
      </w:r>
      <w:r>
        <w:t xml:space="preserve">. Dirección de Bosques, Biodiversidad y Servicios Ecosistémicos.</w:t>
      </w:r>
    </w:p>
    <w:bookmarkEnd w:id="39"/>
    <w:bookmarkEnd w:id="40"/>
    <w:bookmarkStart w:id="44" w:name="comunidades-y-territorios"/>
    <w:p>
      <w:pPr>
        <w:pStyle w:val="Heading1"/>
      </w:pPr>
      <w:r>
        <w:t xml:space="preserve">4. Comunidades y territorios</w:t>
      </w:r>
    </w:p>
    <w:p>
      <w:pPr>
        <w:pStyle w:val="FirstParagraph"/>
      </w:pPr>
      <w:r>
        <w:t xml:space="preserve">El permiso ambiental autoriza la recolección frente al Estado, pero no resuelve la relación con quienes habitan, poseen o gobiernan el territorio donde se muestrea. Esa relación tiene una dimensión jurídica y una dimensión ética, y ambas condicionan la viabilidad del trabajo de campo.</w:t>
      </w:r>
    </w:p>
    <w:bookmarkStart w:id="41" w:name="X3d37e8a48573aadff43bc188e156110baae0301"/>
    <w:p>
      <w:pPr>
        <w:pStyle w:val="Heading2"/>
      </w:pPr>
      <w:r>
        <w:t xml:space="preserve">4.1 Territorios de pueblos indígenas y comunidades negras</w:t>
      </w:r>
    </w:p>
    <w:p>
      <w:pPr>
        <w:pStyle w:val="FirstParagraph"/>
      </w:pPr>
      <w:r>
        <w:rPr>
          <w:bCs/>
          <w:b/>
        </w:rPr>
        <w:t xml:space="preserve">Consulta previa.</w:t>
      </w:r>
      <w:r>
        <w:t xml:space="preserve"> </w:t>
      </w:r>
      <w:r>
        <w:t xml:space="preserve">El Convenio 169 de la OIT, aprobado por la Ley 21 de 1991, consagra el derecho de los pueblos indígenas y tribales a ser consultados sobre las medidas que los afecten directamente; en Colombia el trámite lo dirige la Dirección de la Autoridad Nacional de Consulta Previa del Ministerio del Interior [N20]. No toda investigación activa la consulta previa: su procedencia depende de que exista una</w:t>
      </w:r>
      <w:r>
        <w:t xml:space="preserve"> </w:t>
      </w:r>
      <w:r>
        <w:rPr>
          <w:bCs/>
          <w:b/>
        </w:rPr>
        <w:t xml:space="preserve">afectación directa</w:t>
      </w:r>
      <w:r>
        <w:t xml:space="preserve"> </w:t>
      </w:r>
      <w:r>
        <w:t xml:space="preserve">sobre la comunidad, lo que debe analizarse caso por caso [N20]. En la práctica, la consulta previa es una etapa habitual de los proyectos sujetos a licencia ambiental, de manera que los consultores la encontrarán con más frecuencia que los investigadores académicos. [VERIFICAR con el abogado: criterios vigentes de procedencia y si existe pronunciamiento sobre investigación científica.]</w:t>
      </w:r>
    </w:p>
    <w:p>
      <w:pPr>
        <w:pStyle w:val="BodyText"/>
      </w:pPr>
      <w:r>
        <w:rPr>
          <w:bCs/>
          <w:b/>
        </w:rPr>
        <w:t xml:space="preserve">Más allá de la consulta previa: acuerdos con las autoridades propias.</w:t>
      </w:r>
      <w:r>
        <w:t xml:space="preserve"> </w:t>
      </w:r>
      <w:r>
        <w:t xml:space="preserve">Aunque una investigación no requiera consulta previa, el trabajo en resguardos indígenas y territorios colectivos de comunidades negras exige coordinar con sus autoridades (cabildos, consejos comunitarios) y obtener su aprobación antes de ingresar. Es una práctica recomendable documentar ese acuerdo por escrito: objetivos, métodos, número y destino de los especímenes, uso de los datos y forma de devolver los resultados. [Pendiente: literatura revisada por pares sobre acuerdos de investigación con comunidades étnicas en Colombia.]</w:t>
      </w:r>
    </w:p>
    <w:p>
      <w:pPr>
        <w:pStyle w:val="BodyText"/>
      </w:pPr>
      <w:r>
        <w:rPr>
          <w:bCs/>
          <w:b/>
        </w:rPr>
        <w:t xml:space="preserve">Conocimiento tradicional.</w:t>
      </w:r>
      <w:r>
        <w:t xml:space="preserve"> </w:t>
      </w:r>
      <w:r>
        <w:t xml:space="preserve">Si la investigación involucra conocimientos tradicionales asociados a la biodiversidad (usos de plantas, nombres locales, prácticas de manejo), entra en juego el componente intangible regulado por la Decisión 391, que puede configurar acceso (sección 3.5) [N14]. La Decisión 391 excluye de su ámbito el intercambio de recursos genéticos que las comunidades indígenas, afroamericanas y locales</w:t>
      </w:r>
      <w:r>
        <w:t xml:space="preserve"> </w:t>
      </w:r>
      <w:r>
        <w:t xml:space="preserve">“</w:t>
      </w:r>
      <w:r>
        <w:t xml:space="preserve">realicen […] entre sí y para su propio consumo, basadas en sus prácticas consuetudinarias</w:t>
      </w:r>
      <w:r>
        <w:t xml:space="preserve">”</w:t>
      </w:r>
      <w:r>
        <w:t xml:space="preserve"> </w:t>
      </w:r>
      <w:r>
        <w:t xml:space="preserve">(art. 4, lit. b) [N14], pero esa exclusión no cubre al investigador externo.</w:t>
      </w:r>
    </w:p>
    <w:p>
      <w:pPr>
        <w:pStyle w:val="BlockText"/>
      </w:pPr>
      <w:r>
        <w:t xml:space="preserve">🗣️</w:t>
      </w:r>
      <w:r>
        <w:t xml:space="preserve"> </w:t>
      </w:r>
      <w:r>
        <w:rPr>
          <w:bCs/>
          <w:b/>
        </w:rPr>
        <w:t xml:space="preserve">TESTIMONIO (por conseguir) — T6, comunidades.</w:t>
      </w:r>
      <w:r>
        <w:t xml:space="preserve"> </w:t>
      </w:r>
      <w:r>
        <w:t xml:space="preserve">¿Cómo se construyó el acuerdo con la comunidad y qué se devolvió al final del proyecto? Perfil: investigador/a que haya trabajado en un resguardo o territorio colectivo.</w:t>
      </w:r>
    </w:p>
    <w:bookmarkEnd w:id="41"/>
    <w:bookmarkStart w:id="42" w:name="X14c7687f976ffc70a7a7887c9606cc8c306dc58"/>
    <w:p>
      <w:pPr>
        <w:pStyle w:val="Heading2"/>
      </w:pPr>
      <w:r>
        <w:t xml:space="preserve">4.2 Predios privados y reservas de la sociedad civil</w:t>
      </w:r>
    </w:p>
    <w:p>
      <w:pPr>
        <w:pStyle w:val="FirstParagraph"/>
      </w:pPr>
      <w:r>
        <w:t xml:space="preserve">El permiso de recolección no otorga derecho de ingreso a predios privados. Antes de muestrear en una finca, es necesario obtener la autorización del propietario o poseedor; se recomienda que sea escrita y que especifique fechas, sitios, métodos y si se dejará infraestructura (cámaras, parcelas, trampas). [VERIFICAR con el abogado la base normativa del derecho de ingreso y si el permiso de recolección dice algo al respecto.]</w:t>
      </w:r>
    </w:p>
    <w:p>
      <w:pPr>
        <w:pStyle w:val="BodyText"/>
      </w:pPr>
      <w:r>
        <w:t xml:space="preserve">Las reservas naturales de la sociedad civil son áreas protegidas privadas que hacen parte del SINAP [N19]. Además de la autorización del propietario, deben revisarse las restricciones de su plan de manejo (sección 3.6).</w:t>
      </w:r>
    </w:p>
    <w:bookmarkEnd w:id="42"/>
    <w:bookmarkStart w:id="43" w:name="Xd300646b0e970455b5efbeae3548a376d8cea22"/>
    <w:p>
      <w:pPr>
        <w:pStyle w:val="Heading2"/>
      </w:pPr>
      <w:r>
        <w:t xml:space="preserve">4.3 Información y participación: el Acuerdo de Escazú</w:t>
      </w:r>
    </w:p>
    <w:p>
      <w:pPr>
        <w:pStyle w:val="FirstParagraph"/>
      </w:pPr>
      <w:r>
        <w:t xml:space="preserve">El Acuerdo de Escazú, aprobado por la Ley 2273 de 2022 y declarado exequible en 2024, consagra los derechos de acceso a la información ambiental, participación pública y acceso a la justicia en asuntos ambientales [N32]. Aunque se dirige a los Estados, ofrece un marco útil para el investigador: los datos de biodiversidad producidos en un territorio deben ser accesibles a quienes lo habitan. Publicar en el SiB Colombia es una obligación legal [N08]; devolver los resultados a las comunidades en un formato comprensible es una buena práctica que este capítulo recomienda. [Pendiente: texto literal del art. 7 del Acuerdo.]</w:t>
      </w:r>
    </w:p>
    <w:p>
      <w:pPr>
        <w:pStyle w:val="BodyText"/>
      </w:pPr>
      <w:r>
        <w:rPr>
          <w:bCs/>
          <w:b/>
        </w:rPr>
        <w:t xml:space="preserve">Lista mínima antes de entrar a un territorio</w:t>
      </w:r>
    </w:p>
    <w:p>
      <w:pPr>
        <w:numPr>
          <w:ilvl w:val="0"/>
          <w:numId w:val="1014"/>
        </w:numPr>
        <w:pStyle w:val="Compact"/>
      </w:pPr>
      <w:r>
        <w:t xml:space="preserve">☐ ¿El área es territorio étnico? ¿Se requiere consulta previa o un acuerdo con la autoridad propia?</w:t>
      </w:r>
    </w:p>
    <w:p>
      <w:pPr>
        <w:numPr>
          <w:ilvl w:val="0"/>
          <w:numId w:val="1014"/>
        </w:numPr>
        <w:pStyle w:val="Compact"/>
      </w:pPr>
      <w:r>
        <w:t xml:space="preserve">☐ ¿Se cuenta con autorización escrita del propietario o poseedor del predio?</w:t>
      </w:r>
    </w:p>
    <w:p>
      <w:pPr>
        <w:numPr>
          <w:ilvl w:val="0"/>
          <w:numId w:val="1014"/>
        </w:numPr>
        <w:pStyle w:val="Compact"/>
      </w:pPr>
      <w:r>
        <w:t xml:space="preserve">☐ ¿El área es protegida? ¿Qué dice su plan de manejo?</w:t>
      </w:r>
    </w:p>
    <w:p>
      <w:pPr>
        <w:numPr>
          <w:ilvl w:val="0"/>
          <w:numId w:val="1014"/>
        </w:numPr>
        <w:pStyle w:val="Compact"/>
      </w:pPr>
      <w:r>
        <w:t xml:space="preserve">☐ ¿La investigación involucra conocimiento tradicional?</w:t>
      </w:r>
    </w:p>
    <w:p>
      <w:pPr>
        <w:numPr>
          <w:ilvl w:val="0"/>
          <w:numId w:val="1014"/>
        </w:numPr>
        <w:pStyle w:val="Compact"/>
      </w:pPr>
      <w:r>
        <w:t xml:space="preserve">☐ ¿Cómo y cuándo se devolverán los resultados?</w:t>
      </w:r>
    </w:p>
    <w:bookmarkEnd w:id="43"/>
    <w:bookmarkEnd w:id="44"/>
    <w:bookmarkStart w:id="50" w:name="después-del-campo"/>
    <w:p>
      <w:pPr>
        <w:pStyle w:val="Heading1"/>
      </w:pPr>
      <w:r>
        <w:t xml:space="preserve">5. Después del campo</w:t>
      </w:r>
    </w:p>
    <w:p>
      <w:pPr>
        <w:pStyle w:val="FirstParagraph"/>
      </w:pPr>
      <w:r>
        <w:t xml:space="preserve">El permiso no termina cuando se regresa del campo. Las obligaciones posteriores (mover, depositar, publicar, informar y, si es el caso, exportar) son las que más se incumplen y las que más consecuencias tienen para la validez de los datos y la renovación de los permisos.</w:t>
      </w:r>
    </w:p>
    <w:bookmarkStart w:id="45" w:name="X0abeafee89ec0849ee50d4e9434ca32f9ec61c7"/>
    <w:p>
      <w:pPr>
        <w:pStyle w:val="Heading2"/>
      </w:pPr>
      <w:r>
        <w:t xml:space="preserve">5.1 Movilización de especímenes dentro del país</w:t>
      </w:r>
    </w:p>
    <w:p>
      <w:pPr>
        <w:pStyle w:val="FirstParagraph"/>
      </w:pPr>
      <w:r>
        <w:t xml:space="preserve">Los especímenes recolectados bajo un permiso de recolección viajan amparados por el propio permiso: la resolución que lo otorga incluye la autorización de movilización y</w:t>
      </w:r>
      <w:r>
        <w:t xml:space="preserve"> </w:t>
      </w:r>
      <w:r>
        <w:t xml:space="preserve">“</w:t>
      </w:r>
      <w:r>
        <w:t xml:space="preserve">no se requiere de salvoconducto adicional alguno</w:t>
      </w:r>
      <w:r>
        <w:t xml:space="preserve">”</w:t>
      </w:r>
      <w:r>
        <w:t xml:space="preserve"> </w:t>
      </w:r>
      <w:r>
        <w:t xml:space="preserve">(DUR, art. 2.2.2.8.6.6) [N11]. Lleve siempre copia del permiso durante el transporte.</w:t>
      </w:r>
    </w:p>
    <w:p>
      <w:pPr>
        <w:pStyle w:val="BodyText"/>
      </w:pPr>
      <w:r>
        <w:t xml:space="preserve">Los especímenes que no están amparados por un permiso de recolección requieren el</w:t>
      </w:r>
      <w:r>
        <w:t xml:space="preserve"> </w:t>
      </w:r>
      <w:r>
        <w:rPr>
          <w:bCs/>
          <w:b/>
        </w:rPr>
        <w:t xml:space="preserve">Salvoconducto Único Nacional en Línea (SUNL)</w:t>
      </w:r>
      <w:r>
        <w:t xml:space="preserve">, establecido por la Resolución 1909 de 2017, modificada por la Resolución 0081 de 2018, para la movilización de especímenes de la diversidad biológica [N11]. [Pendiente: texto literal del alcance del SUNL. VERIFICAR si el permiso de estudio (sección 3.3) contiene una disposición equivalente sobre movilización.]</w:t>
      </w:r>
    </w:p>
    <w:bookmarkEnd w:id="45"/>
    <w:bookmarkStart w:id="46" w:name="depósito-en-colecciones-biológicas"/>
    <w:p>
      <w:pPr>
        <w:pStyle w:val="Heading2"/>
      </w:pPr>
      <w:r>
        <w:t xml:space="preserve">5.2 Depósito en colecciones biológicas</w:t>
      </w:r>
    </w:p>
    <w:p>
      <w:pPr>
        <w:pStyle w:val="FirstParagraph"/>
      </w:pPr>
      <w:r>
        <w:rPr>
          <w:bCs/>
          <w:b/>
        </w:rPr>
        <w:t xml:space="preserve">Obligación.</w:t>
      </w:r>
      <w:r>
        <w:t xml:space="preserve"> </w:t>
      </w:r>
      <w:r>
        <w:t xml:space="preserve">El titular de un permiso individual debe</w:t>
      </w:r>
      <w:r>
        <w:t xml:space="preserve"> </w:t>
      </w:r>
      <w:r>
        <w:t xml:space="preserve">“</w:t>
      </w:r>
      <w:r>
        <w:t xml:space="preserve">depositar dentro del término de vigencia del permiso los especímenes en una colección nacional registrada ante el Instituto de Investigación de Recursos Biológicos</w:t>
      </w:r>
      <w:r>
        <w:t xml:space="preserve"> </w:t>
      </w:r>
      <w:r>
        <w:t xml:space="preserve">‘</w:t>
      </w:r>
      <w:r>
        <w:t xml:space="preserve">Alexander von Humboldt</w:t>
      </w:r>
      <w:r>
        <w:t xml:space="preserve">’</w:t>
      </w:r>
      <w:r>
        <w:t xml:space="preserve"> </w:t>
      </w:r>
      <w:r>
        <w:t xml:space="preserve">[…] y enviar copia de las constancias de depósito a la autoridad ambiental competente</w:t>
      </w:r>
      <w:r>
        <w:t xml:space="preserve">”</w:t>
      </w:r>
      <w:r>
        <w:t xml:space="preserve"> </w:t>
      </w:r>
      <w:r>
        <w:t xml:space="preserve">(DUR, art. 2.2.2.8.3.3, lit. a) [N10]. Para el permiso marco, la guía de la ANLA indica que el depósito debe hacerse</w:t>
      </w:r>
      <w:r>
        <w:t xml:space="preserve"> </w:t>
      </w:r>
      <w:r>
        <w:t xml:space="preserve">“</w:t>
      </w:r>
      <w:r>
        <w:t xml:space="preserve">una vez finalizado cada proyecto, y dentro de la vigencia del permiso</w:t>
      </w:r>
      <w:r>
        <w:t xml:space="preserve">”</w:t>
      </w:r>
      <w:r>
        <w:t xml:space="preserve"> </w:t>
      </w:r>
      <w:r>
        <w:t xml:space="preserve">(ANLA, 2025, secc. 7.3) [N39]. [VERIFICAR la disposición equivalente del DUR para el permiso marco y para el permiso de estudio.]</w:t>
      </w:r>
    </w:p>
    <w:p>
      <w:pPr>
        <w:pStyle w:val="BodyText"/>
      </w:pPr>
      <w:r>
        <w:rPr>
          <w:bCs/>
          <w:b/>
        </w:rPr>
        <w:t xml:space="preserve">Colecciones registradas.</w:t>
      </w:r>
      <w:r>
        <w:t xml:space="preserve"> </w:t>
      </w:r>
      <w:r>
        <w:t xml:space="preserve">Toda persona que administre una colección biológica debe registrarla en el Registro Único Nacional de Colecciones Biológicas, a cargo del Instituto Humboldt (art. 2.2.2.9.1.5) [N10]. Antes de colectar, identifique la colección que recibirá el material y verifique que esté registrada.</w:t>
      </w:r>
    </w:p>
    <w:p>
      <w:pPr>
        <w:pStyle w:val="BodyText"/>
      </w:pPr>
      <w:r>
        <w:rPr>
          <w:bCs/>
          <w:b/>
        </w:rPr>
        <w:t xml:space="preserve">La colección puede negarse a recibir.</w:t>
      </w:r>
      <w:r>
        <w:t xml:space="preserve"> </w:t>
      </w:r>
      <w:r>
        <w:t xml:space="preserve">Las colecciones registradas reciben especímenes</w:t>
      </w:r>
      <w:r>
        <w:t xml:space="preserve"> </w:t>
      </w:r>
      <w:r>
        <w:t xml:space="preserve">“</w:t>
      </w:r>
      <w:r>
        <w:t xml:space="preserve">legalmente colectados que cumplan con estándares adecuados de calidad y curaduría</w:t>
      </w:r>
      <w:r>
        <w:t xml:space="preserve">”</w:t>
      </w:r>
      <w:r>
        <w:t xml:space="preserve">, y pueden reservarse el derecho de recibirlos si el depositante no cuenta con el permiso de recolección o de estudio</w:t>
      </w:r>
      <w:r>
        <w:t xml:space="preserve"> </w:t>
      </w:r>
      <w:r>
        <w:t xml:space="preserve">“</w:t>
      </w:r>
      <w:r>
        <w:t xml:space="preserve">u otra documentación que acredite su procedencia legal</w:t>
      </w:r>
      <w:r>
        <w:t xml:space="preserve">”</w:t>
      </w:r>
      <w:r>
        <w:t xml:space="preserve"> </w:t>
      </w:r>
      <w:r>
        <w:t xml:space="preserve">(art. 2.2.2.9.1.8) [N10]. Al recibir el material, la colección debe entregar al depositante el</w:t>
      </w:r>
      <w:r>
        <w:t xml:space="preserve"> </w:t>
      </w:r>
      <w:r>
        <w:rPr>
          <w:bCs/>
          <w:b/>
        </w:rPr>
        <w:t xml:space="preserve">Formato de Constancia de Depósito</w:t>
      </w:r>
      <w:r>
        <w:t xml:space="preserve"> </w:t>
      </w:r>
      <w:r>
        <w:t xml:space="preserve">(art. 2.2.2.9.1.8) [N10], que es el soporte que se envía a la autoridad.</w:t>
      </w:r>
    </w:p>
    <w:p>
      <w:pPr>
        <w:pStyle w:val="BodyText"/>
      </w:pPr>
      <w:r>
        <w:rPr>
          <w:bCs/>
          <w:b/>
        </w:rPr>
        <w:t xml:space="preserve">Especímenes vivos o no sacrificados.</w:t>
      </w:r>
      <w:r>
        <w:t xml:space="preserve"> </w:t>
      </w:r>
      <w:r>
        <w:t xml:space="preserve">Cuando los especímenes no tienen que ser sacrificados o se mantienen vivos, la autoridad ambiental puede autorizar su liberación al medio natural o su entrega a centros de conservación ex situ (ANLA, 2025, secc. 7.3) [N39].</w:t>
      </w:r>
    </w:p>
    <w:bookmarkEnd w:id="46"/>
    <w:bookmarkStart w:id="47" w:name="publicación-de-datos-en-el-sib-colombia"/>
    <w:p>
      <w:pPr>
        <w:pStyle w:val="Heading2"/>
      </w:pPr>
      <w:r>
        <w:t xml:space="preserve">5.3 Publicación de datos en el SiB Colombia</w:t>
      </w:r>
    </w:p>
    <w:p>
      <w:pPr>
        <w:pStyle w:val="FirstParagraph"/>
      </w:pPr>
      <w:r>
        <w:t xml:space="preserve">Los tres regímenes (permiso marco, permiso individual y permiso de estudio) obligan a suministrar al Sistema de Información sobre Biodiversidad de Colombia la información asociada a los especímenes y a entregar a la autoridad la constancia emitida por el sistema (DUR, arts. 2.2.2.8.2.4, lit. e; 2.2.2.8.3.3, lit. d; 2.2.2.9.2.6, num. 6) [N08]. La obligación alcanza también a las entidades del SINA exentas de permiso (art. 2.2.2.8.1.2, par. 1) [N08].</w:t>
      </w:r>
    </w:p>
    <w:p>
      <w:pPr>
        <w:pStyle w:val="BodyText"/>
      </w:pPr>
      <w:r>
        <w:t xml:space="preserve">La información asociada es</w:t>
      </w:r>
      <w:r>
        <w:t xml:space="preserve"> </w:t>
      </w:r>
      <w:r>
        <w:t xml:space="preserve">“</w:t>
      </w:r>
      <w:r>
        <w:t xml:space="preserve">aquella información básica inherente a los especímenes, tal como la taxonómica al mejor nivel de detalle posible; localidad de colecta (incluyendo altitud y coordenadas geográficas); fecha de colecta y colector, entre otras</w:t>
      </w:r>
      <w:r>
        <w:t xml:space="preserve">”</w:t>
      </w:r>
      <w:r>
        <w:t xml:space="preserve"> </w:t>
      </w:r>
      <w:r>
        <w:t xml:space="preserve">(art. 2.2.2.8.1.3) [N08]. Quien realice análisis moleculares sobre los especímenes debe, además, remitir en forma digital al Ministerio de Ambiente las publicaciones derivadas (art. 2.2.2.8.1.2, par. 5) [N08].</w:t>
      </w:r>
    </w:p>
    <w:p>
      <w:pPr>
        <w:pStyle w:val="BodyText"/>
      </w:pPr>
      <w:r>
        <w:t xml:space="preserve">Recuerde que el SiB Colombia no es una autoridad que otorgue permisos: es el sistema donde se publica la información y que expide la constancia de publicación [N08].</w:t>
      </w:r>
    </w:p>
    <w:bookmarkEnd w:id="47"/>
    <w:bookmarkStart w:id="48" w:name="informes-a-la-autoridad"/>
    <w:p>
      <w:pPr>
        <w:pStyle w:val="Heading2"/>
      </w:pPr>
      <w:r>
        <w:t xml:space="preserve">5.4 Informes a la autoridad</w:t>
      </w:r>
    </w:p>
    <w:p>
      <w:pPr>
        <w:pStyle w:val="FirstParagraph"/>
      </w:pPr>
      <w:r>
        <w:t xml:space="preserve">Los titulares deben presentar informes a la autoridad que otorgó el permiso, acompañados de las constancias de depósito y de publicación en el SiB. La guía de la ANLA se refiere a informes semestrales para el permiso marco [N39]. [VERIFICAR en el DUR la periodicidad y el contenido de los informes de cada tipo de permiso.]</w:t>
      </w:r>
    </w:p>
    <w:bookmarkEnd w:id="48"/>
    <w:bookmarkStart w:id="49" w:name="exportación-de-especímenes-y-muestras"/>
    <w:p>
      <w:pPr>
        <w:pStyle w:val="Heading2"/>
      </w:pPr>
      <w:r>
        <w:t xml:space="preserve">5.5 Exportación de especímenes y muestras</w:t>
      </w:r>
    </w:p>
    <w:p>
      <w:pPr>
        <w:numPr>
          <w:ilvl w:val="0"/>
          <w:numId w:val="1015"/>
        </w:numPr>
        <w:pStyle w:val="Compact"/>
      </w:pPr>
      <w:r>
        <w:rPr>
          <w:bCs/>
          <w:b/>
        </w:rPr>
        <w:t xml:space="preserve">Especies CITES.</w:t>
      </w:r>
      <w:r>
        <w:t xml:space="preserve"> </w:t>
      </w:r>
      <w:r>
        <w:t xml:space="preserve">La exportación, reexportación e importación de especímenes de especies incluidas en los apéndices de CITES requiere permiso o certificado CITES, que expide el Ministerio de Ambiente como Autoridad Administrativa (Ley 17 de 1981; Decreto 1401 de 1997; Decreto-Ley 3570 de 2011, art. 16, num. 13) [N12, N37].</w:t>
      </w:r>
    </w:p>
    <w:p>
      <w:pPr>
        <w:numPr>
          <w:ilvl w:val="0"/>
          <w:numId w:val="1015"/>
        </w:numPr>
        <w:pStyle w:val="Compact"/>
      </w:pPr>
      <w:r>
        <w:rPr>
          <w:bCs/>
          <w:b/>
        </w:rPr>
        <w:t xml:space="preserve">Requisitos sanitarios.</w:t>
      </w:r>
      <w:r>
        <w:t xml:space="preserve"> </w:t>
      </w:r>
      <w:r>
        <w:t xml:space="preserve">Según el tipo de material y el país de destino, el ICA exige certificados sanitarios; no existe una sola resolución aplicable a todo</w:t>
      </w:r>
      <w:r>
        <w:t xml:space="preserve"> </w:t>
      </w:r>
      <w:r>
        <w:t xml:space="preserve">“</w:t>
      </w:r>
      <w:r>
        <w:t xml:space="preserve">material biológico</w:t>
      </w:r>
      <w:r>
        <w:t xml:space="preserve">”</w:t>
      </w:r>
      <w:r>
        <w:t xml:space="preserve">, por lo que debe consultarse el requisito específico ante el ICA [N13].</w:t>
      </w:r>
    </w:p>
    <w:p>
      <w:pPr>
        <w:numPr>
          <w:ilvl w:val="0"/>
          <w:numId w:val="1015"/>
        </w:numPr>
        <w:pStyle w:val="Compact"/>
      </w:pPr>
      <w:r>
        <w:rPr>
          <w:bCs/>
          <w:b/>
        </w:rPr>
        <w:t xml:space="preserve">Recursos genéticos.</w:t>
      </w:r>
      <w:r>
        <w:t xml:space="preserve"> </w:t>
      </w:r>
      <w:r>
        <w:t xml:space="preserve">Si lo que se envía son muestras para análisis moleculares, aplica lo dicho en la sección 3.5 [N17].</w:t>
      </w:r>
    </w:p>
    <w:p>
      <w:pPr>
        <w:pStyle w:val="FirstParagraph"/>
      </w:pPr>
      <w:r>
        <w:t xml:space="preserve">[VERIFICAR con el abogado si la exportación de especímenes de especies no CITES, colectados con permiso de recolección, requiere algún permiso ambiental adicional.]</w:t>
      </w:r>
    </w:p>
    <w:p>
      <w:pPr>
        <w:pStyle w:val="BlockText"/>
      </w:pPr>
      <w:r>
        <w:t xml:space="preserve">🗣️</w:t>
      </w:r>
      <w:r>
        <w:t xml:space="preserve"> </w:t>
      </w:r>
      <w:r>
        <w:rPr>
          <w:bCs/>
          <w:b/>
        </w:rPr>
        <w:t xml:space="preserve">TESTIMONIO (por conseguir) — T7, después del campo.</w:t>
      </w:r>
      <w:r>
        <w:t xml:space="preserve"> </w:t>
      </w:r>
      <w:r>
        <w:t xml:space="preserve">¿Cuáles son los errores más frecuentes de quienes depositan material o publican datos? Perfil: curador/a de una colección registrada o integrante del equipo del SiB Colombia.</w:t>
      </w:r>
    </w:p>
    <w:p>
      <w:pPr>
        <w:pStyle w:val="FirstParagraph"/>
      </w:pPr>
      <w:r>
        <w:rPr>
          <w:bCs/>
          <w:b/>
        </w:rPr>
        <w:t xml:space="preserve">Lista de cierre de un proyecto</w:t>
      </w:r>
    </w:p>
    <w:p>
      <w:pPr>
        <w:numPr>
          <w:ilvl w:val="0"/>
          <w:numId w:val="1016"/>
        </w:numPr>
        <w:pStyle w:val="Compact"/>
      </w:pPr>
      <w:r>
        <w:t xml:space="preserve">☐ Especímenes depositados en colección registrada; constancia de depósito recibida.</w:t>
      </w:r>
    </w:p>
    <w:p>
      <w:pPr>
        <w:numPr>
          <w:ilvl w:val="0"/>
          <w:numId w:val="1016"/>
        </w:numPr>
        <w:pStyle w:val="Compact"/>
      </w:pPr>
      <w:r>
        <w:t xml:space="preserve">☐ Datos publicados en el SiB Colombia; constancia de publicación recibida.</w:t>
      </w:r>
    </w:p>
    <w:p>
      <w:pPr>
        <w:numPr>
          <w:ilvl w:val="0"/>
          <w:numId w:val="1016"/>
        </w:numPr>
        <w:pStyle w:val="Compact"/>
      </w:pPr>
      <w:r>
        <w:t xml:space="preserve">☐ Informe enviado a la autoridad con ambas constancias.</w:t>
      </w:r>
    </w:p>
    <w:p>
      <w:pPr>
        <w:numPr>
          <w:ilvl w:val="0"/>
          <w:numId w:val="1016"/>
        </w:numPr>
        <w:pStyle w:val="Compact"/>
      </w:pPr>
      <w:r>
        <w:t xml:space="preserve">☐ Publicaciones derivadas de análisis moleculares remitidas al Ministerio.</w:t>
      </w:r>
    </w:p>
    <w:p>
      <w:pPr>
        <w:numPr>
          <w:ilvl w:val="0"/>
          <w:numId w:val="1016"/>
        </w:numPr>
        <w:pStyle w:val="Compact"/>
      </w:pPr>
      <w:r>
        <w:t xml:space="preserve">☐ Material exportado con permisos CITES y requisitos sanitarios, si aplica.</w:t>
      </w:r>
    </w:p>
    <w:bookmarkEnd w:id="49"/>
    <w:bookmarkEnd w:id="50"/>
    <w:bookmarkStart w:id="54" w:name="ética-y-bienestar-animal"/>
    <w:p>
      <w:pPr>
        <w:pStyle w:val="Heading1"/>
      </w:pPr>
      <w:r>
        <w:t xml:space="preserve">6. Ética y bienestar animal</w:t>
      </w:r>
    </w:p>
    <w:p>
      <w:pPr>
        <w:pStyle w:val="FirstParagraph"/>
      </w:pPr>
      <w:r>
        <w:t xml:space="preserve">El permiso de recolección responde a la pregunta de si el Estado autoriza a recolectar. La ética responde a otra: si el método, el número de individuos y el destino de los especímenes están justificados. En Colombia, ambas dimensiones tienen sustento legal.</w:t>
      </w:r>
    </w:p>
    <w:bookmarkStart w:id="51" w:name="X23157e65501438902b16023d3ff0935777c4f88"/>
    <w:p>
      <w:pPr>
        <w:pStyle w:val="Heading2"/>
      </w:pPr>
      <w:r>
        <w:t xml:space="preserve">6.1 El Estatuto Nacional de Protección de los Animales</w:t>
      </w:r>
    </w:p>
    <w:p>
      <w:pPr>
        <w:pStyle w:val="FirstParagraph"/>
      </w:pPr>
      <w:r>
        <w:t xml:space="preserve">La Ley 84 de 1989 protege a todos los animales</w:t>
      </w:r>
      <w:r>
        <w:t xml:space="preserve"> </w:t>
      </w:r>
      <w:r>
        <w:t xml:space="preserve">“</w:t>
      </w:r>
      <w:r>
        <w:t xml:space="preserve">contra el sufrimiento y el dolor, causados directa o indirectamente por el hombre</w:t>
      </w:r>
      <w:r>
        <w:t xml:space="preserve">”</w:t>
      </w:r>
      <w:r>
        <w:t xml:space="preserve"> </w:t>
      </w:r>
      <w:r>
        <w:t xml:space="preserve">(art. 1), y precisa que la expresión</w:t>
      </w:r>
      <w:r>
        <w:t xml:space="preserve"> </w:t>
      </w:r>
      <w:r>
        <w:t xml:space="preserve">“</w:t>
      </w:r>
      <w:r>
        <w:t xml:space="preserve">animal</w:t>
      </w:r>
      <w:r>
        <w:t xml:space="preserve">”</w:t>
      </w:r>
      <w:r>
        <w:t xml:space="preserve"> </w:t>
      </w:r>
      <w:r>
        <w:t xml:space="preserve">comprende</w:t>
      </w:r>
      <w:r>
        <w:t xml:space="preserve"> </w:t>
      </w:r>
      <w:r>
        <w:t xml:space="preserve">“</w:t>
      </w:r>
      <w:r>
        <w:t xml:space="preserve">los silvestres, bravíos o salvajes y los domésticos o domesticados, cualquiera sea el medio físico en que se encuentren o vivan, en libertad o en cautividad</w:t>
      </w:r>
      <w:r>
        <w:t xml:space="preserve">”</w:t>
      </w:r>
      <w:r>
        <w:t xml:space="preserve"> </w:t>
      </w:r>
      <w:r>
        <w:t xml:space="preserve">(art. 1, par.) [N21]. La fauna silvestre que se muestrea en campo está, por tanto, cubierta por el Estatuto.</w:t>
      </w:r>
    </w:p>
    <w:p>
      <w:pPr>
        <w:pStyle w:val="BodyText"/>
      </w:pPr>
      <w:r>
        <w:t xml:space="preserve">Su Capítulo VI regula</w:t>
      </w:r>
      <w:r>
        <w:t xml:space="preserve"> </w:t>
      </w:r>
      <w:r>
        <w:t xml:space="preserve">“</w:t>
      </w:r>
      <w:r>
        <w:t xml:space="preserve">el uso de animales vivos en experimentos e investigación</w:t>
      </w:r>
      <w:r>
        <w:t xml:space="preserve">”</w:t>
      </w:r>
      <w:r>
        <w:t xml:space="preserve"> </w:t>
      </w:r>
      <w:r>
        <w:t xml:space="preserve">(arts. 23–26) y sigue vigente: la Ley 2455 de 2025 reformó el procedimiento sancionatorio y derogó el Capítulo IX de la Ley 84, pero no modificó el Capítulo VI [N21]. Sus reglas principales son:</w:t>
      </w:r>
    </w:p>
    <w:p>
      <w:pPr>
        <w:numPr>
          <w:ilvl w:val="0"/>
          <w:numId w:val="1017"/>
        </w:numPr>
        <w:pStyle w:val="Compact"/>
      </w:pPr>
      <w:r>
        <w:t xml:space="preserve">los experimentos con animales vivos solo proceden cuando</w:t>
      </w:r>
      <w:r>
        <w:t xml:space="preserve"> </w:t>
      </w:r>
      <w:r>
        <w:t xml:space="preserve">“</w:t>
      </w:r>
      <w:r>
        <w:t xml:space="preserve">sean imprescindibles para el estudio y avance de la ciencia</w:t>
      </w:r>
      <w:r>
        <w:t xml:space="preserve">”</w:t>
      </w:r>
      <w:r>
        <w:t xml:space="preserve"> </w:t>
      </w:r>
      <w:r>
        <w:t xml:space="preserve">y no puedan sustituirse por otros procedimientos (art. 23) [N21];</w:t>
      </w:r>
    </w:p>
    <w:p>
      <w:pPr>
        <w:numPr>
          <w:ilvl w:val="0"/>
          <w:numId w:val="1017"/>
        </w:numPr>
        <w:pStyle w:val="Compact"/>
      </w:pPr>
      <w:r>
        <w:t xml:space="preserve">se prohíbe usar animales</w:t>
      </w:r>
      <w:r>
        <w:t xml:space="preserve"> </w:t>
      </w:r>
      <w:r>
        <w:t xml:space="preserve">“</w:t>
      </w:r>
      <w:r>
        <w:t xml:space="preserve">cuando los resultados del experimento son conocidos con anterioridad</w:t>
      </w:r>
      <w:r>
        <w:t xml:space="preserve">”</w:t>
      </w:r>
      <w:r>
        <w:t xml:space="preserve">, cuando el experimento</w:t>
      </w:r>
      <w:r>
        <w:t xml:space="preserve"> </w:t>
      </w:r>
      <w:r>
        <w:t xml:space="preserve">“</w:t>
      </w:r>
      <w:r>
        <w:t xml:space="preserve">no tiene un fin científico</w:t>
      </w:r>
      <w:r>
        <w:t xml:space="preserve">”</w:t>
      </w:r>
      <w:r>
        <w:t xml:space="preserve"> </w:t>
      </w:r>
      <w:r>
        <w:t xml:space="preserve">y usar animales</w:t>
      </w:r>
      <w:r>
        <w:t xml:space="preserve"> </w:t>
      </w:r>
      <w:r>
        <w:t xml:space="preserve">“</w:t>
      </w:r>
      <w:r>
        <w:t xml:space="preserve">de grado superior en la escala zoológica al indispensable</w:t>
      </w:r>
      <w:r>
        <w:t xml:space="preserve">”</w:t>
      </w:r>
      <w:r>
        <w:t xml:space="preserve"> </w:t>
      </w:r>
      <w:r>
        <w:t xml:space="preserve">(art. 25) [N21];</w:t>
      </w:r>
    </w:p>
    <w:p>
      <w:pPr>
        <w:numPr>
          <w:ilvl w:val="0"/>
          <w:numId w:val="1017"/>
        </w:numPr>
        <w:pStyle w:val="Compact"/>
      </w:pPr>
      <w:r>
        <w:t xml:space="preserve">todo experimento con animales vivos requiere un comité de ética, al que el director debe comunicar</w:t>
      </w:r>
      <w:r>
        <w:t xml:space="preserve"> </w:t>
      </w:r>
      <w:r>
        <w:t xml:space="preserve">“</w:t>
      </w:r>
      <w:r>
        <w:t xml:space="preserve">la naturaleza de los procedimientos que vayan a emplearse con los animales, el número y tipo de los mismos, las alternativas al uso de animales y las fuentes y naturaleza de los fondos de investigación</w:t>
      </w:r>
      <w:r>
        <w:t xml:space="preserve">”</w:t>
      </w:r>
      <w:r>
        <w:t xml:space="preserve"> </w:t>
      </w:r>
      <w:r>
        <w:t xml:space="preserve">(art. 26) [N21].</w:t>
      </w:r>
    </w:p>
    <w:p>
      <w:pPr>
        <w:pStyle w:val="BlockText"/>
      </w:pPr>
      <w:r>
        <w:t xml:space="preserve">⚠️</w:t>
      </w:r>
      <w:r>
        <w:t xml:space="preserve"> </w:t>
      </w:r>
      <w:r>
        <w:rPr>
          <w:bCs/>
          <w:b/>
        </w:rPr>
        <w:t xml:space="preserve">ZONA GRIS (revisión jurídica).</w:t>
      </w:r>
      <w:r>
        <w:t xml:space="preserve"> </w:t>
      </w:r>
      <w:r>
        <w:t xml:space="preserve">El Capítulo VI fue redactado para experimentos de laboratorio: exige autorización del</w:t>
      </w:r>
      <w:r>
        <w:t xml:space="preserve"> </w:t>
      </w:r>
      <w:r>
        <w:t xml:space="preserve">“</w:t>
      </w:r>
      <w:r>
        <w:t xml:space="preserve">Ministerio de Salud Pública</w:t>
      </w:r>
      <w:r>
        <w:t xml:space="preserve">”</w:t>
      </w:r>
      <w:r>
        <w:t xml:space="preserve"> </w:t>
      </w:r>
      <w:r>
        <w:t xml:space="preserve">y un comité con un veterinario del ICA, un representante de la autoridad ambiental y uno de las sociedades protectoras de animales (arts. 23 y 26) [N21]. No es claro si estas reglas se aplican a la captura, el marcaje, la toma de muestras o la colecta de fauna silvestre en campo, ni qué entidad ejerce hoy la autorización. En la práctica, las instituciones de investigación cuentan con comités institucionales de ética o de cuidado y uso de animales, cuya composición no coincide con la del artículo 26. [Pendiente del concepto del abogado.]</w:t>
      </w:r>
    </w:p>
    <w:bookmarkEnd w:id="51"/>
    <w:bookmarkStart w:id="52" w:name="consecuencias-del-maltrato"/>
    <w:p>
      <w:pPr>
        <w:pStyle w:val="Heading2"/>
      </w:pPr>
      <w:r>
        <w:t xml:space="preserve">6.2 Consecuencias del maltrato</w:t>
      </w:r>
    </w:p>
    <w:p>
      <w:pPr>
        <w:pStyle w:val="FirstParagraph"/>
      </w:pPr>
      <w:r>
        <w:t xml:space="preserve">La Ley 1774 de 2016 reconoce a los animales como seres sintientes y tipificó delitos contra ellos; la Ley 2455 de 2025 endureció ese régimen [N22]. El Código Penal, modificado por la Ley 2455, sanciona a quien</w:t>
      </w:r>
      <w:r>
        <w:t xml:space="preserve"> </w:t>
      </w:r>
      <w:r>
        <w:t xml:space="preserve">“</w:t>
      </w:r>
      <w:r>
        <w:t xml:space="preserve">maltrate a un animal doméstico, amansado, silvestre vertebrado o exótico vertebrado causándole la muerte</w:t>
      </w:r>
      <w:r>
        <w:t xml:space="preserve">”</w:t>
      </w:r>
      <w:r>
        <w:t xml:space="preserve"> </w:t>
      </w:r>
      <w:r>
        <w:t xml:space="preserve">(art. 339A) [N21]. Un método de captura o sacrificio inadecuado en campo no es solo un problema ético: puede tener consecuencias penales.</w:t>
      </w:r>
    </w:p>
    <w:bookmarkEnd w:id="52"/>
    <w:bookmarkStart w:id="53" w:name="recomendaciones-prácticas"/>
    <w:p>
      <w:pPr>
        <w:pStyle w:val="Heading2"/>
      </w:pPr>
      <w:r>
        <w:t xml:space="preserve">6.3 Recomendaciones prácticas</w:t>
      </w:r>
    </w:p>
    <w:p>
      <w:pPr>
        <w:pStyle w:val="FirstParagraph"/>
      </w:pPr>
      <w:r>
        <w:t xml:space="preserve">Mientras se aclara la zona gris, este capítulo recomienda:</w:t>
      </w:r>
    </w:p>
    <w:p>
      <w:pPr>
        <w:numPr>
          <w:ilvl w:val="0"/>
          <w:numId w:val="1018"/>
        </w:numPr>
        <w:pStyle w:val="Compact"/>
      </w:pPr>
      <w:r>
        <w:rPr>
          <w:bCs/>
          <w:b/>
        </w:rPr>
        <w:t xml:space="preserve">Obtener el aval del comité de ética institucional</w:t>
      </w:r>
      <w:r>
        <w:t xml:space="preserve"> </w:t>
      </w:r>
      <w:r>
        <w:t xml:space="preserve">antes de solicitar el permiso de recolección y adjuntarlo a la solicitud.</w:t>
      </w:r>
    </w:p>
    <w:p>
      <w:pPr>
        <w:numPr>
          <w:ilvl w:val="0"/>
          <w:numId w:val="1018"/>
        </w:numPr>
        <w:pStyle w:val="Compact"/>
      </w:pPr>
      <w:r>
        <w:rPr>
          <w:bCs/>
          <w:b/>
        </w:rPr>
        <w:t xml:space="preserve">Justificar el método y el número de individuos</w:t>
      </w:r>
      <w:r>
        <w:t xml:space="preserve"> </w:t>
      </w:r>
      <w:r>
        <w:t xml:space="preserve">en la solicitud del permiso: por qué se colecta y no se fotografía o se registra acústicamente, por qué ese número de ejemplares y no menos.</w:t>
      </w:r>
    </w:p>
    <w:p>
      <w:pPr>
        <w:numPr>
          <w:ilvl w:val="0"/>
          <w:numId w:val="1018"/>
        </w:numPr>
        <w:pStyle w:val="Compact"/>
      </w:pPr>
      <w:r>
        <w:rPr>
          <w:bCs/>
          <w:b/>
        </w:rPr>
        <w:t xml:space="preserve">Preferir métodos no letales</w:t>
      </w:r>
      <w:r>
        <w:t xml:space="preserve"> </w:t>
      </w:r>
      <w:r>
        <w:t xml:space="preserve">cuando respondan la pregunta de investigación, y usar los protocolos de eutanasia aceptados para el grupo taxonómico cuando el sacrificio sea necesario. [Pendiente: citar guías o literatura revisada por pares sobre uso ético de fauna silvestre en investigación de campo.]</w:t>
      </w:r>
    </w:p>
    <w:p>
      <w:pPr>
        <w:numPr>
          <w:ilvl w:val="0"/>
          <w:numId w:val="1018"/>
        </w:numPr>
        <w:pStyle w:val="Compact"/>
      </w:pPr>
      <w:r>
        <w:rPr>
          <w:bCs/>
          <w:b/>
        </w:rPr>
        <w:t xml:space="preserve">Tener especial cuidado con especies amenazadas.</w:t>
      </w:r>
      <w:r>
        <w:t xml:space="preserve"> </w:t>
      </w:r>
      <w:r>
        <w:t xml:space="preserve">Consulte el listado oficial vigente (Resolución 0126 de 2024) y recuerde que su recolección bajo permiso marco requiere autorización previa (sección 3.6) [N07, N23].</w:t>
      </w:r>
    </w:p>
    <w:p>
      <w:pPr>
        <w:numPr>
          <w:ilvl w:val="0"/>
          <w:numId w:val="1018"/>
        </w:numPr>
        <w:pStyle w:val="Compact"/>
      </w:pPr>
      <w:r>
        <w:rPr>
          <w:bCs/>
          <w:b/>
        </w:rPr>
        <w:t xml:space="preserve">Capacitar al equipo de campo</w:t>
      </w:r>
      <w:r>
        <w:t xml:space="preserve">, incluidos estudiantes y voluntarios, en manejo, contención y bioseguridad.</w:t>
      </w:r>
    </w:p>
    <w:p>
      <w:pPr>
        <w:pStyle w:val="BlockText"/>
      </w:pPr>
      <w:r>
        <w:t xml:space="preserve">🗣️</w:t>
      </w:r>
      <w:r>
        <w:t xml:space="preserve"> </w:t>
      </w:r>
      <w:r>
        <w:rPr>
          <w:bCs/>
          <w:b/>
        </w:rPr>
        <w:t xml:space="preserve">TESTIMONIO (por conseguir) — T10, ética.</w:t>
      </w:r>
      <w:r>
        <w:t xml:space="preserve"> </w:t>
      </w:r>
      <w:r>
        <w:t xml:space="preserve">¿Cómo evalúa un comité institucional los protocolos de captura y colecta de fauna silvestre? Perfil: integrante de un comité de ética o de cuidado y uso de animales de una universidad.</w:t>
      </w:r>
    </w:p>
    <w:bookmarkEnd w:id="53"/>
    <w:bookmarkEnd w:id="54"/>
    <w:bookmarkStart w:id="59" w:name="errores-frecuentes-y-recomendaciones"/>
    <w:p>
      <w:pPr>
        <w:pStyle w:val="Heading1"/>
      </w:pPr>
      <w:r>
        <w:t xml:space="preserve">7. Errores frecuentes y recomendaciones</w:t>
      </w:r>
    </w:p>
    <w:p>
      <w:pPr>
        <w:pStyle w:val="FirstParagraph"/>
      </w:pPr>
      <w:r>
        <w:t xml:space="preserve">Esta sección reúne los errores más comunes que se cometen con los permisos, organizados por público. Cada error remite a la sección donde se explica la regla.</w:t>
      </w:r>
    </w:p>
    <w:bookmarkStart w:id="55" w:name="estudiantes"/>
    <w:p>
      <w:pPr>
        <w:pStyle w:val="Heading2"/>
      </w:pPr>
      <w:r>
        <w:t xml:space="preserve">7.1 Estudiantes</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2640"/>
        <w:gridCol w:w="2640"/>
        <w:gridCol w:w="2640"/>
      </w:tblGrid>
      <w:tr>
        <w:trPr>
          <w:tblHeader w:val="true"/>
        </w:trPr>
        <w:tc>
          <w:tcPr/>
          <w:p>
            <w:pPr>
              <w:pStyle w:val="Compact"/>
              <w:jc w:val="left"/>
            </w:pPr>
            <w:r>
              <w:rPr>
                <w:sz w:val="18"/>
              </w:rPr>
              <w:t xml:space="preserve">Error</w:t>
            </w:r>
          </w:p>
        </w:tc>
        <w:tc>
          <w:tcPr/>
          <w:p>
            <w:pPr>
              <w:pStyle w:val="Compact"/>
              <w:jc w:val="left"/>
            </w:pPr>
            <w:r>
              <w:rPr>
                <w:sz w:val="18"/>
              </w:rPr>
              <w:t xml:space="preserve">Por qué es un error</w:t>
            </w:r>
          </w:p>
        </w:tc>
        <w:tc>
          <w:tcPr/>
          <w:p>
            <w:pPr>
              <w:pStyle w:val="Compact"/>
              <w:jc w:val="left"/>
            </w:pPr>
            <w:r>
              <w:rPr>
                <w:sz w:val="18"/>
              </w:rPr>
              <w:t xml:space="preserve">Sección</w:t>
            </w:r>
          </w:p>
        </w:tc>
      </w:tr>
      <w:tr>
        <w:tc>
          <w:tcPr/>
          <w:p>
            <w:pPr>
              <w:pStyle w:val="Compact"/>
              <w:jc w:val="left"/>
            </w:pPr>
            <w:r>
              <w:rPr>
                <w:sz w:val="18"/>
              </w:rPr>
              <w:t xml:space="preserve">“</w:t>
            </w:r>
            <w:r>
              <w:rPr>
                <w:sz w:val="18"/>
              </w:rPr>
              <w:t xml:space="preserve">Solo voy a capturar, medir y soltar; no necesito permiso.</w:t>
            </w:r>
            <w:r>
              <w:rPr>
                <w:sz w:val="18"/>
              </w:rPr>
              <w:t xml:space="preserve">”</w:t>
            </w:r>
          </w:p>
        </w:tc>
        <w:tc>
          <w:tcPr/>
          <w:p>
            <w:pPr>
              <w:pStyle w:val="Compact"/>
              <w:jc w:val="left"/>
            </w:pPr>
            <w:r>
              <w:rPr>
                <w:sz w:val="18"/>
              </w:rPr>
              <w:t xml:space="preserve">La recolección incluye la captura y la remoción</w:t>
            </w:r>
            <w:r>
              <w:rPr>
                <w:sz w:val="18"/>
              </w:rPr>
              <w:t xml:space="preserve"> </w:t>
            </w:r>
            <w:r>
              <w:rPr>
                <w:bCs/>
                <w:b/>
                <w:sz w:val="18"/>
              </w:rPr>
              <w:t xml:space="preserve">temporal</w:t>
            </w:r>
            <w:r>
              <w:rPr>
                <w:sz w:val="18"/>
              </w:rPr>
              <w:t xml:space="preserve"> </w:t>
            </w:r>
            <w:r>
              <w:rPr>
                <w:sz w:val="18"/>
              </w:rPr>
              <w:t xml:space="preserve">de especímenes [N07].</w:t>
            </w:r>
          </w:p>
        </w:tc>
        <w:tc>
          <w:tcPr/>
          <w:p>
            <w:pPr>
              <w:pStyle w:val="Compact"/>
              <w:jc w:val="left"/>
            </w:pPr>
            <w:r>
              <w:rPr>
                <w:sz w:val="18"/>
              </w:rPr>
              <w:t xml:space="preserve">2.5</w:t>
            </w:r>
          </w:p>
        </w:tc>
      </w:tr>
      <w:tr>
        <w:tc>
          <w:tcPr/>
          <w:p>
            <w:pPr>
              <w:pStyle w:val="Compact"/>
              <w:jc w:val="left"/>
            </w:pPr>
            <w:r>
              <w:rPr>
                <w:sz w:val="18"/>
              </w:rPr>
              <w:t xml:space="preserve">Hacer la tesis sin verificar que el proyecto esté amparado por el permiso marco de la universidad.</w:t>
            </w:r>
          </w:p>
        </w:tc>
        <w:tc>
          <w:tcPr/>
          <w:p>
            <w:pPr>
              <w:pStyle w:val="Compact"/>
              <w:jc w:val="left"/>
            </w:pPr>
            <w:r>
              <w:rPr>
                <w:sz w:val="18"/>
              </w:rPr>
              <w:t xml:space="preserve">La ANLA exige el aval del docente amparado y el reporte del proyecto como novedad [N39].</w:t>
            </w:r>
          </w:p>
        </w:tc>
        <w:tc>
          <w:tcPr/>
          <w:p>
            <w:pPr>
              <w:pStyle w:val="Compact"/>
              <w:jc w:val="left"/>
            </w:pPr>
            <w:r>
              <w:rPr>
                <w:sz w:val="18"/>
              </w:rPr>
              <w:t xml:space="preserve">3.1</w:t>
            </w:r>
          </w:p>
        </w:tc>
      </w:tr>
      <w:tr>
        <w:tc>
          <w:tcPr/>
          <w:p>
            <w:pPr>
              <w:pStyle w:val="Compact"/>
              <w:jc w:val="left"/>
            </w:pPr>
            <w:r>
              <w:rPr>
                <w:sz w:val="18"/>
              </w:rPr>
              <w:t xml:space="preserve">Salir con un curso de campo sin permiso marco.</w:t>
            </w:r>
          </w:p>
        </w:tc>
        <w:tc>
          <w:tcPr/>
          <w:p>
            <w:pPr>
              <w:pStyle w:val="Compact"/>
              <w:jc w:val="left"/>
            </w:pPr>
            <w:r>
              <w:rPr>
                <w:sz w:val="18"/>
              </w:rPr>
              <w:t xml:space="preserve">La recolección con fines docentes universitarios debe estar amparada por un permiso marco vigente [N07].</w:t>
            </w:r>
          </w:p>
        </w:tc>
        <w:tc>
          <w:tcPr/>
          <w:p>
            <w:pPr>
              <w:pStyle w:val="Compact"/>
              <w:jc w:val="left"/>
            </w:pPr>
            <w:r>
              <w:rPr>
                <w:sz w:val="18"/>
              </w:rPr>
              <w:t xml:space="preserve">3.1</w:t>
            </w:r>
          </w:p>
        </w:tc>
      </w:tr>
      <w:tr>
        <w:tc>
          <w:tcPr/>
          <w:p>
            <w:pPr>
              <w:pStyle w:val="Compact"/>
              <w:jc w:val="left"/>
            </w:pPr>
            <w:r>
              <w:rPr>
                <w:sz w:val="18"/>
              </w:rPr>
              <w:t xml:space="preserve">Enviar tejidos al exterior para secuenciar sin acuerdo de transferencia.</w:t>
            </w:r>
          </w:p>
        </w:tc>
        <w:tc>
          <w:tcPr/>
          <w:p>
            <w:pPr>
              <w:pStyle w:val="Compact"/>
              <w:jc w:val="left"/>
            </w:pPr>
            <w:r>
              <w:rPr>
                <w:sz w:val="18"/>
              </w:rPr>
              <w:t xml:space="preserve">El envío requiere verificar que el análisis no configure acceso y formalizar las condiciones [N15, N17].</w:t>
            </w:r>
          </w:p>
        </w:tc>
        <w:tc>
          <w:tcPr/>
          <w:p>
            <w:pPr>
              <w:pStyle w:val="Compact"/>
              <w:jc w:val="left"/>
            </w:pPr>
            <w:r>
              <w:rPr>
                <w:sz w:val="18"/>
              </w:rPr>
              <w:t xml:space="preserve">3.5</w:t>
            </w:r>
          </w:p>
        </w:tc>
      </w:tr>
      <w:tr>
        <w:tc>
          <w:tcPr/>
          <w:p>
            <w:pPr>
              <w:pStyle w:val="Compact"/>
              <w:jc w:val="left"/>
            </w:pPr>
            <w:r>
              <w:rPr>
                <w:sz w:val="18"/>
              </w:rPr>
              <w:t xml:space="preserve">No depositar los especímenes ni publicar los datos al terminar.</w:t>
            </w:r>
          </w:p>
        </w:tc>
        <w:tc>
          <w:tcPr/>
          <w:p>
            <w:pPr>
              <w:pStyle w:val="Compact"/>
              <w:jc w:val="left"/>
            </w:pPr>
            <w:r>
              <w:rPr>
                <w:sz w:val="18"/>
              </w:rPr>
              <w:t xml:space="preserve">Son obligaciones del permiso, y su incumplimiento afecta al titular, que suele ser la universidad [N08, N10].</w:t>
            </w:r>
          </w:p>
        </w:tc>
        <w:tc>
          <w:tcPr/>
          <w:p>
            <w:pPr>
              <w:pStyle w:val="Compact"/>
              <w:jc w:val="left"/>
            </w:pPr>
            <w:r>
              <w:rPr>
                <w:sz w:val="18"/>
              </w:rPr>
              <w:t xml:space="preserve">5</w:t>
            </w:r>
          </w:p>
        </w:tc>
      </w:tr>
    </w:tbl>
    <w:bookmarkEnd w:id="55"/>
    <w:bookmarkStart w:id="56" w:name="consultores"/>
    <w:p>
      <w:pPr>
        <w:pStyle w:val="Heading2"/>
      </w:pPr>
      <w:r>
        <w:t xml:space="preserve">7.2 Consultores</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2640"/>
        <w:gridCol w:w="2640"/>
        <w:gridCol w:w="2640"/>
      </w:tblGrid>
      <w:tr>
        <w:trPr>
          <w:tblHeader w:val="true"/>
        </w:trPr>
        <w:tc>
          <w:tcPr/>
          <w:p>
            <w:pPr>
              <w:pStyle w:val="Compact"/>
              <w:jc w:val="left"/>
            </w:pPr>
            <w:r>
              <w:rPr>
                <w:sz w:val="18"/>
              </w:rPr>
              <w:t xml:space="preserve">Error</w:t>
            </w:r>
          </w:p>
        </w:tc>
        <w:tc>
          <w:tcPr/>
          <w:p>
            <w:pPr>
              <w:pStyle w:val="Compact"/>
              <w:jc w:val="left"/>
            </w:pPr>
            <w:r>
              <w:rPr>
                <w:sz w:val="18"/>
              </w:rPr>
              <w:t xml:space="preserve">Por qué es un error</w:t>
            </w:r>
          </w:p>
        </w:tc>
        <w:tc>
          <w:tcPr/>
          <w:p>
            <w:pPr>
              <w:pStyle w:val="Compact"/>
              <w:jc w:val="left"/>
            </w:pPr>
            <w:r>
              <w:rPr>
                <w:sz w:val="18"/>
              </w:rPr>
              <w:t xml:space="preserve">Sección</w:t>
            </w:r>
          </w:p>
        </w:tc>
      </w:tr>
      <w:tr>
        <w:tc>
          <w:tcPr/>
          <w:p>
            <w:pPr>
              <w:pStyle w:val="Compact"/>
              <w:jc w:val="left"/>
            </w:pPr>
            <w:r>
              <w:rPr>
                <w:sz w:val="18"/>
              </w:rPr>
              <w:t xml:space="preserve">Usar un permiso de recolección para investigación en un estudio ambiental.</w:t>
            </w:r>
          </w:p>
        </w:tc>
        <w:tc>
          <w:tcPr/>
          <w:p>
            <w:pPr>
              <w:pStyle w:val="Compact"/>
              <w:jc w:val="left"/>
            </w:pPr>
            <w:r>
              <w:rPr>
                <w:sz w:val="18"/>
              </w:rPr>
              <w:t xml:space="preserve">Son regímenes distintos: los estudios ambientales requieren permiso de estudio [N08, N09].</w:t>
            </w:r>
          </w:p>
        </w:tc>
        <w:tc>
          <w:tcPr/>
          <w:p>
            <w:pPr>
              <w:pStyle w:val="Compact"/>
              <w:jc w:val="left"/>
            </w:pPr>
            <w:r>
              <w:rPr>
                <w:sz w:val="18"/>
              </w:rPr>
              <w:t xml:space="preserve">3.3</w:t>
            </w:r>
          </w:p>
        </w:tc>
      </w:tr>
      <w:tr>
        <w:tc>
          <w:tcPr/>
          <w:p>
            <w:pPr>
              <w:pStyle w:val="Compact"/>
              <w:jc w:val="left"/>
            </w:pPr>
            <w:r>
              <w:rPr>
                <w:sz w:val="18"/>
              </w:rPr>
              <w:t xml:space="preserve">Planear campañas de muestreo que exceden la vigencia del permiso.</w:t>
            </w:r>
          </w:p>
        </w:tc>
        <w:tc>
          <w:tcPr/>
          <w:p>
            <w:pPr>
              <w:pStyle w:val="Compact"/>
              <w:jc w:val="left"/>
            </w:pPr>
            <w:r>
              <w:rPr>
                <w:sz w:val="18"/>
              </w:rPr>
              <w:t xml:space="preserve">El permiso de estudio dura hasta dos años y solo se prorroga por fuerza mayor [N09].</w:t>
            </w:r>
          </w:p>
        </w:tc>
        <w:tc>
          <w:tcPr/>
          <w:p>
            <w:pPr>
              <w:pStyle w:val="Compact"/>
              <w:jc w:val="left"/>
            </w:pPr>
            <w:r>
              <w:rPr>
                <w:sz w:val="18"/>
              </w:rPr>
              <w:t xml:space="preserve">3.3</w:t>
            </w:r>
          </w:p>
        </w:tc>
      </w:tr>
      <w:tr>
        <w:tc>
          <w:tcPr/>
          <w:p>
            <w:pPr>
              <w:pStyle w:val="Compact"/>
              <w:jc w:val="left"/>
            </w:pPr>
            <w:r>
              <w:rPr>
                <w:sz w:val="18"/>
              </w:rPr>
              <w:t xml:space="preserve">Presentar información secundaria como primaria o no adjuntar formularios de campo.</w:t>
            </w:r>
          </w:p>
        </w:tc>
        <w:tc>
          <w:tcPr/>
          <w:p>
            <w:pPr>
              <w:pStyle w:val="Compact"/>
              <w:jc w:val="left"/>
            </w:pPr>
            <w:r>
              <w:rPr>
                <w:sz w:val="18"/>
              </w:rPr>
              <w:t xml:space="preserve">La autoridad puede considerar que no hay soporte primario y negar o archivar la solicitud (véase el caso abajo) [N41].</w:t>
            </w:r>
          </w:p>
        </w:tc>
        <w:tc>
          <w:tcPr/>
          <w:p>
            <w:pPr>
              <w:pStyle w:val="Compact"/>
              <w:jc w:val="left"/>
            </w:pPr>
            <w:r>
              <w:rPr>
                <w:sz w:val="18"/>
              </w:rPr>
              <w:t xml:space="preserve">3.3</w:t>
            </w:r>
          </w:p>
        </w:tc>
      </w:tr>
      <w:tr>
        <w:tc>
          <w:tcPr/>
          <w:p>
            <w:pPr>
              <w:pStyle w:val="Compact"/>
              <w:jc w:val="left"/>
            </w:pPr>
            <w:r>
              <w:rPr>
                <w:sz w:val="18"/>
              </w:rPr>
              <w:t xml:space="preserve">Muestrear solo algunas coberturas o grupos exigidos por los términos de referencia.</w:t>
            </w:r>
          </w:p>
        </w:tc>
        <w:tc>
          <w:tcPr/>
          <w:p>
            <w:pPr>
              <w:pStyle w:val="Compact"/>
              <w:jc w:val="left"/>
            </w:pPr>
            <w:r>
              <w:rPr>
                <w:sz w:val="18"/>
              </w:rPr>
              <w:t xml:space="preserve">Los términos de referencia definen el alcance mínimo del muestreo [N41].</w:t>
            </w:r>
          </w:p>
        </w:tc>
        <w:tc>
          <w:tcPr/>
          <w:p>
            <w:pPr>
              <w:pStyle w:val="Compact"/>
              <w:jc w:val="left"/>
            </w:pPr>
            <w:r>
              <w:rPr>
                <w:sz w:val="18"/>
              </w:rPr>
              <w:t xml:space="preserve">3.3</w:t>
            </w:r>
          </w:p>
        </w:tc>
      </w:tr>
      <w:tr>
        <w:tc>
          <w:tcPr/>
          <w:p>
            <w:pPr>
              <w:pStyle w:val="Compact"/>
              <w:jc w:val="left"/>
            </w:pPr>
            <w:r>
              <w:rPr>
                <w:sz w:val="18"/>
              </w:rPr>
              <w:t xml:space="preserve">Asumir que la licencia ambiental cubre la recolección en especies vedadas.</w:t>
            </w:r>
          </w:p>
        </w:tc>
        <w:tc>
          <w:tcPr/>
          <w:p>
            <w:pPr>
              <w:pStyle w:val="Compact"/>
              <w:jc w:val="left"/>
            </w:pPr>
            <w:r>
              <w:rPr>
                <w:sz w:val="18"/>
              </w:rPr>
              <w:t xml:space="preserve">Desde 2019, las medidas de veda se imponen dentro del instrumento ambiental; deben estar expresamente previstas [N29].</w:t>
            </w:r>
          </w:p>
        </w:tc>
        <w:tc>
          <w:tcPr/>
          <w:p>
            <w:pPr>
              <w:pStyle w:val="Compact"/>
              <w:jc w:val="left"/>
            </w:pPr>
            <w:r>
              <w:rPr>
                <w:sz w:val="18"/>
              </w:rPr>
              <w:t xml:space="preserve">3.6</w:t>
            </w:r>
          </w:p>
        </w:tc>
      </w:tr>
    </w:tbl>
    <w:p>
      <w:pPr>
        <w:pStyle w:val="BlockText"/>
      </w:pPr>
      <w:r>
        <w:rPr>
          <w:bCs/>
          <w:b/>
        </w:rPr>
        <w:t xml:space="preserve">Caso: el soporte primario del componente de fauna.</w:t>
      </w:r>
      <w:r>
        <w:t xml:space="preserve"> </w:t>
      </w:r>
      <w:r>
        <w:t xml:space="preserve">En una solicitud de sustracción de un área de reserva forestal para un proyecto minero, el Ministerio de Ambiente evaluó el componente de fauna del estudio técnico y encontró que la composición de anfibios y reptiles del área de influencia indirecta provenía de fuentes bibliográficas; que en el área de influencia directa</w:t>
      </w:r>
      <w:r>
        <w:t xml:space="preserve"> </w:t>
      </w:r>
      <w:r>
        <w:t xml:space="preserve">“</w:t>
      </w:r>
      <w:r>
        <w:t xml:space="preserve">no se hicieron registros directos de los individuos</w:t>
      </w:r>
      <w:r>
        <w:t xml:space="preserve">”</w:t>
      </w:r>
      <w:r>
        <w:t xml:space="preserve"> </w:t>
      </w:r>
      <w:r>
        <w:t xml:space="preserve">de anfibios y que parte de los registros se infirió de entrevistas; que no se adjuntaron</w:t>
      </w:r>
      <w:r>
        <w:t xml:space="preserve"> </w:t>
      </w:r>
      <w:r>
        <w:t xml:space="preserve">“</w:t>
      </w:r>
      <w:r>
        <w:t xml:space="preserve">formularios de campo sobre el registro de la información de composición de especies y sus abundancias</w:t>
      </w:r>
      <w:r>
        <w:t xml:space="preserve">”</w:t>
      </w:r>
      <w:r>
        <w:t xml:space="preserve"> </w:t>
      </w:r>
      <w:r>
        <w:t xml:space="preserve">ni</w:t>
      </w:r>
      <w:r>
        <w:t xml:space="preserve"> </w:t>
      </w:r>
      <w:r>
        <w:t xml:space="preserve">“</w:t>
      </w:r>
      <w:r>
        <w:t xml:space="preserve">soportes de la tabulación de datos ni de los cálculos de los índices de diversidad, riqueza y esfuerzo del muestreo realizado</w:t>
      </w:r>
      <w:r>
        <w:t xml:space="preserve">”</w:t>
      </w:r>
      <w:r>
        <w:t xml:space="preserve">; que no se aportaron</w:t>
      </w:r>
      <w:r>
        <w:t xml:space="preserve"> </w:t>
      </w:r>
      <w:r>
        <w:t xml:space="preserve">“</w:t>
      </w:r>
      <w:r>
        <w:t xml:space="preserve">evidencias de la identificación taxonómica de especies</w:t>
      </w:r>
      <w:r>
        <w:t xml:space="preserve">”</w:t>
      </w:r>
      <w:r>
        <w:t xml:space="preserve">; y que no se muestrearon todas las coberturas de la tierra ni los macroinvertebrados acuáticos y peces exigidos por los términos de referencia (MADS, Auto 328 de 2024, pp. 7–9) [N41]. [Pendiente: leer la parte resolutiva (pp. 10–21) antes de describir el desenlace.]</w:t>
      </w:r>
    </w:p>
    <w:p>
      <w:pPr>
        <w:pStyle w:val="BlockText"/>
      </w:pPr>
      <w:r>
        <w:rPr>
          <w:bCs/>
          <w:b/>
        </w:rPr>
        <w:t xml:space="preserve">Lección:</w:t>
      </w:r>
      <w:r>
        <w:t xml:space="preserve"> </w:t>
      </w:r>
      <w:r>
        <w:t xml:space="preserve">el permiso habilita el muestreo, pero la calidad y la trazabilidad de los datos determinan si el estudio es aceptado. Conserve formularios de campo, bases de datos crudas, cálculos, cartografía de los puntos de muestreo y soportes de identificación.</w:t>
      </w:r>
    </w:p>
    <w:bookmarkEnd w:id="56"/>
    <w:bookmarkStart w:id="57" w:name="autoridades-ambientales"/>
    <w:p>
      <w:pPr>
        <w:pStyle w:val="Heading2"/>
      </w:pPr>
      <w:r>
        <w:t xml:space="preserve">7.3 Autoridades ambientales</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2640"/>
        <w:gridCol w:w="2640"/>
        <w:gridCol w:w="2640"/>
      </w:tblGrid>
      <w:tr>
        <w:trPr>
          <w:tblHeader w:val="true"/>
        </w:trPr>
        <w:tc>
          <w:tcPr/>
          <w:p>
            <w:pPr>
              <w:pStyle w:val="Compact"/>
              <w:jc w:val="left"/>
            </w:pPr>
            <w:r>
              <w:rPr>
                <w:sz w:val="18"/>
              </w:rPr>
              <w:t xml:space="preserve">Situación frecuente</w:t>
            </w:r>
          </w:p>
        </w:tc>
        <w:tc>
          <w:tcPr/>
          <w:p>
            <w:pPr>
              <w:pStyle w:val="Compact"/>
              <w:jc w:val="left"/>
            </w:pPr>
            <w:r>
              <w:rPr>
                <w:sz w:val="18"/>
              </w:rPr>
              <w:t xml:space="preserve">Recomendación</w:t>
            </w:r>
          </w:p>
        </w:tc>
        <w:tc>
          <w:tcPr/>
          <w:p>
            <w:pPr>
              <w:pStyle w:val="Compact"/>
              <w:jc w:val="left"/>
            </w:pPr>
            <w:r>
              <w:rPr>
                <w:sz w:val="18"/>
              </w:rPr>
              <w:t xml:space="preserve">Sección</w:t>
            </w:r>
          </w:p>
        </w:tc>
      </w:tr>
      <w:tr>
        <w:tc>
          <w:tcPr/>
          <w:p>
            <w:pPr>
              <w:pStyle w:val="Compact"/>
              <w:jc w:val="left"/>
            </w:pPr>
            <w:r>
              <w:rPr>
                <w:sz w:val="18"/>
              </w:rPr>
              <w:t xml:space="preserve">Solicitudes que confunden permiso de recolección y permiso de estudio.</w:t>
            </w:r>
          </w:p>
        </w:tc>
        <w:tc>
          <w:tcPr/>
          <w:p>
            <w:pPr>
              <w:pStyle w:val="Compact"/>
              <w:jc w:val="left"/>
            </w:pPr>
            <w:r>
              <w:rPr>
                <w:sz w:val="18"/>
              </w:rPr>
              <w:t xml:space="preserve">Verificar la finalidad declarada y orientar al solicitante hacia el régimen correcto [N08, N09].</w:t>
            </w:r>
          </w:p>
        </w:tc>
        <w:tc>
          <w:tcPr/>
          <w:p>
            <w:pPr>
              <w:pStyle w:val="Compact"/>
              <w:jc w:val="left"/>
            </w:pPr>
            <w:r>
              <w:rPr>
                <w:sz w:val="18"/>
              </w:rPr>
              <w:t xml:space="preserve">3</w:t>
            </w:r>
          </w:p>
        </w:tc>
      </w:tr>
      <w:tr>
        <w:tc>
          <w:tcPr/>
          <w:p>
            <w:pPr>
              <w:pStyle w:val="Compact"/>
              <w:jc w:val="left"/>
            </w:pPr>
            <w:r>
              <w:rPr>
                <w:sz w:val="18"/>
              </w:rPr>
              <w:t xml:space="preserve">Dudas sobre competencia en muestreos que cruzan jurisdicciones.</w:t>
            </w:r>
          </w:p>
        </w:tc>
        <w:tc>
          <w:tcPr/>
          <w:p>
            <w:pPr>
              <w:pStyle w:val="Compact"/>
              <w:jc w:val="left"/>
            </w:pPr>
            <w:r>
              <w:rPr>
                <w:sz w:val="18"/>
              </w:rPr>
              <w:t xml:space="preserve">Aplicar el criterio del DUR: dos o más jurisdicciones, ANLA; una sola, la CAR o autoridad urbana; áreas del SPNN, Parques Nacionales [N07, N09].</w:t>
            </w:r>
          </w:p>
        </w:tc>
        <w:tc>
          <w:tcPr/>
          <w:p>
            <w:pPr>
              <w:pStyle w:val="Compact"/>
              <w:jc w:val="left"/>
            </w:pPr>
            <w:r>
              <w:rPr>
                <w:sz w:val="18"/>
              </w:rPr>
              <w:t xml:space="preserve">3</w:t>
            </w:r>
          </w:p>
        </w:tc>
      </w:tr>
      <w:tr>
        <w:tc>
          <w:tcPr/>
          <w:p>
            <w:pPr>
              <w:pStyle w:val="Compact"/>
              <w:jc w:val="left"/>
            </w:pPr>
            <w:r>
              <w:rPr>
                <w:sz w:val="18"/>
              </w:rPr>
              <w:t xml:space="preserve">Solicitudes de eDNA o análisis moleculares.</w:t>
            </w:r>
          </w:p>
        </w:tc>
        <w:tc>
          <w:tcPr/>
          <w:p>
            <w:pPr>
              <w:pStyle w:val="Compact"/>
              <w:jc w:val="left"/>
            </w:pPr>
            <w:r>
              <w:rPr>
                <w:sz w:val="18"/>
              </w:rPr>
              <w:t xml:space="preserve">Distinguir la necesidad de permiso de recolección de la de contrato de acceso [N15, N39].</w:t>
            </w:r>
          </w:p>
        </w:tc>
        <w:tc>
          <w:tcPr/>
          <w:p>
            <w:pPr>
              <w:pStyle w:val="Compact"/>
              <w:jc w:val="left"/>
            </w:pPr>
            <w:r>
              <w:rPr>
                <w:sz w:val="18"/>
              </w:rPr>
              <w:t xml:space="preserve">3.5</w:t>
            </w:r>
          </w:p>
        </w:tc>
      </w:tr>
      <w:tr>
        <w:tc>
          <w:tcPr/>
          <w:p>
            <w:pPr>
              <w:pStyle w:val="Compact"/>
              <w:jc w:val="left"/>
            </w:pPr>
            <w:r>
              <w:rPr>
                <w:sz w:val="18"/>
              </w:rPr>
              <w:t xml:space="preserve">Informes sin constancias de depósito o de publicación en el SiB.</w:t>
            </w:r>
          </w:p>
        </w:tc>
        <w:tc>
          <w:tcPr/>
          <w:p>
            <w:pPr>
              <w:pStyle w:val="Compact"/>
              <w:jc w:val="left"/>
            </w:pPr>
            <w:r>
              <w:rPr>
                <w:sz w:val="18"/>
              </w:rPr>
              <w:t xml:space="preserve">Exigir ambas constancias, que son obligaciones expresas del permiso [N08, N10].</w:t>
            </w:r>
          </w:p>
        </w:tc>
        <w:tc>
          <w:tcPr/>
          <w:p>
            <w:pPr>
              <w:pStyle w:val="Compact"/>
              <w:jc w:val="left"/>
            </w:pPr>
            <w:r>
              <w:rPr>
                <w:sz w:val="18"/>
              </w:rPr>
              <w:t xml:space="preserve">5</w:t>
            </w:r>
          </w:p>
        </w:tc>
      </w:tr>
    </w:tbl>
    <w:bookmarkEnd w:id="57"/>
    <w:bookmarkStart w:id="58" w:name="consecuencias-del-incumplimiento"/>
    <w:p>
      <w:pPr>
        <w:pStyle w:val="Heading2"/>
      </w:pPr>
      <w:r>
        <w:t xml:space="preserve">7.4 Consecuencias del incumplimiento</w:t>
      </w:r>
    </w:p>
    <w:p>
      <w:pPr>
        <w:pStyle w:val="FirstParagraph"/>
      </w:pPr>
      <w:r>
        <w:t xml:space="preserve">Recolectar sin permiso, fuera de su alcance o incumplir sus obligaciones puede dar lugar a medidas preventivas y sanciones administrativas bajo el régimen sancionatorio ambiental (Ley 1333 de 2009, reformada por la Ley 2387 de 2024) [N34, N35] y, en los casos más graves, a responsabilidad penal por delitos contra los recursos naturales (Ley 2111 de 2021) [N36]. [VERIFICAR: N34–N36 están</w:t>
      </w:r>
      <w:r>
        <w:t xml:space="preserve"> </w:t>
      </w:r>
      <w:r>
        <w:t xml:space="preserve">“</w:t>
      </w:r>
      <w:r>
        <w:t xml:space="preserve">Por verificar</w:t>
      </w:r>
      <w:r>
        <w:t xml:space="preserve">”</w:t>
      </w:r>
      <w:r>
        <w:t xml:space="preserve"> </w:t>
      </w:r>
      <w:r>
        <w:t xml:space="preserve">en el registro; no citar artículos ni sanciones específicas hasta confirmar su texto vigente.]</w:t>
      </w:r>
    </w:p>
    <w:bookmarkEnd w:id="58"/>
    <w:bookmarkEnd w:id="59"/>
    <w:bookmarkStart w:id="63" w:name="herramientas"/>
    <w:p>
      <w:pPr>
        <w:pStyle w:val="Heading1"/>
      </w:pPr>
      <w:r>
        <w:t xml:space="preserve">8. Herramientas</w:t>
      </w:r>
    </w:p>
    <w:bookmarkStart w:id="60" w:name="flujograma-qué-permiso-necesito"/>
    <w:p>
      <w:pPr>
        <w:pStyle w:val="Heading2"/>
      </w:pPr>
      <w:r>
        <w:t xml:space="preserve">8.1 Flujograma: ¿qué permiso necesito?</w:t>
      </w:r>
    </w:p>
    <w:p>
      <w:pPr>
        <w:pStyle w:val="FirstParagraph"/>
      </w:pPr>
      <w:r>
        <w:rPr>
          <w:bCs/>
          <w:b/>
        </w:rPr>
        <w:t xml:space="preserve">Figura 8.1.</w:t>
      </w:r>
      <w:r>
        <w:t xml:space="preserve"> </w:t>
      </w:r>
      <w:r>
        <w:t xml:space="preserve">Árbol de decisión para identificar el permiso de recolección y las autorizaciones adicionales. [Borrador en Mermaid; se diagramará para la versión final.]</w:t>
      </w:r>
    </w:p>
    <w:p>
      <w:pPr>
        <w:pStyle w:val="SourceCode"/>
      </w:pPr>
      <w:r>
        <w:rPr>
          <w:rStyle w:val="VerbatimChar"/>
        </w:rPr>
        <w:t xml:space="preserve">flowchart TD</w:t>
      </w:r>
      <w:r>
        <w:br/>
      </w:r>
      <w:r>
        <w:rPr>
          <w:rStyle w:val="VerbatimChar"/>
        </w:rPr>
        <w:t xml:space="preserve">    A[¿Su trabajo implica capturar, remover o extraer&lt;br/&gt;especímenes, aunque sea temporalmente?] --&gt;|No: solo observación,&lt;br/&gt;fotografía o acústica| Z1[Zona gris: consulte la sección 3.4.&lt;br/&gt;Revise de todos modos áreas protegidas,&lt;br/&gt;predios y comunidades]</w:t>
      </w:r>
      <w:r>
        <w:br/>
      </w:r>
      <w:r>
        <w:rPr>
          <w:rStyle w:val="VerbatimChar"/>
        </w:rPr>
        <w:t xml:space="preserve">    A --&gt;|Sí| B{¿Pertenece a una entidad del SINA&lt;br/&gt;que recolecta en ejercicio de sus funciones?}</w:t>
      </w:r>
      <w:r>
        <w:br/>
      </w:r>
      <w:r>
        <w:rPr>
          <w:rStyle w:val="VerbatimChar"/>
        </w:rPr>
        <w:t xml:space="preserve">    B --&gt;|Sí| E0[Exenta de permiso.&lt;br/&gt;Debe depositar y publicar en el SiB]</w:t>
      </w:r>
      <w:r>
        <w:br/>
      </w:r>
      <w:r>
        <w:rPr>
          <w:rStyle w:val="VerbatimChar"/>
        </w:rPr>
        <w:t xml:space="preserve">    B --&gt;|No| C{¿Cuál es la finalidad?}</w:t>
      </w:r>
      <w:r>
        <w:br/>
      </w:r>
      <w:r>
        <w:rPr>
          <w:rStyle w:val="VerbatimChar"/>
        </w:rPr>
        <w:t xml:space="preserve">    C --&gt;|Investigación científica&lt;br/&gt;no comercial o docencia| D{¿Pertenece a una Institución Nacional&lt;br/&gt;de Investigación con permiso marco vigente?}</w:t>
      </w:r>
      <w:r>
        <w:br/>
      </w:r>
      <w:r>
        <w:rPr>
          <w:rStyle w:val="VerbatimChar"/>
        </w:rPr>
        <w:t xml:space="preserve">    D --&gt;|Sí| PM[Ampararse en el Permiso Marco&lt;br/&gt;de la institución]</w:t>
      </w:r>
      <w:r>
        <w:br/>
      </w:r>
      <w:r>
        <w:rPr>
          <w:rStyle w:val="VerbatimChar"/>
        </w:rPr>
        <w:t xml:space="preserve">    D --&gt;|No| PI[Permiso Individual de Recolección]</w:t>
      </w:r>
      <w:r>
        <w:br/>
      </w:r>
      <w:r>
        <w:rPr>
          <w:rStyle w:val="VerbatimChar"/>
        </w:rPr>
        <w:t xml:space="preserve">    C --&gt;|Elaborar estudios ambientales&lt;br/&gt;para licencias o permisos| PE[Permiso de estudio]</w:t>
      </w:r>
      <w:r>
        <w:br/>
      </w:r>
      <w:r>
        <w:rPr>
          <w:rStyle w:val="VerbatimChar"/>
        </w:rPr>
        <w:t xml:space="preserve">    C --&gt;|Fines comerciales, industriales&lt;br/&gt;o de prospección biológica| CA[Contrato de acceso a recursos genéticos&lt;br/&gt;ante el Ministerio de Ambiente]</w:t>
      </w:r>
      <w:r>
        <w:br/>
      </w:r>
      <w:r>
        <w:rPr>
          <w:rStyle w:val="VerbatimChar"/>
        </w:rPr>
        <w:t xml:space="preserve">    PM --&gt; F{¿Dónde recolecta?}</w:t>
      </w:r>
      <w:r>
        <w:br/>
      </w:r>
      <w:r>
        <w:rPr>
          <w:rStyle w:val="VerbatimChar"/>
        </w:rPr>
        <w:t xml:space="preserve">    PI --&gt; F</w:t>
      </w:r>
      <w:r>
        <w:br/>
      </w:r>
      <w:r>
        <w:rPr>
          <w:rStyle w:val="VerbatimChar"/>
        </w:rPr>
        <w:t xml:space="preserve">    PE --&gt; F</w:t>
      </w:r>
      <w:r>
        <w:br/>
      </w:r>
      <w:r>
        <w:rPr>
          <w:rStyle w:val="VerbatimChar"/>
        </w:rPr>
        <w:t xml:space="preserve">    F --&gt;|Una sola jurisdicción| G1[CAR o autoridad del gran centro urbano]</w:t>
      </w:r>
      <w:r>
        <w:br/>
      </w:r>
      <w:r>
        <w:rPr>
          <w:rStyle w:val="VerbatimChar"/>
        </w:rPr>
        <w:t xml:space="preserve">    F --&gt;|Dos o más jurisdicciones| G2[ANLA]</w:t>
      </w:r>
      <w:r>
        <w:br/>
      </w:r>
      <w:r>
        <w:rPr>
          <w:rStyle w:val="VerbatimChar"/>
        </w:rPr>
        <w:t xml:space="preserve">    F --&gt;|Dentro del SPNN| G3[Parques Nacionales Naturales]</w:t>
      </w:r>
      <w:r>
        <w:br/>
      </w:r>
      <w:r>
        <w:rPr>
          <w:rStyle w:val="VerbatimChar"/>
        </w:rPr>
        <w:t xml:space="preserve">    G1 --&gt; H[Verifique autorizaciones adicionales:&lt;br/&gt;especies amenazadas, vedadas o endémicas;&lt;br/&gt;áreas protegidas; reservas forestales;&lt;br/&gt;territorios étnicos; predios privados;&lt;br/&gt;comité de ética; análisis moleculares]</w:t>
      </w:r>
      <w:r>
        <w:br/>
      </w:r>
      <w:r>
        <w:rPr>
          <w:rStyle w:val="VerbatimChar"/>
        </w:rPr>
        <w:t xml:space="preserve">    G2 --&gt; H</w:t>
      </w:r>
      <w:r>
        <w:br/>
      </w:r>
      <w:r>
        <w:rPr>
          <w:rStyle w:val="VerbatimChar"/>
        </w:rPr>
        <w:t xml:space="preserve">    G3 --&gt; H</w:t>
      </w:r>
    </w:p>
    <w:bookmarkEnd w:id="60"/>
    <w:bookmarkStart w:id="61" w:name="tabla-resumen"/>
    <w:p>
      <w:pPr>
        <w:pStyle w:val="Heading2"/>
      </w:pPr>
      <w:r>
        <w:t xml:space="preserve">8.2 Tabla resumen</w:t>
      </w:r>
    </w:p>
    <w:p>
      <w:pPr>
        <w:pStyle w:val="FirstParagraph"/>
      </w:pPr>
      <w:r>
        <w:rPr>
          <w:bCs/>
          <w:b/>
        </w:rPr>
        <w:t xml:space="preserve">Tabla 8.1.</w:t>
      </w:r>
      <w:r>
        <w:t xml:space="preserve"> </w:t>
      </w:r>
      <w:r>
        <w:t xml:space="preserve">Resumen de permisos y autorizaciones. [Se consolidará con la Tabla 3.1 en la versión final para evitar duplicación.]</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1584"/>
        <w:gridCol w:w="1584"/>
        <w:gridCol w:w="1584"/>
        <w:gridCol w:w="1584"/>
        <w:gridCol w:w="1584"/>
      </w:tblGrid>
      <w:tr>
        <w:trPr>
          <w:tblHeader w:val="true"/>
        </w:trPr>
        <w:tc>
          <w:tcPr/>
          <w:p>
            <w:pPr>
              <w:pStyle w:val="Compact"/>
              <w:jc w:val="left"/>
            </w:pPr>
            <w:r>
              <w:rPr>
                <w:sz w:val="18"/>
              </w:rPr>
              <w:t xml:space="preserve">Situación</w:t>
            </w:r>
          </w:p>
        </w:tc>
        <w:tc>
          <w:tcPr/>
          <w:p>
            <w:pPr>
              <w:pStyle w:val="Compact"/>
              <w:jc w:val="left"/>
            </w:pPr>
            <w:r>
              <w:rPr>
                <w:sz w:val="18"/>
              </w:rPr>
              <w:t xml:space="preserve">Instrumento</w:t>
            </w:r>
          </w:p>
        </w:tc>
        <w:tc>
          <w:tcPr/>
          <w:p>
            <w:pPr>
              <w:pStyle w:val="Compact"/>
              <w:jc w:val="left"/>
            </w:pPr>
            <w:r>
              <w:rPr>
                <w:sz w:val="18"/>
              </w:rPr>
              <w:t xml:space="preserve">Autoridad</w:t>
            </w:r>
          </w:p>
        </w:tc>
        <w:tc>
          <w:tcPr/>
          <w:p>
            <w:pPr>
              <w:pStyle w:val="Compact"/>
              <w:jc w:val="left"/>
            </w:pPr>
            <w:r>
              <w:rPr>
                <w:sz w:val="18"/>
              </w:rPr>
              <w:t xml:space="preserve">Norma principal</w:t>
            </w:r>
          </w:p>
        </w:tc>
        <w:tc>
          <w:tcPr/>
          <w:p>
            <w:pPr>
              <w:pStyle w:val="Compact"/>
              <w:jc w:val="left"/>
            </w:pPr>
            <w:r>
              <w:rPr>
                <w:sz w:val="18"/>
              </w:rPr>
              <w:t xml:space="preserve">Sección</w:t>
            </w:r>
          </w:p>
        </w:tc>
      </w:tr>
      <w:tr>
        <w:tc>
          <w:tcPr/>
          <w:p>
            <w:pPr>
              <w:pStyle w:val="Compact"/>
              <w:jc w:val="left"/>
            </w:pPr>
            <w:r>
              <w:rPr>
                <w:sz w:val="18"/>
              </w:rPr>
              <w:t xml:space="preserve">Investigación no comercial o docencia de una institución</w:t>
            </w:r>
          </w:p>
        </w:tc>
        <w:tc>
          <w:tcPr/>
          <w:p>
            <w:pPr>
              <w:pStyle w:val="Compact"/>
              <w:jc w:val="left"/>
            </w:pPr>
            <w:r>
              <w:rPr>
                <w:sz w:val="18"/>
              </w:rPr>
              <w:t xml:space="preserve">Permiso Marco de Recolección (hasta 10 años)</w:t>
            </w:r>
          </w:p>
        </w:tc>
        <w:tc>
          <w:tcPr/>
          <w:p>
            <w:pPr>
              <w:pStyle w:val="Compact"/>
              <w:jc w:val="left"/>
            </w:pPr>
            <w:r>
              <w:rPr>
                <w:sz w:val="18"/>
              </w:rPr>
              <w:t xml:space="preserve">CAR / gran centro urbano; ANLA; PNN</w:t>
            </w:r>
          </w:p>
        </w:tc>
        <w:tc>
          <w:tcPr/>
          <w:p>
            <w:pPr>
              <w:pStyle w:val="Compact"/>
              <w:jc w:val="left"/>
            </w:pPr>
            <w:r>
              <w:rPr>
                <w:sz w:val="18"/>
              </w:rPr>
              <w:t xml:space="preserve">DUR, arts. 2.2.2.8.2.1 y ss.</w:t>
            </w:r>
          </w:p>
        </w:tc>
        <w:tc>
          <w:tcPr/>
          <w:p>
            <w:pPr>
              <w:pStyle w:val="Compact"/>
              <w:jc w:val="left"/>
            </w:pPr>
            <w:r>
              <w:rPr>
                <w:sz w:val="18"/>
              </w:rPr>
              <w:t xml:space="preserve">3.1</w:t>
            </w:r>
          </w:p>
        </w:tc>
      </w:tr>
      <w:tr>
        <w:tc>
          <w:tcPr/>
          <w:p>
            <w:pPr>
              <w:pStyle w:val="Compact"/>
              <w:jc w:val="left"/>
            </w:pPr>
            <w:r>
              <w:rPr>
                <w:sz w:val="18"/>
              </w:rPr>
              <w:t xml:space="preserve">Proyecto de investigación no comercial de una persona o entidad sin permiso marco</w:t>
            </w:r>
          </w:p>
        </w:tc>
        <w:tc>
          <w:tcPr/>
          <w:p>
            <w:pPr>
              <w:pStyle w:val="Compact"/>
              <w:jc w:val="left"/>
            </w:pPr>
            <w:r>
              <w:rPr>
                <w:sz w:val="18"/>
              </w:rPr>
              <w:t xml:space="preserve">Permiso Individual (hasta 5 años)</w:t>
            </w:r>
          </w:p>
        </w:tc>
        <w:tc>
          <w:tcPr/>
          <w:p>
            <w:pPr>
              <w:pStyle w:val="Compact"/>
              <w:jc w:val="left"/>
            </w:pPr>
            <w:r>
              <w:rPr>
                <w:sz w:val="18"/>
              </w:rPr>
              <w:t xml:space="preserve">Igual</w:t>
            </w:r>
          </w:p>
        </w:tc>
        <w:tc>
          <w:tcPr/>
          <w:p>
            <w:pPr>
              <w:pStyle w:val="Compact"/>
              <w:jc w:val="left"/>
            </w:pPr>
            <w:r>
              <w:rPr>
                <w:sz w:val="18"/>
              </w:rPr>
              <w:t xml:space="preserve">DUR, arts. 2.2.2.8.3.1 y ss.</w:t>
            </w:r>
          </w:p>
        </w:tc>
        <w:tc>
          <w:tcPr/>
          <w:p>
            <w:pPr>
              <w:pStyle w:val="Compact"/>
              <w:jc w:val="left"/>
            </w:pPr>
            <w:r>
              <w:rPr>
                <w:sz w:val="18"/>
              </w:rPr>
              <w:t xml:space="preserve">3.2</w:t>
            </w:r>
          </w:p>
        </w:tc>
      </w:tr>
      <w:tr>
        <w:tc>
          <w:tcPr/>
          <w:p>
            <w:pPr>
              <w:pStyle w:val="Compact"/>
              <w:jc w:val="left"/>
            </w:pPr>
            <w:r>
              <w:rPr>
                <w:sz w:val="18"/>
              </w:rPr>
              <w:t xml:space="preserve">Estudios ambientales para licencias o permisos</w:t>
            </w:r>
          </w:p>
        </w:tc>
        <w:tc>
          <w:tcPr/>
          <w:p>
            <w:pPr>
              <w:pStyle w:val="Compact"/>
              <w:jc w:val="left"/>
            </w:pPr>
            <w:r>
              <w:rPr>
                <w:sz w:val="18"/>
              </w:rPr>
              <w:t xml:space="preserve">Permiso de estudio (hasta 2 años)</w:t>
            </w:r>
          </w:p>
        </w:tc>
        <w:tc>
          <w:tcPr/>
          <w:p>
            <w:pPr>
              <w:pStyle w:val="Compact"/>
              <w:jc w:val="left"/>
            </w:pPr>
            <w:r>
              <w:rPr>
                <w:sz w:val="18"/>
              </w:rPr>
              <w:t xml:space="preserve">Igual</w:t>
            </w:r>
          </w:p>
        </w:tc>
        <w:tc>
          <w:tcPr/>
          <w:p>
            <w:pPr>
              <w:pStyle w:val="Compact"/>
              <w:jc w:val="left"/>
            </w:pPr>
            <w:r>
              <w:rPr>
                <w:sz w:val="18"/>
              </w:rPr>
              <w:t xml:space="preserve">DUR, arts. 2.2.2.9.2.1 y ss.</w:t>
            </w:r>
          </w:p>
        </w:tc>
        <w:tc>
          <w:tcPr/>
          <w:p>
            <w:pPr>
              <w:pStyle w:val="Compact"/>
              <w:jc w:val="left"/>
            </w:pPr>
            <w:r>
              <w:rPr>
                <w:sz w:val="18"/>
              </w:rPr>
              <w:t xml:space="preserve">3.3</w:t>
            </w:r>
          </w:p>
        </w:tc>
      </w:tr>
      <w:tr>
        <w:tc>
          <w:tcPr/>
          <w:p>
            <w:pPr>
              <w:pStyle w:val="Compact"/>
              <w:jc w:val="left"/>
            </w:pPr>
            <w:r>
              <w:rPr>
                <w:sz w:val="18"/>
              </w:rPr>
              <w:t xml:space="preserve">Especies amenazadas, vedadas o endémicas (bajo permiso marco)</w:t>
            </w:r>
          </w:p>
        </w:tc>
        <w:tc>
          <w:tcPr/>
          <w:p>
            <w:pPr>
              <w:pStyle w:val="Compact"/>
              <w:jc w:val="left"/>
            </w:pPr>
            <w:r>
              <w:rPr>
                <w:sz w:val="18"/>
              </w:rPr>
              <w:t xml:space="preserve">Autorización previa</w:t>
            </w:r>
          </w:p>
        </w:tc>
        <w:tc>
          <w:tcPr/>
          <w:p>
            <w:pPr>
              <w:pStyle w:val="Compact"/>
              <w:jc w:val="left"/>
            </w:pPr>
            <w:r>
              <w:rPr>
                <w:sz w:val="18"/>
              </w:rPr>
              <w:t xml:space="preserve">Autoridad que otorgó el permiso</w:t>
            </w:r>
          </w:p>
        </w:tc>
        <w:tc>
          <w:tcPr/>
          <w:p>
            <w:pPr>
              <w:pStyle w:val="Compact"/>
              <w:jc w:val="left"/>
            </w:pPr>
            <w:r>
              <w:rPr>
                <w:sz w:val="18"/>
              </w:rPr>
              <w:t xml:space="preserve">DUR, art. 2.2.2.8.2.4, par. 1</w:t>
            </w:r>
          </w:p>
        </w:tc>
        <w:tc>
          <w:tcPr/>
          <w:p>
            <w:pPr>
              <w:pStyle w:val="Compact"/>
              <w:jc w:val="left"/>
            </w:pPr>
            <w:r>
              <w:rPr>
                <w:sz w:val="18"/>
              </w:rPr>
              <w:t xml:space="preserve">3.6</w:t>
            </w:r>
          </w:p>
        </w:tc>
      </w:tr>
      <w:tr>
        <w:tc>
          <w:tcPr/>
          <w:p>
            <w:pPr>
              <w:pStyle w:val="Compact"/>
              <w:jc w:val="left"/>
            </w:pPr>
            <w:r>
              <w:rPr>
                <w:sz w:val="18"/>
              </w:rPr>
              <w:t xml:space="preserve">Recolección en el SPNN (bajo permiso marco)</w:t>
            </w:r>
          </w:p>
        </w:tc>
        <w:tc>
          <w:tcPr/>
          <w:p>
            <w:pPr>
              <w:pStyle w:val="Compact"/>
              <w:jc w:val="left"/>
            </w:pPr>
            <w:r>
              <w:rPr>
                <w:sz w:val="18"/>
              </w:rPr>
              <w:t xml:space="preserve">Autorización previa (30 días)</w:t>
            </w:r>
          </w:p>
        </w:tc>
        <w:tc>
          <w:tcPr/>
          <w:p>
            <w:pPr>
              <w:pStyle w:val="Compact"/>
              <w:jc w:val="left"/>
            </w:pPr>
            <w:r>
              <w:rPr>
                <w:sz w:val="18"/>
              </w:rPr>
              <w:t xml:space="preserve">PNN</w:t>
            </w:r>
          </w:p>
        </w:tc>
        <w:tc>
          <w:tcPr/>
          <w:p>
            <w:pPr>
              <w:pStyle w:val="Compact"/>
              <w:jc w:val="left"/>
            </w:pPr>
            <w:r>
              <w:rPr>
                <w:sz w:val="18"/>
              </w:rPr>
              <w:t xml:space="preserve">DUR, art. 2.2.2.8.2.4, par. 2</w:t>
            </w:r>
          </w:p>
        </w:tc>
        <w:tc>
          <w:tcPr/>
          <w:p>
            <w:pPr>
              <w:pStyle w:val="Compact"/>
              <w:jc w:val="left"/>
            </w:pPr>
            <w:r>
              <w:rPr>
                <w:sz w:val="18"/>
              </w:rPr>
              <w:t xml:space="preserve">3.6</w:t>
            </w:r>
          </w:p>
        </w:tc>
      </w:tr>
      <w:tr>
        <w:tc>
          <w:tcPr/>
          <w:p>
            <w:pPr>
              <w:pStyle w:val="Compact"/>
              <w:jc w:val="left"/>
            </w:pPr>
            <w:r>
              <w:rPr>
                <w:sz w:val="18"/>
              </w:rPr>
              <w:t xml:space="preserve">Infraestructura de investigación en reserva forestal de Ley 2</w:t>
            </w:r>
          </w:p>
        </w:tc>
        <w:tc>
          <w:tcPr/>
          <w:p>
            <w:pPr>
              <w:pStyle w:val="Compact"/>
              <w:jc w:val="left"/>
            </w:pPr>
            <w:r>
              <w:rPr>
                <w:sz w:val="18"/>
              </w:rPr>
              <w:t xml:space="preserve">Aviso previo (sin sustracción)</w:t>
            </w:r>
          </w:p>
        </w:tc>
        <w:tc>
          <w:tcPr/>
          <w:p>
            <w:pPr>
              <w:pStyle w:val="Compact"/>
              <w:jc w:val="left"/>
            </w:pPr>
            <w:r>
              <w:rPr>
                <w:sz w:val="18"/>
              </w:rPr>
              <w:t xml:space="preserve">MADS (nacional) / autoridad regional</w:t>
            </w:r>
          </w:p>
        </w:tc>
        <w:tc>
          <w:tcPr/>
          <w:p>
            <w:pPr>
              <w:pStyle w:val="Compact"/>
              <w:jc w:val="left"/>
            </w:pPr>
            <w:r>
              <w:rPr>
                <w:sz w:val="18"/>
              </w:rPr>
              <w:t xml:space="preserve">Res. 0083/2026, arts. 2 y 6</w:t>
            </w:r>
          </w:p>
        </w:tc>
        <w:tc>
          <w:tcPr/>
          <w:p>
            <w:pPr>
              <w:pStyle w:val="Compact"/>
              <w:jc w:val="left"/>
            </w:pPr>
            <w:r>
              <w:rPr>
                <w:sz w:val="18"/>
              </w:rPr>
              <w:t xml:space="preserve">3.6</w:t>
            </w:r>
          </w:p>
        </w:tc>
      </w:tr>
      <w:tr>
        <w:tc>
          <w:tcPr/>
          <w:p>
            <w:pPr>
              <w:pStyle w:val="Compact"/>
              <w:jc w:val="left"/>
            </w:pPr>
            <w:r>
              <w:rPr>
                <w:sz w:val="18"/>
              </w:rPr>
              <w:t xml:space="preserve">Acceso a recursos genéticos con fines comerciales o de bioprospección</w:t>
            </w:r>
          </w:p>
        </w:tc>
        <w:tc>
          <w:tcPr/>
          <w:p>
            <w:pPr>
              <w:pStyle w:val="Compact"/>
              <w:jc w:val="left"/>
            </w:pPr>
            <w:r>
              <w:rPr>
                <w:sz w:val="18"/>
              </w:rPr>
              <w:t xml:space="preserve">Contrato de acceso</w:t>
            </w:r>
          </w:p>
        </w:tc>
        <w:tc>
          <w:tcPr/>
          <w:p>
            <w:pPr>
              <w:pStyle w:val="Compact"/>
              <w:jc w:val="left"/>
            </w:pPr>
            <w:r>
              <w:rPr>
                <w:sz w:val="18"/>
              </w:rPr>
              <w:t xml:space="preserve">MADS</w:t>
            </w:r>
          </w:p>
        </w:tc>
        <w:tc>
          <w:tcPr/>
          <w:p>
            <w:pPr>
              <w:pStyle w:val="Compact"/>
              <w:jc w:val="left"/>
            </w:pPr>
            <w:r>
              <w:rPr>
                <w:sz w:val="18"/>
              </w:rPr>
              <w:t xml:space="preserve">Decisión 391/1996; Res. 1348/2014</w:t>
            </w:r>
          </w:p>
        </w:tc>
        <w:tc>
          <w:tcPr/>
          <w:p>
            <w:pPr>
              <w:pStyle w:val="Compact"/>
              <w:jc w:val="left"/>
            </w:pPr>
            <w:r>
              <w:rPr>
                <w:sz w:val="18"/>
              </w:rPr>
              <w:t xml:space="preserve">3.5</w:t>
            </w:r>
          </w:p>
        </w:tc>
      </w:tr>
      <w:tr>
        <w:tc>
          <w:tcPr/>
          <w:p>
            <w:pPr>
              <w:pStyle w:val="Compact"/>
              <w:jc w:val="left"/>
            </w:pPr>
            <w:r>
              <w:rPr>
                <w:sz w:val="18"/>
              </w:rPr>
              <w:t xml:space="preserve">Movilización de especímenes sin permiso de recolección</w:t>
            </w:r>
          </w:p>
        </w:tc>
        <w:tc>
          <w:tcPr/>
          <w:p>
            <w:pPr>
              <w:pStyle w:val="Compact"/>
              <w:jc w:val="left"/>
            </w:pPr>
            <w:r>
              <w:rPr>
                <w:sz w:val="18"/>
              </w:rPr>
              <w:t xml:space="preserve">SUNL</w:t>
            </w:r>
          </w:p>
        </w:tc>
        <w:tc>
          <w:tcPr/>
          <w:p>
            <w:pPr>
              <w:pStyle w:val="Compact"/>
              <w:jc w:val="left"/>
            </w:pPr>
            <w:r>
              <w:rPr>
                <w:sz w:val="18"/>
              </w:rPr>
              <w:t xml:space="preserve">Autoridad ambiental competente</w:t>
            </w:r>
          </w:p>
        </w:tc>
        <w:tc>
          <w:tcPr/>
          <w:p>
            <w:pPr>
              <w:pStyle w:val="Compact"/>
              <w:jc w:val="left"/>
            </w:pPr>
            <w:r>
              <w:rPr>
                <w:sz w:val="18"/>
              </w:rPr>
              <w:t xml:space="preserve">Res. 1909/2017</w:t>
            </w:r>
          </w:p>
        </w:tc>
        <w:tc>
          <w:tcPr/>
          <w:p>
            <w:pPr>
              <w:pStyle w:val="Compact"/>
              <w:jc w:val="left"/>
            </w:pPr>
            <w:r>
              <w:rPr>
                <w:sz w:val="18"/>
              </w:rPr>
              <w:t xml:space="preserve">5.1</w:t>
            </w:r>
          </w:p>
        </w:tc>
      </w:tr>
      <w:tr>
        <w:tc>
          <w:tcPr/>
          <w:p>
            <w:pPr>
              <w:pStyle w:val="Compact"/>
              <w:jc w:val="left"/>
            </w:pPr>
            <w:r>
              <w:rPr>
                <w:sz w:val="18"/>
              </w:rPr>
              <w:t xml:space="preserve">Exportación de especies CITES</w:t>
            </w:r>
          </w:p>
        </w:tc>
        <w:tc>
          <w:tcPr/>
          <w:p>
            <w:pPr>
              <w:pStyle w:val="Compact"/>
              <w:jc w:val="left"/>
            </w:pPr>
            <w:r>
              <w:rPr>
                <w:sz w:val="18"/>
              </w:rPr>
              <w:t xml:space="preserve">Permiso o certificado CITES</w:t>
            </w:r>
          </w:p>
        </w:tc>
        <w:tc>
          <w:tcPr/>
          <w:p>
            <w:pPr>
              <w:pStyle w:val="Compact"/>
              <w:jc w:val="left"/>
            </w:pPr>
            <w:r>
              <w:rPr>
                <w:sz w:val="18"/>
              </w:rPr>
              <w:t xml:space="preserve">MADS</w:t>
            </w:r>
          </w:p>
        </w:tc>
        <w:tc>
          <w:tcPr/>
          <w:p>
            <w:pPr>
              <w:pStyle w:val="Compact"/>
              <w:jc w:val="left"/>
            </w:pPr>
            <w:r>
              <w:rPr>
                <w:sz w:val="18"/>
              </w:rPr>
              <w:t xml:space="preserve">Ley 17/1981; Decreto 1401/1997</w:t>
            </w:r>
          </w:p>
        </w:tc>
        <w:tc>
          <w:tcPr/>
          <w:p>
            <w:pPr>
              <w:pStyle w:val="Compact"/>
              <w:jc w:val="left"/>
            </w:pPr>
            <w:r>
              <w:rPr>
                <w:sz w:val="18"/>
              </w:rPr>
              <w:t xml:space="preserve">5.5</w:t>
            </w:r>
          </w:p>
        </w:tc>
      </w:tr>
      <w:tr>
        <w:tc>
          <w:tcPr/>
          <w:p>
            <w:pPr>
              <w:pStyle w:val="Compact"/>
              <w:jc w:val="left"/>
            </w:pPr>
            <w:r>
              <w:rPr>
                <w:sz w:val="18"/>
              </w:rPr>
              <w:t xml:space="preserve">Depósito de especímenes</w:t>
            </w:r>
          </w:p>
        </w:tc>
        <w:tc>
          <w:tcPr/>
          <w:p>
            <w:pPr>
              <w:pStyle w:val="Compact"/>
              <w:jc w:val="left"/>
            </w:pPr>
            <w:r>
              <w:rPr>
                <w:sz w:val="18"/>
              </w:rPr>
              <w:t xml:space="preserve">Constancia de depósito</w:t>
            </w:r>
          </w:p>
        </w:tc>
        <w:tc>
          <w:tcPr/>
          <w:p>
            <w:pPr>
              <w:pStyle w:val="Compact"/>
              <w:jc w:val="left"/>
            </w:pPr>
            <w:r>
              <w:rPr>
                <w:sz w:val="18"/>
              </w:rPr>
              <w:t xml:space="preserve">Colección registrada</w:t>
            </w:r>
          </w:p>
        </w:tc>
        <w:tc>
          <w:tcPr/>
          <w:p>
            <w:pPr>
              <w:pStyle w:val="Compact"/>
              <w:jc w:val="left"/>
            </w:pPr>
            <w:r>
              <w:rPr>
                <w:sz w:val="18"/>
              </w:rPr>
              <w:t xml:space="preserve">DUR, arts. 2.2.2.8.3.3 y 2.2.2.9.1.8</w:t>
            </w:r>
          </w:p>
        </w:tc>
        <w:tc>
          <w:tcPr/>
          <w:p>
            <w:pPr>
              <w:pStyle w:val="Compact"/>
              <w:jc w:val="left"/>
            </w:pPr>
            <w:r>
              <w:rPr>
                <w:sz w:val="18"/>
              </w:rPr>
              <w:t xml:space="preserve">5.2</w:t>
            </w:r>
          </w:p>
        </w:tc>
      </w:tr>
      <w:tr>
        <w:tc>
          <w:tcPr/>
          <w:p>
            <w:pPr>
              <w:pStyle w:val="Compact"/>
              <w:jc w:val="left"/>
            </w:pPr>
            <w:r>
              <w:rPr>
                <w:sz w:val="18"/>
              </w:rPr>
              <w:t xml:space="preserve">Publicación de datos</w:t>
            </w:r>
          </w:p>
        </w:tc>
        <w:tc>
          <w:tcPr/>
          <w:p>
            <w:pPr>
              <w:pStyle w:val="Compact"/>
              <w:jc w:val="left"/>
            </w:pPr>
            <w:r>
              <w:rPr>
                <w:sz w:val="18"/>
              </w:rPr>
              <w:t xml:space="preserve">Constancia del SiB</w:t>
            </w:r>
          </w:p>
        </w:tc>
        <w:tc>
          <w:tcPr/>
          <w:p>
            <w:pPr>
              <w:pStyle w:val="Compact"/>
              <w:jc w:val="left"/>
            </w:pPr>
            <w:r>
              <w:rPr>
                <w:sz w:val="18"/>
              </w:rPr>
              <w:t xml:space="preserve">SiB Colombia</w:t>
            </w:r>
          </w:p>
        </w:tc>
        <w:tc>
          <w:tcPr/>
          <w:p>
            <w:pPr>
              <w:pStyle w:val="Compact"/>
              <w:jc w:val="left"/>
            </w:pPr>
            <w:r>
              <w:rPr>
                <w:sz w:val="18"/>
              </w:rPr>
              <w:t xml:space="preserve">DUR, art. 2.2.2.8.2.4, lit. e, y concordantes</w:t>
            </w:r>
          </w:p>
        </w:tc>
        <w:tc>
          <w:tcPr/>
          <w:p>
            <w:pPr>
              <w:pStyle w:val="Compact"/>
              <w:jc w:val="left"/>
            </w:pPr>
            <w:r>
              <w:rPr>
                <w:sz w:val="18"/>
              </w:rPr>
              <w:t xml:space="preserve">5.3</w:t>
            </w:r>
          </w:p>
        </w:tc>
      </w:tr>
    </w:tbl>
    <w:bookmarkEnd w:id="61"/>
    <w:bookmarkStart w:id="62" w:name="listas-de-chequeo"/>
    <w:p>
      <w:pPr>
        <w:pStyle w:val="Heading2"/>
      </w:pPr>
      <w:r>
        <w:t xml:space="preserve">8.3 Listas de chequeo</w:t>
      </w:r>
    </w:p>
    <w:p>
      <w:pPr>
        <w:pStyle w:val="FirstParagraph"/>
      </w:pPr>
      <w:r>
        <w:rPr>
          <w:bCs/>
          <w:b/>
        </w:rPr>
        <w:t xml:space="preserve">Antes del campo</w:t>
      </w:r>
    </w:p>
    <w:p>
      <w:pPr>
        <w:numPr>
          <w:ilvl w:val="0"/>
          <w:numId w:val="1019"/>
        </w:numPr>
        <w:pStyle w:val="Compact"/>
      </w:pPr>
      <w:r>
        <w:t xml:space="preserve">☐ Definí la finalidad de la recolección (investigación, estudio ambiental, comercial).</w:t>
      </w:r>
    </w:p>
    <w:p>
      <w:pPr>
        <w:numPr>
          <w:ilvl w:val="0"/>
          <w:numId w:val="1019"/>
        </w:numPr>
        <w:pStyle w:val="Compact"/>
      </w:pPr>
      <w:r>
        <w:t xml:space="preserve">☐ Identifiqué el permiso aplicable y la autoridad competente según la jurisdicción.</w:t>
      </w:r>
    </w:p>
    <w:p>
      <w:pPr>
        <w:numPr>
          <w:ilvl w:val="0"/>
          <w:numId w:val="1019"/>
        </w:numPr>
        <w:pStyle w:val="Compact"/>
      </w:pPr>
      <w:r>
        <w:t xml:space="preserve">☐ El permiso está vigente durante todo el periodo de muestreo.</w:t>
      </w:r>
    </w:p>
    <w:p>
      <w:pPr>
        <w:numPr>
          <w:ilvl w:val="0"/>
          <w:numId w:val="1019"/>
        </w:numPr>
        <w:pStyle w:val="Compact"/>
      </w:pPr>
      <w:r>
        <w:t xml:space="preserve">☐ Revisé si hay especies amenazadas, vedadas o endémicas entre los objetivos y pedí la autorización previa.</w:t>
      </w:r>
    </w:p>
    <w:p>
      <w:pPr>
        <w:numPr>
          <w:ilvl w:val="0"/>
          <w:numId w:val="1019"/>
        </w:numPr>
        <w:pStyle w:val="Compact"/>
      </w:pPr>
      <w:r>
        <w:t xml:space="preserve">☐ Revisé si el área es protegida, reserva forestal o territorio étnico, y obtuve las autorizaciones correspondientes.</w:t>
      </w:r>
    </w:p>
    <w:p>
      <w:pPr>
        <w:numPr>
          <w:ilvl w:val="0"/>
          <w:numId w:val="1019"/>
        </w:numPr>
        <w:pStyle w:val="Compact"/>
      </w:pPr>
      <w:r>
        <w:t xml:space="preserve">☐ Tengo autorización escrita de los propietarios de los predios.</w:t>
      </w:r>
    </w:p>
    <w:p>
      <w:pPr>
        <w:numPr>
          <w:ilvl w:val="0"/>
          <w:numId w:val="1019"/>
        </w:numPr>
        <w:pStyle w:val="Compact"/>
      </w:pPr>
      <w:r>
        <w:t xml:space="preserve">☐ Tengo el aval del comité de ética institucional.</w:t>
      </w:r>
    </w:p>
    <w:p>
      <w:pPr>
        <w:numPr>
          <w:ilvl w:val="0"/>
          <w:numId w:val="1019"/>
        </w:numPr>
        <w:pStyle w:val="Compact"/>
      </w:pPr>
      <w:r>
        <w:t xml:space="preserve">☐ Identifiqué la colección registrada que recibirá los especímenes.</w:t>
      </w:r>
    </w:p>
    <w:p>
      <w:pPr>
        <w:numPr>
          <w:ilvl w:val="0"/>
          <w:numId w:val="1019"/>
        </w:numPr>
        <w:pStyle w:val="Compact"/>
      </w:pPr>
      <w:r>
        <w:t xml:space="preserve">☐ Si haré análisis moleculares, verifiqué que no configuran acceso o tramité el contrato.</w:t>
      </w:r>
    </w:p>
    <w:p>
      <w:pPr>
        <w:pStyle w:val="FirstParagraph"/>
      </w:pPr>
      <w:r>
        <w:rPr>
          <w:bCs/>
          <w:b/>
        </w:rPr>
        <w:t xml:space="preserve">Durante el campo</w:t>
      </w:r>
    </w:p>
    <w:p>
      <w:pPr>
        <w:numPr>
          <w:ilvl w:val="0"/>
          <w:numId w:val="1020"/>
        </w:numPr>
        <w:pStyle w:val="Compact"/>
      </w:pPr>
      <w:r>
        <w:t xml:space="preserve">☐ Llevo copia del permiso y de las autorizaciones.</w:t>
      </w:r>
    </w:p>
    <w:p>
      <w:pPr>
        <w:numPr>
          <w:ilvl w:val="0"/>
          <w:numId w:val="1020"/>
        </w:numPr>
        <w:pStyle w:val="Compact"/>
      </w:pPr>
      <w:r>
        <w:t xml:space="preserve">☐ Recolecto solo las especies, cantidades, sitios y métodos autorizados.</w:t>
      </w:r>
    </w:p>
    <w:p>
      <w:pPr>
        <w:numPr>
          <w:ilvl w:val="0"/>
          <w:numId w:val="1020"/>
        </w:numPr>
        <w:pStyle w:val="Compact"/>
      </w:pPr>
      <w:r>
        <w:t xml:space="preserve">☐ Diligencio formularios de campo y registro coordenadas, fecha, colector y esfuerzo de muestreo.</w:t>
      </w:r>
    </w:p>
    <w:p>
      <w:pPr>
        <w:numPr>
          <w:ilvl w:val="0"/>
          <w:numId w:val="1020"/>
        </w:numPr>
        <w:pStyle w:val="Compact"/>
      </w:pPr>
      <w:r>
        <w:t xml:space="preserve">☐ Respeto los acuerdos con comunidades y propietarios.</w:t>
      </w:r>
    </w:p>
    <w:p>
      <w:pPr>
        <w:pStyle w:val="FirstParagraph"/>
      </w:pPr>
      <w:r>
        <w:rPr>
          <w:bCs/>
          <w:b/>
        </w:rPr>
        <w:t xml:space="preserve">Después del campo</w:t>
      </w:r>
    </w:p>
    <w:p>
      <w:pPr>
        <w:numPr>
          <w:ilvl w:val="0"/>
          <w:numId w:val="1021"/>
        </w:numPr>
        <w:pStyle w:val="Compact"/>
      </w:pPr>
      <w:r>
        <w:t xml:space="preserve">☐ Deposité los especímenes y recibí la constancia.</w:t>
      </w:r>
    </w:p>
    <w:p>
      <w:pPr>
        <w:numPr>
          <w:ilvl w:val="0"/>
          <w:numId w:val="1021"/>
        </w:numPr>
        <w:pStyle w:val="Compact"/>
      </w:pPr>
      <w:r>
        <w:t xml:space="preserve">☐ Publiqué los datos en el SiB Colombia y recibí la constancia.</w:t>
      </w:r>
    </w:p>
    <w:p>
      <w:pPr>
        <w:numPr>
          <w:ilvl w:val="0"/>
          <w:numId w:val="1021"/>
        </w:numPr>
        <w:pStyle w:val="Compact"/>
      </w:pPr>
      <w:r>
        <w:t xml:space="preserve">☐ Envié el informe a la autoridad con ambas constancias.</w:t>
      </w:r>
    </w:p>
    <w:p>
      <w:pPr>
        <w:numPr>
          <w:ilvl w:val="0"/>
          <w:numId w:val="1021"/>
        </w:numPr>
        <w:pStyle w:val="Compact"/>
      </w:pPr>
      <w:r>
        <w:t xml:space="preserve">☐ Remití al Ministerio las publicaciones derivadas de análisis moleculares.</w:t>
      </w:r>
    </w:p>
    <w:p>
      <w:pPr>
        <w:numPr>
          <w:ilvl w:val="0"/>
          <w:numId w:val="1021"/>
        </w:numPr>
        <w:pStyle w:val="Compact"/>
      </w:pPr>
      <w:r>
        <w:t xml:space="preserve">☐ Devolví los resultados a la comunidad.</w:t>
      </w:r>
    </w:p>
    <w:p>
      <w:pPr>
        <w:numPr>
          <w:ilvl w:val="0"/>
          <w:numId w:val="1021"/>
        </w:numPr>
        <w:pStyle w:val="Compact"/>
      </w:pPr>
      <w:r>
        <w:t xml:space="preserve">☐ Planifiqué la renovación del permiso si el monitoreo continúa.</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4D3A"/>
      <w:sz w:val="40"/>
      <w:szCs w:val="36"/>
    </w:rPr>
  </w:style>
  <w:style w:styleId="Subtitle" w:type="paragraph">
    <w:name w:val="Subtitle"/>
    <w:basedOn w:val="Title"/>
    <w:next w:val="BodyText"/>
    <w:qFormat/>
    <w:pPr>
      <w:keepNext/>
      <w:keepLines/>
      <w:spacing w:after="240" w:before="240"/>
      <w:jc w:val="center"/>
    </w:pPr>
    <w:rPr>
      <w:rFonts w:ascii="Calibri" w:hAnsi="Calibri"/>
      <w:color w:val="1F4D3A"/>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Permisos para la investigación y el monitoreo de la biodiversidad en Colombia</dc:title>
  <dc:creator>Adriana Restrepo Isaza</dc:creator>
  <dc:language>es-CO</dc:language>
  <cp:keywords/>
  <dcterms:created xsi:type="dcterms:W3CDTF">2026-10-10T03:09:29Z</dcterms:created>
  <dcterms:modified xsi:type="dcterms:W3CDTF">2026-10-10T03:09:29Z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Capítulo — Libro de métodos de campo para el monitoreo de la biodiversidad (Instituto Humboldt). BORRADOR v0.1, 10 de octubre de 2026</vt:lpwstr>
  </property>
  <property fmtid="{D5CDD505-2E9C-101B-9397-08002B2CF9AE}" pid="3" name="toc-title">
    <vt:lpwstr>Contenido</vt:lpwstr>
  </property>
</Properties>
</file>