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jc w:val="center"/>
        <w:rPr/>
      </w:pPr>
      <w:r w:rsidDel="00000000" w:rsidR="00000000" w:rsidRPr="00000000">
        <w:rPr>
          <w:b w:val="1"/>
          <w:bCs w:val="1"/>
          <w:color w:val="1f5c99"/>
          <w:sz w:val="36"/>
          <w:szCs w:val="36"/>
        </w:rPr>
        <w:drawing>
          <wp:inline distB="114300" distT="114300" distL="114300" distR="114300">
            <wp:extent cx="3773325" cy="1273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73325" cy="127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before="0" w:lineRule="auto"/>
        <w:jc w:val="center"/>
        <w:rPr>
          <w:i w:val="1"/>
          <w:iCs w:val="1"/>
          <w:color w:val="555555"/>
        </w:rPr>
      </w:pPr>
      <w:r w:rsidDel="00000000" w:rsidR="00000000" w:rsidRPr="00000000">
        <w:rPr>
          <w:rtl w:val="0"/>
        </w:rPr>
      </w:r>
    </w:p>
    <w:p w:rsidR="00000000" w:rsidDel="00000000" w:rsidP="00000000" w:rsidRDefault="00000000" w:rsidRPr="00000000" w14:paraId="00000003">
      <w:pPr>
        <w:spacing w:after="80" w:before="0" w:lineRule="auto"/>
        <w:jc w:val="center"/>
        <w:rPr>
          <w:i w:val="1"/>
          <w:iCs w:val="1"/>
          <w:color w:val="555555"/>
        </w:rPr>
      </w:pPr>
      <w:r w:rsidDel="00000000" w:rsidR="00000000" w:rsidRPr="00000000">
        <w:rPr>
          <w:rtl w:val="0"/>
        </w:rPr>
      </w:r>
    </w:p>
    <w:p w:rsidR="00000000" w:rsidDel="00000000" w:rsidP="00000000" w:rsidRDefault="00000000" w:rsidRPr="00000000" w14:paraId="00000004">
      <w:pPr>
        <w:spacing w:after="80" w:before="0" w:lineRule="auto"/>
        <w:jc w:val="center"/>
        <w:rPr>
          <w:i w:val="1"/>
          <w:iCs w:val="1"/>
          <w:color w:val="555555"/>
        </w:rPr>
      </w:pPr>
      <w:r w:rsidDel="00000000" w:rsidR="00000000" w:rsidRPr="00000000">
        <w:rPr>
          <w:rtl w:val="0"/>
        </w:rPr>
      </w:r>
    </w:p>
    <w:p w:rsidR="00000000" w:rsidDel="00000000" w:rsidP="00000000" w:rsidRDefault="00000000" w:rsidRPr="00000000" w14:paraId="00000005">
      <w:pPr>
        <w:spacing w:after="80" w:before="0" w:lineRule="auto"/>
        <w:jc w:val="center"/>
        <w:rPr>
          <w:i w:val="1"/>
          <w:iCs w:val="1"/>
          <w:color w:val="555555"/>
        </w:rPr>
      </w:pPr>
      <w:r w:rsidDel="00000000" w:rsidR="00000000" w:rsidRPr="00000000">
        <w:rPr>
          <w:rtl w:val="0"/>
        </w:rPr>
      </w:r>
    </w:p>
    <w:p w:rsidR="00000000" w:rsidDel="00000000" w:rsidP="00000000" w:rsidRDefault="00000000" w:rsidRPr="00000000" w14:paraId="00000006">
      <w:pPr>
        <w:spacing w:after="80" w:before="0" w:lineRule="auto"/>
        <w:jc w:val="center"/>
        <w:rPr>
          <w:i w:val="1"/>
          <w:iCs w:val="1"/>
          <w:color w:val="555555"/>
        </w:rPr>
      </w:pPr>
      <w:r w:rsidDel="00000000" w:rsidR="00000000" w:rsidRPr="00000000">
        <w:rPr>
          <w:rtl w:val="0"/>
        </w:rPr>
      </w:r>
    </w:p>
    <w:p w:rsidR="00000000" w:rsidDel="00000000" w:rsidP="00000000" w:rsidRDefault="00000000" w:rsidRPr="00000000" w14:paraId="00000007">
      <w:pPr>
        <w:spacing w:after="80" w:before="0" w:lineRule="auto"/>
        <w:jc w:val="center"/>
        <w:rPr>
          <w:i w:val="1"/>
          <w:iCs w:val="1"/>
          <w:color w:val="555555"/>
        </w:rPr>
      </w:pPr>
      <w:r w:rsidDel="00000000" w:rsidR="00000000" w:rsidRPr="00000000">
        <w:rPr>
          <w:rtl w:val="0"/>
        </w:rPr>
      </w:r>
    </w:p>
    <w:p w:rsidR="00000000" w:rsidDel="00000000" w:rsidP="00000000" w:rsidRDefault="00000000" w:rsidRPr="00000000" w14:paraId="00000008">
      <w:pPr>
        <w:spacing w:after="80" w:before="0" w:lineRule="auto"/>
        <w:jc w:val="center"/>
        <w:rPr>
          <w:i w:val="1"/>
          <w:iCs w:val="1"/>
          <w:color w:val="555555"/>
        </w:rPr>
      </w:pPr>
      <w:r w:rsidDel="00000000" w:rsidR="00000000" w:rsidRPr="00000000">
        <w:rPr>
          <w:rtl w:val="0"/>
        </w:rPr>
      </w:r>
    </w:p>
    <w:p w:rsidR="00000000" w:rsidDel="00000000" w:rsidP="00000000" w:rsidRDefault="00000000" w:rsidRPr="00000000" w14:paraId="00000009">
      <w:pPr>
        <w:spacing w:after="80" w:before="0" w:lineRule="auto"/>
        <w:jc w:val="center"/>
        <w:rPr>
          <w:i w:val="1"/>
          <w:iCs w:val="1"/>
          <w:color w:val="555555"/>
        </w:rPr>
      </w:pPr>
      <w:r w:rsidDel="00000000" w:rsidR="00000000" w:rsidRPr="00000000">
        <w:rPr>
          <w:rtl w:val="0"/>
        </w:rPr>
      </w:r>
    </w:p>
    <w:p w:rsidR="00000000" w:rsidDel="00000000" w:rsidP="00000000" w:rsidRDefault="00000000" w:rsidRPr="00000000" w14:paraId="0000000A">
      <w:pPr>
        <w:spacing w:after="120" w:before="0" w:lineRule="auto"/>
        <w:jc w:val="center"/>
        <w:rPr/>
      </w:pPr>
      <w:r w:rsidDel="00000000" w:rsidR="00000000" w:rsidRPr="00000000">
        <w:rPr>
          <w:b w:val="1"/>
          <w:bCs w:val="1"/>
          <w:color w:val="1f5c99"/>
          <w:sz w:val="44"/>
          <w:szCs w:val="44"/>
          <w:rtl w:val="0"/>
        </w:rPr>
        <w:t xml:space="preserve">ANÁLISIS DE VARIABILIDAD HOSPITALARIA</w:t>
      </w:r>
      <w:r w:rsidDel="00000000" w:rsidR="00000000" w:rsidRPr="00000000">
        <w:rPr>
          <w:rtl w:val="0"/>
        </w:rPr>
      </w:r>
    </w:p>
    <w:p w:rsidR="00000000" w:rsidDel="00000000" w:rsidP="00000000" w:rsidRDefault="00000000" w:rsidRPr="00000000" w14:paraId="0000000B">
      <w:pPr>
        <w:spacing w:after="480" w:before="0" w:lineRule="auto"/>
        <w:jc w:val="center"/>
        <w:rPr/>
      </w:pPr>
      <w:r w:rsidDel="00000000" w:rsidR="00000000" w:rsidRPr="00000000">
        <w:rPr>
          <w:b w:val="1"/>
          <w:bCs w:val="1"/>
          <w:color w:val="2e75b6"/>
          <w:sz w:val="36"/>
          <w:szCs w:val="36"/>
          <w:rtl w:val="0"/>
        </w:rPr>
        <w:t xml:space="preserve">Egresos GRD Chile 2023</w:t>
      </w:r>
      <w:r w:rsidDel="00000000" w:rsidR="00000000" w:rsidRPr="00000000">
        <w:rPr>
          <w:rtl w:val="0"/>
        </w:rPr>
      </w:r>
    </w:p>
    <w:p w:rsidR="00000000" w:rsidDel="00000000" w:rsidP="00000000" w:rsidRDefault="00000000" w:rsidRPr="00000000" w14:paraId="0000000C">
      <w:pPr>
        <w:spacing w:after="80" w:before="0" w:lineRule="auto"/>
        <w:jc w:val="center"/>
        <w:rPr/>
      </w:pPr>
      <w:r w:rsidDel="00000000" w:rsidR="00000000" w:rsidRPr="00000000">
        <w:rPr>
          <w:i w:val="1"/>
          <w:iCs w:val="1"/>
          <w:sz w:val="24"/>
          <w:szCs w:val="24"/>
          <w:rtl w:val="0"/>
        </w:rPr>
        <w:t xml:space="preserve">Primer Avance de Proyecto</w:t>
      </w:r>
      <w:r w:rsidDel="00000000" w:rsidR="00000000" w:rsidRPr="00000000">
        <w:rPr>
          <w:rtl w:val="0"/>
        </w:rPr>
      </w:r>
    </w:p>
    <w:p w:rsidR="00000000" w:rsidDel="00000000" w:rsidP="00000000" w:rsidRDefault="00000000" w:rsidRPr="00000000" w14:paraId="0000000D">
      <w:pPr>
        <w:spacing w:after="80" w:before="80" w:lineRule="auto"/>
        <w:jc w:val="center"/>
        <w:rPr/>
      </w:pPr>
      <w:r w:rsidDel="00000000" w:rsidR="00000000" w:rsidRPr="00000000">
        <w:rPr>
          <w:rtl w:val="0"/>
        </w:rPr>
      </w:r>
    </w:p>
    <w:p w:rsidR="00000000" w:rsidDel="00000000" w:rsidP="00000000" w:rsidRDefault="00000000" w:rsidRPr="00000000" w14:paraId="0000000E">
      <w:pPr>
        <w:spacing w:after="80" w:before="80" w:lineRule="auto"/>
        <w:jc w:val="center"/>
        <w:rPr/>
      </w:pPr>
      <w:r w:rsidDel="00000000" w:rsidR="00000000" w:rsidRPr="00000000">
        <w:rPr>
          <w:rtl w:val="0"/>
        </w:rPr>
      </w:r>
    </w:p>
    <w:p w:rsidR="00000000" w:rsidDel="00000000" w:rsidP="00000000" w:rsidRDefault="00000000" w:rsidRPr="00000000" w14:paraId="0000000F">
      <w:pPr>
        <w:spacing w:after="80" w:before="80" w:lineRule="auto"/>
        <w:jc w:val="center"/>
        <w:rPr/>
      </w:pPr>
      <w:r w:rsidDel="00000000" w:rsidR="00000000" w:rsidRPr="00000000">
        <w:rPr>
          <w:rtl w:val="0"/>
        </w:rPr>
      </w:r>
    </w:p>
    <w:p w:rsidR="00000000" w:rsidDel="00000000" w:rsidP="00000000" w:rsidRDefault="00000000" w:rsidRPr="00000000" w14:paraId="00000010">
      <w:pPr>
        <w:spacing w:after="80" w:before="80" w:lineRule="auto"/>
        <w:jc w:val="center"/>
        <w:rPr/>
      </w:pPr>
      <w:r w:rsidDel="00000000" w:rsidR="00000000" w:rsidRPr="00000000">
        <w:rPr>
          <w:rtl w:val="0"/>
        </w:rPr>
      </w:r>
    </w:p>
    <w:p w:rsidR="00000000" w:rsidDel="00000000" w:rsidP="00000000" w:rsidRDefault="00000000" w:rsidRPr="00000000" w14:paraId="00000011">
      <w:pPr>
        <w:spacing w:after="80" w:before="80" w:lineRule="auto"/>
        <w:jc w:val="left"/>
        <w:rPr/>
      </w:pPr>
      <w:r w:rsidDel="00000000" w:rsidR="00000000" w:rsidRPr="00000000">
        <w:rPr>
          <w:rtl w:val="0"/>
        </w:rPr>
      </w:r>
    </w:p>
    <w:p w:rsidR="00000000" w:rsidDel="00000000" w:rsidP="00000000" w:rsidRDefault="00000000" w:rsidRPr="00000000" w14:paraId="00000012">
      <w:pPr>
        <w:spacing w:after="80" w:before="80" w:lineRule="auto"/>
        <w:jc w:val="center"/>
        <w:rPr/>
      </w:pPr>
      <w:r w:rsidDel="00000000" w:rsidR="00000000" w:rsidRPr="00000000">
        <w:rPr>
          <w:rtl w:val="0"/>
        </w:rPr>
      </w:r>
    </w:p>
    <w:p w:rsidR="00000000" w:rsidDel="00000000" w:rsidP="00000000" w:rsidRDefault="00000000" w:rsidRPr="00000000" w14:paraId="00000013">
      <w:pPr>
        <w:spacing w:after="80" w:before="80" w:lineRule="auto"/>
        <w:jc w:val="center"/>
        <w:rPr/>
      </w:pPr>
      <w:r w:rsidDel="00000000" w:rsidR="00000000" w:rsidRPr="00000000">
        <w:rPr>
          <w:rtl w:val="0"/>
        </w:rPr>
      </w:r>
    </w:p>
    <w:p w:rsidR="00000000" w:rsidDel="00000000" w:rsidP="00000000" w:rsidRDefault="00000000" w:rsidRPr="00000000" w14:paraId="00000014">
      <w:pPr>
        <w:spacing w:after="80" w:before="80" w:lineRule="auto"/>
        <w:jc w:val="left"/>
        <w:rPr/>
      </w:pPr>
      <w:r w:rsidDel="00000000" w:rsidR="00000000" w:rsidRPr="00000000">
        <w:rPr>
          <w:rtl w:val="0"/>
        </w:rPr>
      </w:r>
    </w:p>
    <w:p w:rsidR="00000000" w:rsidDel="00000000" w:rsidP="00000000" w:rsidRDefault="00000000" w:rsidRPr="00000000" w14:paraId="00000015">
      <w:pPr>
        <w:spacing w:after="80" w:before="80" w:lineRule="auto"/>
        <w:jc w:val="center"/>
        <w:rPr/>
      </w:pPr>
      <w:r w:rsidDel="00000000" w:rsidR="00000000" w:rsidRPr="00000000">
        <w:rPr>
          <w:rtl w:val="0"/>
        </w:rPr>
      </w:r>
    </w:p>
    <w:p w:rsidR="00000000" w:rsidDel="00000000" w:rsidP="00000000" w:rsidRDefault="00000000" w:rsidRPr="00000000" w14:paraId="00000016">
      <w:pPr>
        <w:spacing w:after="80" w:before="80" w:lineRule="auto"/>
        <w:jc w:val="center"/>
        <w:rPr/>
      </w:pPr>
      <w:r w:rsidDel="00000000" w:rsidR="00000000" w:rsidRPr="00000000">
        <w:rPr>
          <w:rtl w:val="0"/>
        </w:rPr>
      </w:r>
    </w:p>
    <w:p w:rsidR="00000000" w:rsidDel="00000000" w:rsidP="00000000" w:rsidRDefault="00000000" w:rsidRPr="00000000" w14:paraId="00000017">
      <w:pPr>
        <w:spacing w:after="80" w:before="80" w:lineRule="auto"/>
        <w:jc w:val="center"/>
        <w:rPr/>
      </w:pPr>
      <w:r w:rsidDel="00000000" w:rsidR="00000000" w:rsidRPr="00000000">
        <w:rPr>
          <w:rtl w:val="0"/>
        </w:rPr>
      </w:r>
    </w:p>
    <w:p w:rsidR="00000000" w:rsidDel="00000000" w:rsidP="00000000" w:rsidRDefault="00000000" w:rsidRPr="00000000" w14:paraId="00000018">
      <w:pPr>
        <w:spacing w:after="80" w:before="80" w:lineRule="auto"/>
        <w:jc w:val="center"/>
        <w:rPr/>
      </w:pPr>
      <w:r w:rsidDel="00000000" w:rsidR="00000000" w:rsidRPr="00000000">
        <w:rPr>
          <w:rtl w:val="0"/>
        </w:rPr>
      </w:r>
    </w:p>
    <w:p w:rsidR="00000000" w:rsidDel="00000000" w:rsidP="00000000" w:rsidRDefault="00000000" w:rsidRPr="00000000" w14:paraId="00000019">
      <w:pPr>
        <w:spacing w:after="80" w:before="80" w:lineRule="auto"/>
        <w:jc w:val="center"/>
        <w:rPr/>
      </w:pPr>
      <w:r w:rsidDel="00000000" w:rsidR="00000000" w:rsidRPr="00000000">
        <w:rPr>
          <w:rtl w:val="0"/>
        </w:rPr>
      </w:r>
    </w:p>
    <w:p w:rsidR="00000000" w:rsidDel="00000000" w:rsidP="00000000" w:rsidRDefault="00000000" w:rsidRPr="00000000" w14:paraId="0000001A">
      <w:pPr>
        <w:spacing w:after="80" w:before="80" w:lineRule="auto"/>
        <w:jc w:val="center"/>
        <w:rPr/>
      </w:pPr>
      <w:r w:rsidDel="00000000" w:rsidR="00000000" w:rsidRPr="00000000">
        <w:rPr>
          <w:b w:val="1"/>
          <w:bCs w:val="1"/>
          <w:sz w:val="24"/>
          <w:szCs w:val="24"/>
          <w:rtl w:val="0"/>
        </w:rPr>
        <w:t xml:space="preserve">Integrantes:  </w:t>
      </w:r>
      <w:r w:rsidDel="00000000" w:rsidR="00000000" w:rsidRPr="00000000">
        <w:rPr>
          <w:sz w:val="24"/>
          <w:szCs w:val="24"/>
          <w:rtl w:val="0"/>
        </w:rPr>
        <w:t xml:space="preserve">Camilo Bufadel y Renato Lenis</w:t>
      </w:r>
      <w:r w:rsidDel="00000000" w:rsidR="00000000" w:rsidRPr="00000000">
        <w:rPr>
          <w:rtl w:val="0"/>
        </w:rPr>
      </w:r>
    </w:p>
    <w:p w:rsidR="00000000" w:rsidDel="00000000" w:rsidP="00000000" w:rsidRDefault="00000000" w:rsidRPr="00000000" w14:paraId="0000001B">
      <w:pPr>
        <w:spacing w:after="80" w:before="80" w:lineRule="auto"/>
        <w:jc w:val="center"/>
        <w:rPr/>
      </w:pPr>
      <w:r w:rsidDel="00000000" w:rsidR="00000000" w:rsidRPr="00000000">
        <w:rPr>
          <w:b w:val="1"/>
          <w:bCs w:val="1"/>
          <w:sz w:val="24"/>
          <w:szCs w:val="24"/>
          <w:rtl w:val="0"/>
        </w:rPr>
        <w:t xml:space="preserve">Asignatura:  </w:t>
      </w:r>
      <w:r w:rsidDel="00000000" w:rsidR="00000000" w:rsidRPr="00000000">
        <w:rPr>
          <w:sz w:val="24"/>
          <w:szCs w:val="24"/>
          <w:rtl w:val="0"/>
        </w:rPr>
        <w:t xml:space="preserve">Análisis de Datos e Inferencia Estadística</w:t>
      </w:r>
      <w:r w:rsidDel="00000000" w:rsidR="00000000" w:rsidRPr="00000000">
        <w:rPr>
          <w:rtl w:val="0"/>
        </w:rPr>
      </w:r>
    </w:p>
    <w:p w:rsidR="00000000" w:rsidDel="00000000" w:rsidP="00000000" w:rsidRDefault="00000000" w:rsidRPr="00000000" w14:paraId="0000001C">
      <w:pPr>
        <w:spacing w:after="80" w:before="80" w:lineRule="auto"/>
        <w:jc w:val="center"/>
        <w:rPr/>
      </w:pPr>
      <w:r w:rsidDel="00000000" w:rsidR="00000000" w:rsidRPr="00000000">
        <w:rPr>
          <w:b w:val="1"/>
          <w:bCs w:val="1"/>
          <w:sz w:val="24"/>
          <w:szCs w:val="24"/>
          <w:rtl w:val="0"/>
        </w:rPr>
        <w:t xml:space="preserve">Docente:  </w:t>
      </w:r>
      <w:r w:rsidDel="00000000" w:rsidR="00000000" w:rsidRPr="00000000">
        <w:rPr>
          <w:sz w:val="24"/>
          <w:szCs w:val="24"/>
          <w:rtl w:val="0"/>
        </w:rPr>
        <w:t xml:space="preserve">Cristian García</w:t>
      </w:r>
      <w:r w:rsidDel="00000000" w:rsidR="00000000" w:rsidRPr="00000000">
        <w:rPr>
          <w:rtl w:val="0"/>
        </w:rPr>
      </w:r>
    </w:p>
    <w:p w:rsidR="00000000" w:rsidDel="00000000" w:rsidP="00000000" w:rsidRDefault="00000000" w:rsidRPr="00000000" w14:paraId="0000001D">
      <w:pPr>
        <w:spacing w:after="80" w:before="80" w:lineRule="auto"/>
        <w:jc w:val="center"/>
        <w:rPr/>
      </w:pPr>
      <w:r w:rsidDel="00000000" w:rsidR="00000000" w:rsidRPr="00000000">
        <w:rPr>
          <w:b w:val="1"/>
          <w:bCs w:val="1"/>
          <w:sz w:val="24"/>
          <w:szCs w:val="24"/>
          <w:rtl w:val="0"/>
        </w:rPr>
        <w:t xml:space="preserve">Ayudante:  </w:t>
      </w:r>
      <w:r w:rsidDel="00000000" w:rsidR="00000000" w:rsidRPr="00000000">
        <w:rPr>
          <w:sz w:val="24"/>
          <w:szCs w:val="24"/>
          <w:rtl w:val="0"/>
        </w:rPr>
        <w:t xml:space="preserve">Benjamín Bennet</w:t>
      </w:r>
      <w:r w:rsidDel="00000000" w:rsidR="00000000" w:rsidRPr="00000000">
        <w:rPr>
          <w:rtl w:val="0"/>
        </w:rPr>
      </w:r>
    </w:p>
    <w:p w:rsidR="00000000" w:rsidDel="00000000" w:rsidP="00000000" w:rsidRDefault="00000000" w:rsidRPr="00000000" w14:paraId="0000001E">
      <w:pPr>
        <w:spacing w:after="80" w:before="80" w:lineRule="auto"/>
        <w:jc w:val="center"/>
        <w:rPr/>
      </w:pPr>
      <w:r w:rsidDel="00000000" w:rsidR="00000000" w:rsidRPr="00000000">
        <w:rPr>
          <w:b w:val="1"/>
          <w:bCs w:val="1"/>
          <w:sz w:val="24"/>
          <w:szCs w:val="24"/>
          <w:rtl w:val="0"/>
        </w:rPr>
        <w:t xml:space="preserve">Fecha:  </w:t>
      </w:r>
      <w:r w:rsidDel="00000000" w:rsidR="00000000" w:rsidRPr="00000000">
        <w:rPr>
          <w:sz w:val="24"/>
          <w:szCs w:val="24"/>
          <w:rtl w:val="0"/>
        </w:rPr>
        <w:t xml:space="preserve">Abril 2026</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180" w:before="360" w:lineRule="auto"/>
        <w:rPr/>
      </w:pPr>
      <w:r w:rsidDel="00000000" w:rsidR="00000000" w:rsidRPr="00000000">
        <w:rPr>
          <w:b w:val="1"/>
          <w:bCs w:val="1"/>
          <w:color w:val="1f5c99"/>
          <w:sz w:val="32"/>
          <w:szCs w:val="32"/>
          <w:rtl w:val="0"/>
        </w:rPr>
        <w:t xml:space="preserve">1. Introducción y Preguntas de Investigación</w:t>
      </w:r>
      <w:r w:rsidDel="00000000" w:rsidR="00000000" w:rsidRPr="00000000">
        <w:rPr>
          <w:rtl w:val="0"/>
        </w:rPr>
      </w:r>
    </w:p>
    <w:p w:rsidR="00000000" w:rsidDel="00000000" w:rsidP="00000000" w:rsidRDefault="00000000" w:rsidRPr="00000000" w14:paraId="00000021">
      <w:pPr>
        <w:pStyle w:val="Heading2"/>
        <w:spacing w:after="120" w:before="240" w:lineRule="auto"/>
        <w:rPr/>
      </w:pPr>
      <w:r w:rsidDel="00000000" w:rsidR="00000000" w:rsidRPr="00000000">
        <w:rPr>
          <w:b w:val="1"/>
          <w:bCs w:val="1"/>
          <w:color w:val="2e75b6"/>
          <w:sz w:val="26"/>
          <w:szCs w:val="26"/>
          <w:rtl w:val="0"/>
        </w:rPr>
        <w:t xml:space="preserve">1.1 Contexto General del Dataset</w:t>
      </w:r>
      <w:r w:rsidDel="00000000" w:rsidR="00000000" w:rsidRPr="00000000">
        <w:rPr>
          <w:rtl w:val="0"/>
        </w:rPr>
      </w:r>
    </w:p>
    <w:p w:rsidR="00000000" w:rsidDel="00000000" w:rsidP="00000000" w:rsidRDefault="00000000" w:rsidRPr="00000000" w14:paraId="00000022">
      <w:pPr>
        <w:spacing w:after="80" w:before="80" w:lineRule="auto"/>
        <w:jc w:val="both"/>
        <w:rPr/>
      </w:pPr>
      <w:r w:rsidDel="00000000" w:rsidR="00000000" w:rsidRPr="00000000">
        <w:rPr>
          <w:sz w:val="22"/>
          <w:szCs w:val="22"/>
          <w:rtl w:val="0"/>
        </w:rPr>
        <w:t xml:space="preserve">El sistema de salud chileno opera bajo un esquema de financiamiento mixto en el que el Fondo Nacional de Salud (FONASA) cubre aproximadamente al 79% de la población. Dentro de este sistema, la medición del desempeño hospitalario resulta fundamental para garantizar la equidad y la calidad de la atención médica (Ministerio de Salud de Chile, 2023).</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tl w:val="0"/>
        </w:rPr>
      </w:r>
    </w:p>
    <w:p w:rsidR="00000000" w:rsidDel="00000000" w:rsidP="00000000" w:rsidRDefault="00000000" w:rsidRPr="00000000" w14:paraId="00000024">
      <w:pPr>
        <w:spacing w:after="80" w:before="80" w:lineRule="auto"/>
        <w:jc w:val="both"/>
        <w:rPr/>
      </w:pPr>
      <w:r w:rsidDel="00000000" w:rsidR="00000000" w:rsidRPr="00000000">
        <w:rPr>
          <w:sz w:val="22"/>
          <w:szCs w:val="22"/>
          <w:rtl w:val="0"/>
        </w:rPr>
        <w:t xml:space="preserve">Los Grupos Relacionados por el Diagnóstico (GRD) constituyen el principal sistema de clasificación de egresos hospitalarios utilizado por el MINSAL. Este sistema permite agrupar hospitalizaciones con características clínicas y de consumo de recursos similares, facilitando la comparación inter-hospitalaria (Fetter et al., 1980; MINSAL, 2020).</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tl w:val="0"/>
        </w:rPr>
      </w:r>
    </w:p>
    <w:p w:rsidR="00000000" w:rsidDel="00000000" w:rsidP="00000000" w:rsidRDefault="00000000" w:rsidRPr="00000000" w14:paraId="00000026">
      <w:pPr>
        <w:spacing w:after="80" w:before="80" w:lineRule="auto"/>
        <w:jc w:val="both"/>
        <w:rPr/>
      </w:pPr>
      <w:r w:rsidDel="00000000" w:rsidR="00000000" w:rsidRPr="00000000">
        <w:rPr>
          <w:sz w:val="22"/>
          <w:szCs w:val="22"/>
          <w:rtl w:val="0"/>
        </w:rPr>
        <w:t xml:space="preserve">La variabilidad en la práctica clínica es un fenómeno ampliamente documentado en la literatura internacional. Los estudios pioneros de Wennberg y Gittelsohn (1973) demostraron que pacientes con condiciones similares reciben tratamientos distintos según el hospital donde se atiendan, evidenciando que parte de esa variabilidad no obedece a diferencias en el perfil clínico del paciente, sino a factores institucionales y organizativos. Trabajos posteriores, como los de Iezzoni (2013), perfeccionaron los métodos de ajuste por riesgo para distinguir la variabilidad “justificada” —atribuible al casemix— de la variabilidad “no explicada”, que puede constituir un indicador de ineficiencia o inequidad asistencial. En el ámbito de sistemas de salud, la OCDE (2019) ha subrayado que la medición estandarizada del desempeño hospitalario mediante indicadores ajustados por casemix —como la Razón Estandarizada de Mortalidad (SMR)— es práctica estándar en los países con sistemas de salud más avanzados. Pei ró y Meneu (2013) profundizaron en las implicaciones de la variabilidad para la gestión sanitaria, argumentando que su cuantificación es condición necesaria para el diseño de políticas de benchmarking efectivas.</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tl w:val="0"/>
        </w:rPr>
      </w:r>
    </w:p>
    <w:p w:rsidR="00000000" w:rsidDel="00000000" w:rsidP="00000000" w:rsidRDefault="00000000" w:rsidRPr="00000000" w14:paraId="00000028">
      <w:pPr>
        <w:spacing w:after="80" w:before="80" w:lineRule="auto"/>
        <w:jc w:val="both"/>
        <w:rPr/>
      </w:pPr>
      <w:r w:rsidDel="00000000" w:rsidR="00000000" w:rsidRPr="00000000">
        <w:rPr>
          <w:sz w:val="22"/>
          <w:szCs w:val="22"/>
          <w:rtl w:val="0"/>
        </w:rPr>
        <w:t xml:space="preserve">Sin embargo, a pesar de la riqueza de este marco teórico, en el contexto chileno existe escasa evidencia aplicada sobre variabilidad hospitalaria ajustada por casemix utilizando datos GRD a nivel nacional. La mayoría de los estudios disponibles en Chile se limitan a estadísticas descriptivas agregadas, sin aplicar métodos de ajuste por riesgo ni descomponer la variabilidad observada en sus componentes explicados e inexplicados. Este vacío constituye el principal aporte de la presente investigación: aplicar metodologías estandarizadas internacionalmente —ampliamente usadas en Europa y Norteamérica— al dataset de egresos GRD 2023 del sistema FONASA, generando evidencia actionable para el benchmarking hospitalario en Chile.</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tl w:val="0"/>
        </w:rPr>
      </w:r>
    </w:p>
    <w:p w:rsidR="00000000" w:rsidDel="00000000" w:rsidP="00000000" w:rsidRDefault="00000000" w:rsidRPr="00000000" w14:paraId="0000002A">
      <w:pPr>
        <w:spacing w:after="80" w:before="80" w:lineRule="auto"/>
        <w:jc w:val="both"/>
        <w:rPr/>
      </w:pPr>
      <w:r w:rsidDel="00000000" w:rsidR="00000000" w:rsidRPr="00000000">
        <w:rPr>
          <w:sz w:val="22"/>
          <w:szCs w:val="22"/>
          <w:rtl w:val="0"/>
        </w:rPr>
        <w:t xml:space="preserve">En Chile, el dataset de egresos GRD 2023 comprende aproximadamente 1,04 millones de registros de hospitalizaciones del sistema FONASA (FONASA, 2023), lo que garantiza potencia estadística suficiente para los análisis propuestos. Averill et al. (2003) describieron la metodología All Patient Refined DRGs (APR-DRGs), que sirve de base conceptual para la clasificación de severidad utilizada en este dataset.</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tl w:val="0"/>
        </w:rPr>
      </w:r>
    </w:p>
    <w:p w:rsidR="00000000" w:rsidDel="00000000" w:rsidP="00000000" w:rsidRDefault="00000000" w:rsidRPr="00000000" w14:paraId="0000002C">
      <w:pPr>
        <w:pStyle w:val="Heading2"/>
        <w:spacing w:after="120" w:before="240" w:lineRule="auto"/>
        <w:rPr/>
      </w:pPr>
      <w:r w:rsidDel="00000000" w:rsidR="00000000" w:rsidRPr="00000000">
        <w:rPr>
          <w:b w:val="1"/>
          <w:bCs w:val="1"/>
          <w:color w:val="2e75b6"/>
          <w:sz w:val="26"/>
          <w:szCs w:val="26"/>
          <w:rtl w:val="0"/>
        </w:rPr>
        <w:t xml:space="preserve">1.2 Pregunta de Investigación Final</w:t>
      </w:r>
      <w:r w:rsidDel="00000000" w:rsidR="00000000" w:rsidRPr="00000000">
        <w:rPr>
          <w:rtl w:val="0"/>
        </w:rPr>
      </w:r>
    </w:p>
    <w:p w:rsidR="00000000" w:rsidDel="00000000" w:rsidP="00000000" w:rsidRDefault="00000000" w:rsidRPr="00000000" w14:paraId="0000002D">
      <w:pPr>
        <w:pBdr>
          <w:left w:color="1f5c99" w:space="12" w:sz="12" w:val="single"/>
        </w:pBdr>
        <w:spacing w:after="160" w:before="160" w:lineRule="auto"/>
        <w:ind w:left="360" w:firstLine="0"/>
        <w:jc w:val="both"/>
        <w:rPr/>
      </w:pPr>
      <w:r w:rsidDel="00000000" w:rsidR="00000000" w:rsidRPr="00000000">
        <w:rPr>
          <w:b w:val="1"/>
          <w:bCs w:val="1"/>
          <w:i w:val="1"/>
          <w:iCs w:val="1"/>
          <w:color w:val="1f5c99"/>
          <w:sz w:val="24"/>
          <w:szCs w:val="24"/>
          <w:rtl w:val="0"/>
        </w:rPr>
        <w:t xml:space="preserve">¿Existe variabilidad hospitalaria no explicada por el perfil clínico del paciente en los indicadores de estancia, eficiencia y mortalidad de los hospitales del sistema FONASA durante el año 2023?</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tl w:val="0"/>
        </w:rPr>
      </w:r>
    </w:p>
    <w:p w:rsidR="00000000" w:rsidDel="00000000" w:rsidP="00000000" w:rsidRDefault="00000000" w:rsidRPr="00000000" w14:paraId="0000002F">
      <w:pPr>
        <w:pStyle w:val="Heading2"/>
        <w:spacing w:after="120" w:before="240" w:lineRule="auto"/>
        <w:rPr/>
      </w:pPr>
      <w:r w:rsidDel="00000000" w:rsidR="00000000" w:rsidRPr="00000000">
        <w:rPr>
          <w:b w:val="1"/>
          <w:bCs w:val="1"/>
          <w:color w:val="2e75b6"/>
          <w:sz w:val="26"/>
          <w:szCs w:val="26"/>
          <w:rtl w:val="0"/>
        </w:rPr>
        <w:t xml:space="preserve">1.3 Justificación</w:t>
      </w:r>
      <w:r w:rsidDel="00000000" w:rsidR="00000000" w:rsidRPr="00000000">
        <w:rPr>
          <w:rtl w:val="0"/>
        </w:rPr>
      </w:r>
    </w:p>
    <w:p w:rsidR="00000000" w:rsidDel="00000000" w:rsidP="00000000" w:rsidRDefault="00000000" w:rsidRPr="00000000" w14:paraId="00000030">
      <w:pPr>
        <w:pStyle w:val="Heading3"/>
        <w:spacing w:after="80" w:before="180" w:lineRule="auto"/>
        <w:rPr/>
      </w:pPr>
      <w:r w:rsidDel="00000000" w:rsidR="00000000" w:rsidRPr="00000000">
        <w:rPr>
          <w:b w:val="1"/>
          <w:bCs w:val="1"/>
          <w:color w:val="333333"/>
          <w:sz w:val="22"/>
          <w:szCs w:val="22"/>
          <w:rtl w:val="0"/>
        </w:rPr>
        <w:t xml:space="preserve">Relevancia</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FONASA atiende a más de 14 millones de personas. Identificar variabilidad injustificada orienta políticas que mejoren la equidad.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variabilidad no explicada en estancia y mortalidad representa un problema de calidad asistencial y eficiencia en el uso de recursos públicos.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hallazgos contribuyen al diseño de mecanismos de benchmarking hospitalario con ajuste por casemix, metodología ine xistente en la práctica chilena.</w:t>
      </w:r>
    </w:p>
    <w:p w:rsidR="00000000" w:rsidDel="00000000" w:rsidP="00000000" w:rsidRDefault="00000000" w:rsidRPr="00000000" w14:paraId="00000034">
      <w:pPr>
        <w:spacing w:after="80" w:before="80" w:lineRule="auto"/>
        <w:rPr/>
      </w:pPr>
      <w:r w:rsidDel="00000000" w:rsidR="00000000" w:rsidRPr="00000000">
        <w:rPr>
          <w:rtl w:val="0"/>
        </w:rPr>
      </w:r>
    </w:p>
    <w:p w:rsidR="00000000" w:rsidDel="00000000" w:rsidP="00000000" w:rsidRDefault="00000000" w:rsidRPr="00000000" w14:paraId="00000035">
      <w:pPr>
        <w:pStyle w:val="Heading3"/>
        <w:spacing w:after="80" w:before="180" w:lineRule="auto"/>
        <w:rPr/>
      </w:pPr>
      <w:r w:rsidDel="00000000" w:rsidR="00000000" w:rsidRPr="00000000">
        <w:rPr>
          <w:b w:val="1"/>
          <w:bCs w:val="1"/>
          <w:color w:val="333333"/>
          <w:sz w:val="22"/>
          <w:szCs w:val="22"/>
          <w:rtl w:val="0"/>
        </w:rPr>
        <w:t xml:space="preserve">Factibilidad</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dataset GRD 2023 es de acceso público (MINSAL) y contiene variables suficientes para el análisis propuesto.</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técnicas estadísticas (regresión lineal, estandarización directa, SMR) son estándar y ejecutables con Python/pandas.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tamaño muestral (~1,04 M registros, 68 hospitales) garantiza potencia estadística adecuada.</w:t>
      </w:r>
    </w:p>
    <w:p w:rsidR="00000000" w:rsidDel="00000000" w:rsidP="00000000" w:rsidRDefault="00000000" w:rsidRPr="00000000" w14:paraId="00000039">
      <w:pPr>
        <w:spacing w:after="80" w:before="80" w:lineRule="auto"/>
        <w:rPr/>
      </w:pPr>
      <w:r w:rsidDel="00000000" w:rsidR="00000000" w:rsidRPr="00000000">
        <w:rPr>
          <w:rtl w:val="0"/>
        </w:rPr>
      </w:r>
    </w:p>
    <w:p w:rsidR="00000000" w:rsidDel="00000000" w:rsidP="00000000" w:rsidRDefault="00000000" w:rsidRPr="00000000" w14:paraId="0000003A">
      <w:pPr>
        <w:pStyle w:val="Heading2"/>
        <w:spacing w:after="120" w:before="240" w:lineRule="auto"/>
        <w:rPr/>
      </w:pPr>
      <w:r w:rsidDel="00000000" w:rsidR="00000000" w:rsidRPr="00000000">
        <w:rPr>
          <w:b w:val="1"/>
          <w:bCs w:val="1"/>
          <w:color w:val="2e75b6"/>
          <w:sz w:val="26"/>
          <w:szCs w:val="26"/>
          <w:rtl w:val="0"/>
        </w:rPr>
        <w:t xml:space="preserve">1.4 Relación con los Objetivos del Curso</w:t>
      </w:r>
      <w:r w:rsidDel="00000000" w:rsidR="00000000" w:rsidRPr="00000000">
        <w:rPr>
          <w:rtl w:val="0"/>
        </w:rPr>
      </w:r>
    </w:p>
    <w:p w:rsidR="00000000" w:rsidDel="00000000" w:rsidP="00000000" w:rsidRDefault="00000000" w:rsidRPr="00000000" w14:paraId="0000003B">
      <w:pPr>
        <w:spacing w:after="80" w:before="80" w:lineRule="auto"/>
        <w:jc w:val="both"/>
        <w:rPr/>
      </w:pPr>
      <w:r w:rsidDel="00000000" w:rsidR="00000000" w:rsidRPr="00000000">
        <w:rPr>
          <w:sz w:val="22"/>
          <w:szCs w:val="22"/>
          <w:rtl w:val="0"/>
        </w:rPr>
        <w:t xml:space="preserve">Este proyecto integra las etapas completas del ciclo de análisis de datos: carga y limpieza de grandes volúmenes, análisis exploratorio, modelamiento estadístico, visualización efectiva e interpretación de resultados con impacto en políticas públicas de salud, alineándose directamente con los objetivos del curso.</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spacing w:after="180" w:before="360" w:lineRule="auto"/>
        <w:rPr/>
      </w:pPr>
      <w:r w:rsidDel="00000000" w:rsidR="00000000" w:rsidRPr="00000000">
        <w:rPr>
          <w:b w:val="1"/>
          <w:bCs w:val="1"/>
          <w:color w:val="1f5c99"/>
          <w:sz w:val="32"/>
          <w:szCs w:val="32"/>
          <w:rtl w:val="0"/>
        </w:rPr>
        <w:t xml:space="preserve">2. Descripción de los Datos y Glosario</w:t>
      </w:r>
      <w:r w:rsidDel="00000000" w:rsidR="00000000" w:rsidRPr="00000000">
        <w:rPr>
          <w:rtl w:val="0"/>
        </w:rPr>
      </w:r>
    </w:p>
    <w:p w:rsidR="00000000" w:rsidDel="00000000" w:rsidP="00000000" w:rsidRDefault="00000000" w:rsidRPr="00000000" w14:paraId="0000003E">
      <w:pPr>
        <w:pStyle w:val="Heading2"/>
        <w:spacing w:after="120" w:before="240" w:lineRule="auto"/>
        <w:rPr/>
      </w:pPr>
      <w:r w:rsidDel="00000000" w:rsidR="00000000" w:rsidRPr="00000000">
        <w:rPr>
          <w:b w:val="1"/>
          <w:bCs w:val="1"/>
          <w:color w:val="2e75b6"/>
          <w:sz w:val="26"/>
          <w:szCs w:val="26"/>
          <w:rtl w:val="0"/>
        </w:rPr>
        <w:t xml:space="preserve">2.1 Origen del Dataset</w:t>
      </w:r>
      <w:r w:rsidDel="00000000" w:rsidR="00000000" w:rsidRPr="00000000">
        <w:rPr>
          <w:rtl w:val="0"/>
        </w:rPr>
      </w:r>
    </w:p>
    <w:p w:rsidR="00000000" w:rsidDel="00000000" w:rsidP="00000000" w:rsidRDefault="00000000" w:rsidRPr="00000000" w14:paraId="0000003F">
      <w:pPr>
        <w:spacing w:after="80" w:before="80" w:lineRule="auto"/>
        <w:jc w:val="both"/>
        <w:rPr/>
      </w:pPr>
      <w:r w:rsidDel="00000000" w:rsidR="00000000" w:rsidRPr="00000000">
        <w:rPr>
          <w:sz w:val="22"/>
          <w:szCs w:val="22"/>
          <w:rtl w:val="0"/>
        </w:rPr>
        <w:t xml:space="preserve">El dataset proviene del sistema de codificación de egresos hospitalarios GRD del Ministerio de Salud de Chile (MINSAL) y FONASA, correspondiente al año 2023. Los datos se obtuvieron de los archivos públicos del MINSAL e incluyen cuatro tablas relacionadas: </w:t>
      </w:r>
      <w:r w:rsidDel="00000000" w:rsidR="00000000" w:rsidRPr="00000000">
        <w:rPr>
          <w:b w:val="1"/>
          <w:bCs w:val="1"/>
          <w:sz w:val="22"/>
          <w:szCs w:val="22"/>
          <w:rtl w:val="0"/>
        </w:rPr>
        <w:t xml:space="preserve">GRD_2023_muestra.csv</w:t>
      </w:r>
      <w:r w:rsidDel="00000000" w:rsidR="00000000" w:rsidRPr="00000000">
        <w:rPr>
          <w:sz w:val="22"/>
          <w:szCs w:val="22"/>
          <w:rtl w:val="0"/>
        </w:rPr>
        <w:t xml:space="preserve"> (registro principal, ~1,04 M de filas), </w:t>
      </w:r>
      <w:r w:rsidDel="00000000" w:rsidR="00000000" w:rsidRPr="00000000">
        <w:rPr>
          <w:b w:val="1"/>
          <w:bCs w:val="1"/>
          <w:sz w:val="22"/>
          <w:szCs w:val="22"/>
          <w:rtl w:val="0"/>
        </w:rPr>
        <w:t xml:space="preserve">Hospitales.csv</w:t>
      </w:r>
      <w:r w:rsidDel="00000000" w:rsidR="00000000" w:rsidRPr="00000000">
        <w:rPr>
          <w:sz w:val="22"/>
          <w:szCs w:val="22"/>
          <w:rtl w:val="0"/>
        </w:rPr>
        <w:t xml:space="preserve"> (tabla maestra de establecimientos), </w:t>
      </w:r>
      <w:r w:rsidDel="00000000" w:rsidR="00000000" w:rsidRPr="00000000">
        <w:rPr>
          <w:b w:val="1"/>
          <w:bCs w:val="1"/>
          <w:sz w:val="22"/>
          <w:szCs w:val="22"/>
          <w:rtl w:val="0"/>
        </w:rPr>
        <w:t xml:space="preserve">IR-GRD.csv</w:t>
      </w:r>
      <w:r w:rsidDel="00000000" w:rsidR="00000000" w:rsidRPr="00000000">
        <w:rPr>
          <w:sz w:val="22"/>
          <w:szCs w:val="22"/>
          <w:rtl w:val="0"/>
        </w:rPr>
        <w:t xml:space="preserve"> (nomenclador de grupos diagnósticos) y </w:t>
      </w:r>
      <w:r w:rsidDel="00000000" w:rsidR="00000000" w:rsidRPr="00000000">
        <w:rPr>
          <w:b w:val="1"/>
          <w:bCs w:val="1"/>
          <w:sz w:val="22"/>
          <w:szCs w:val="22"/>
          <w:rtl w:val="0"/>
        </w:rPr>
        <w:t xml:space="preserve">Severidad.csv</w:t>
      </w:r>
      <w:r w:rsidDel="00000000" w:rsidR="00000000" w:rsidRPr="00000000">
        <w:rPr>
          <w:sz w:val="22"/>
          <w:szCs w:val="22"/>
          <w:rtl w:val="0"/>
        </w:rPr>
        <w:t xml:space="preserve"> (niveles de complejidad clínica).</w:t>
      </w: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tl w:val="0"/>
        </w:rPr>
      </w:r>
    </w:p>
    <w:p w:rsidR="00000000" w:rsidDel="00000000" w:rsidP="00000000" w:rsidRDefault="00000000" w:rsidRPr="00000000" w14:paraId="00000041">
      <w:pPr>
        <w:pStyle w:val="Heading2"/>
        <w:spacing w:after="120" w:before="240" w:lineRule="auto"/>
        <w:rPr/>
      </w:pPr>
      <w:r w:rsidDel="00000000" w:rsidR="00000000" w:rsidRPr="00000000">
        <w:rPr>
          <w:b w:val="1"/>
          <w:bCs w:val="1"/>
          <w:color w:val="2e75b6"/>
          <w:sz w:val="26"/>
          <w:szCs w:val="26"/>
          <w:rtl w:val="0"/>
        </w:rPr>
        <w:t xml:space="preserve">2.2 Tamaño del Dataset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42">
            <w:pPr>
              <w:jc w:val="center"/>
              <w:rPr/>
            </w:pPr>
            <w:r w:rsidDel="00000000" w:rsidR="00000000" w:rsidRPr="00000000">
              <w:rPr>
                <w:b w:val="1"/>
                <w:bCs w:val="1"/>
                <w:color w:val="ffffff"/>
                <w:sz w:val="20"/>
                <w:szCs w:val="20"/>
                <w:rtl w:val="0"/>
              </w:rPr>
              <w:t xml:space="preserve">Característica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43">
            <w:pPr>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b w:val="1"/>
                <w:bCs w:val="1"/>
                <w:sz w:val="20"/>
                <w:szCs w:val="20"/>
                <w:rtl w:val="0"/>
              </w:rPr>
              <w:t xml:space="preserve">Total de registros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b w:val="0"/>
                <w:bCs w:val="0"/>
                <w:sz w:val="20"/>
                <w:szCs w:val="20"/>
                <w:rtl w:val="0"/>
              </w:rPr>
              <w:t xml:space="preserve">~1.040.000 egresos hospitalarios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b w:val="1"/>
                <w:bCs w:val="1"/>
                <w:sz w:val="20"/>
                <w:szCs w:val="20"/>
                <w:rtl w:val="0"/>
              </w:rPr>
              <w:t xml:space="preserve">Período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b w:val="0"/>
                <w:bCs w:val="0"/>
                <w:sz w:val="20"/>
                <w:szCs w:val="20"/>
                <w:rtl w:val="0"/>
              </w:rPr>
              <w:t xml:space="preserve">Enero – Diciembre 2023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48">
            <w:pPr>
              <w:jc w:val="left"/>
              <w:rPr/>
            </w:pPr>
            <w:sdt>
              <w:sdtPr>
                <w:id w:val="-490855933"/>
                <w:tag w:val="goog_rdk_0"/>
              </w:sdtPr>
              <w:sdtContent>
                <w:r w:rsidDel="00000000" w:rsidR="00000000" w:rsidRPr="00000000">
                  <w:rPr>
                    <w:rFonts w:ascii="Arial Unicode MS" w:cs="Arial Unicode MS" w:eastAsia="Arial Unicode MS" w:hAnsi="Arial Unicode MS"/>
                    <w:b w:val="1"/>
                    <w:bCs w:val="1"/>
                    <w:sz w:val="20"/>
                    <w:szCs w:val="20"/>
                    <w:rtl w:val="0"/>
                  </w:rPr>
                  <w:t xml:space="preserve">Hospitales con ≥500 egresos</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b w:val="0"/>
                <w:bCs w:val="0"/>
                <w:sz w:val="20"/>
                <w:szCs w:val="20"/>
                <w:rtl w:val="0"/>
              </w:rPr>
              <w:t xml:space="preserve">~68 establecimientos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b w:val="1"/>
                <w:bCs w:val="1"/>
                <w:sz w:val="20"/>
                <w:szCs w:val="20"/>
                <w:rtl w:val="0"/>
              </w:rPr>
              <w:t xml:space="preserve">Hospitales en análisis SMR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jc w:val="left"/>
              <w:rPr/>
            </w:pPr>
            <w:sdt>
              <w:sdtPr>
                <w:id w:val="-1774640236"/>
                <w:tag w:val="goog_rdk_1"/>
              </w:sdtPr>
              <w:sdtContent>
                <w:r w:rsidDel="00000000" w:rsidR="00000000" w:rsidRPr="00000000">
                  <w:rPr>
                    <w:rFonts w:ascii="Arial Unicode MS" w:cs="Arial Unicode MS" w:eastAsia="Arial Unicode MS" w:hAnsi="Arial Unicode MS"/>
                    <w:b w:val="0"/>
                    <w:bCs w:val="0"/>
                    <w:sz w:val="20"/>
                    <w:szCs w:val="20"/>
                    <w:rtl w:val="0"/>
                  </w:rPr>
                  <w:t xml:space="preserve">~40 establecimientos (≥1.000 egresos)</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b w:val="1"/>
                <w:bCs w:val="1"/>
                <w:sz w:val="20"/>
                <w:szCs w:val="20"/>
                <w:rtl w:val="0"/>
              </w:rPr>
              <w:t xml:space="preserve">Variables principales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b w:val="0"/>
                <w:bCs w:val="0"/>
                <w:sz w:val="20"/>
                <w:szCs w:val="20"/>
                <w:rtl w:val="0"/>
              </w:rPr>
              <w:t xml:space="preserve">Estancia, severidad, peso GRD, tipo de alta, diagnóstico, edad, sexo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b w:val="1"/>
                <w:bCs w:val="1"/>
                <w:sz w:val="20"/>
                <w:szCs w:val="20"/>
                <w:rtl w:val="0"/>
              </w:rPr>
              <w:t xml:space="preserve">Cobertura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b w:val="0"/>
                <w:bCs w:val="0"/>
                <w:sz w:val="20"/>
                <w:szCs w:val="20"/>
                <w:rtl w:val="0"/>
              </w:rPr>
              <w:t xml:space="preserve">Sistema FONASA — hospitales públicos de Chile</w:t>
            </w:r>
            <w:r w:rsidDel="00000000" w:rsidR="00000000" w:rsidRPr="00000000">
              <w:rPr>
                <w:rtl w:val="0"/>
              </w:rPr>
            </w:r>
          </w:p>
        </w:tc>
      </w:tr>
    </w:tbl>
    <w:p w:rsidR="00000000" w:rsidDel="00000000" w:rsidP="00000000" w:rsidRDefault="00000000" w:rsidRPr="00000000" w14:paraId="00000050">
      <w:pPr>
        <w:spacing w:after="80" w:before="80" w:lineRule="auto"/>
        <w:rPr/>
      </w:pPr>
      <w:r w:rsidDel="00000000" w:rsidR="00000000" w:rsidRPr="00000000">
        <w:rPr>
          <w:rtl w:val="0"/>
        </w:rPr>
      </w:r>
    </w:p>
    <w:p w:rsidR="00000000" w:rsidDel="00000000" w:rsidP="00000000" w:rsidRDefault="00000000" w:rsidRPr="00000000" w14:paraId="00000051">
      <w:pPr>
        <w:pStyle w:val="Heading2"/>
        <w:spacing w:after="120" w:before="240" w:lineRule="auto"/>
        <w:rPr/>
      </w:pPr>
      <w:r w:rsidDel="00000000" w:rsidR="00000000" w:rsidRPr="00000000">
        <w:rPr>
          <w:b w:val="1"/>
          <w:bCs w:val="1"/>
          <w:color w:val="2e75b6"/>
          <w:sz w:val="26"/>
          <w:szCs w:val="26"/>
          <w:rtl w:val="0"/>
        </w:rPr>
        <w:t xml:space="preserve">2.3 Variables Relevantes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1600"/>
        <w:gridCol w:w="3160"/>
        <w:tblGridChange w:id="0">
          <w:tblGrid>
            <w:gridCol w:w="1800"/>
            <w:gridCol w:w="2800"/>
            <w:gridCol w:w="1600"/>
            <w:gridCol w:w="3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b w:val="1"/>
                <w:bCs w:val="1"/>
                <w:color w:val="ffffff"/>
                <w:sz w:val="20"/>
                <w:szCs w:val="20"/>
                <w:rtl w:val="0"/>
              </w:rPr>
              <w:t xml:space="preserve">Variable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b w:val="1"/>
                <w:bCs w:val="1"/>
                <w:color w:val="ffffff"/>
                <w:sz w:val="20"/>
                <w:szCs w:val="20"/>
                <w:rtl w:val="0"/>
              </w:rPr>
              <w:t xml:space="preserve">Definición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55">
            <w:pPr>
              <w:jc w:val="center"/>
              <w:rPr/>
            </w:pPr>
            <w:r w:rsidDel="00000000" w:rsidR="00000000" w:rsidRPr="00000000">
              <w:rPr>
                <w:b w:val="1"/>
                <w:bCs w:val="1"/>
                <w:color w:val="ffffff"/>
                <w:sz w:val="20"/>
                <w:szCs w:val="20"/>
                <w:rtl w:val="0"/>
              </w:rPr>
              <w:t xml:space="preserve">Rol en el análisis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56">
            <w:pPr>
              <w:jc w:val="left"/>
              <w:rPr/>
            </w:pPr>
            <w:r w:rsidDel="00000000" w:rsidR="00000000" w:rsidRPr="00000000">
              <w:rPr>
                <w:b w:val="1"/>
                <w:bCs w:val="1"/>
                <w:sz w:val="20"/>
                <w:szCs w:val="20"/>
                <w:rtl w:val="0"/>
              </w:rPr>
              <w:t xml:space="preserve">ESTANCIA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57">
            <w:pPr>
              <w:jc w:val="left"/>
              <w:rPr/>
            </w:pPr>
            <w:r w:rsidDel="00000000" w:rsidR="00000000" w:rsidRPr="00000000">
              <w:rPr>
                <w:b w:val="0"/>
                <w:bCs w:val="0"/>
                <w:sz w:val="20"/>
                <w:szCs w:val="20"/>
                <w:rtl w:val="0"/>
              </w:rPr>
              <w:t xml:space="preserve">Días entre ingreso y egreso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b w:val="0"/>
                <w:bCs w:val="0"/>
                <w:sz w:val="20"/>
                <w:szCs w:val="20"/>
                <w:rtl w:val="0"/>
              </w:rPr>
              <w:t xml:space="preserve">Continua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b w:val="0"/>
                <w:bCs w:val="0"/>
                <w:sz w:val="20"/>
                <w:szCs w:val="20"/>
                <w:rtl w:val="0"/>
              </w:rPr>
              <w:t xml:space="preserve">Variable de resultado (eficiencia)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jc w:val="left"/>
              <w:rPr/>
            </w:pPr>
            <w:r w:rsidDel="00000000" w:rsidR="00000000" w:rsidRPr="00000000">
              <w:rPr>
                <w:b w:val="1"/>
                <w:bCs w:val="1"/>
                <w:sz w:val="20"/>
                <w:szCs w:val="20"/>
                <w:rtl w:val="0"/>
              </w:rPr>
              <w:t xml:space="preserve">FALLECIDO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jc w:val="left"/>
              <w:rPr/>
            </w:pPr>
            <w:r w:rsidDel="00000000" w:rsidR="00000000" w:rsidRPr="00000000">
              <w:rPr>
                <w:b w:val="0"/>
                <w:bCs w:val="0"/>
                <w:sz w:val="20"/>
                <w:szCs w:val="20"/>
                <w:rtl w:val="0"/>
              </w:rPr>
              <w:t xml:space="preserve">1 si tipo de alta = FALLECIDO, 0 si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b w:val="0"/>
                <w:bCs w:val="0"/>
                <w:sz w:val="20"/>
                <w:szCs w:val="20"/>
                <w:rtl w:val="0"/>
              </w:rPr>
              <w:t xml:space="preserve">Dicotómica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b w:val="0"/>
                <w:bCs w:val="0"/>
                <w:sz w:val="20"/>
                <w:szCs w:val="20"/>
                <w:rtl w:val="0"/>
              </w:rPr>
              <w:t xml:space="preserve">Variable de resultado (calidad)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5E">
            <w:pPr>
              <w:jc w:val="left"/>
              <w:rPr/>
            </w:pPr>
            <w:r w:rsidDel="00000000" w:rsidR="00000000" w:rsidRPr="00000000">
              <w:rPr>
                <w:b w:val="1"/>
                <w:bCs w:val="1"/>
                <w:sz w:val="20"/>
                <w:szCs w:val="20"/>
                <w:rtl w:val="0"/>
              </w:rPr>
              <w:t xml:space="preserve">SEVERIDAD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b w:val="0"/>
                <w:bCs w:val="0"/>
                <w:sz w:val="20"/>
                <w:szCs w:val="20"/>
                <w:rtl w:val="0"/>
              </w:rPr>
              <w:t xml:space="preserve">Complejidad clínica (0, 1, 2,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b w:val="0"/>
                <w:bCs w:val="0"/>
                <w:sz w:val="20"/>
                <w:szCs w:val="20"/>
                <w:rtl w:val="0"/>
              </w:rPr>
              <w:t xml:space="preserve">Ordinal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b w:val="0"/>
                <w:bCs w:val="0"/>
                <w:sz w:val="20"/>
                <w:szCs w:val="20"/>
                <w:rtl w:val="0"/>
              </w:rPr>
              <w:t xml:space="preserve">Variable de ajuste (casemix)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b w:val="1"/>
                <w:bCs w:val="1"/>
                <w:sz w:val="20"/>
                <w:szCs w:val="20"/>
                <w:rtl w:val="0"/>
              </w:rPr>
              <w:t xml:space="preserve">PESO GRD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b w:val="0"/>
                <w:bCs w:val="0"/>
                <w:sz w:val="20"/>
                <w:szCs w:val="20"/>
                <w:rtl w:val="0"/>
              </w:rPr>
              <w:t xml:space="preserve">Factor de recursos del grupo diagnóstico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jc w:val="left"/>
              <w:rPr/>
            </w:pPr>
            <w:r w:rsidDel="00000000" w:rsidR="00000000" w:rsidRPr="00000000">
              <w:rPr>
                <w:b w:val="0"/>
                <w:bCs w:val="0"/>
                <w:sz w:val="20"/>
                <w:szCs w:val="20"/>
                <w:rtl w:val="0"/>
              </w:rPr>
              <w:t xml:space="preserve">Continua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b w:val="0"/>
                <w:bCs w:val="0"/>
                <w:sz w:val="20"/>
                <w:szCs w:val="20"/>
                <w:rtl w:val="0"/>
              </w:rPr>
              <w:t xml:space="preserve">Variable de ajuste (complejidad)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66">
            <w:pPr>
              <w:jc w:val="left"/>
              <w:rPr/>
            </w:pPr>
            <w:r w:rsidDel="00000000" w:rsidR="00000000" w:rsidRPr="00000000">
              <w:rPr>
                <w:b w:val="1"/>
                <w:bCs w:val="1"/>
                <w:sz w:val="20"/>
                <w:szCs w:val="20"/>
                <w:rtl w:val="0"/>
              </w:rPr>
              <w:t xml:space="preserve">COD_HOSPITAL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b w:val="0"/>
                <w:bCs w:val="0"/>
                <w:sz w:val="20"/>
                <w:szCs w:val="20"/>
                <w:rtl w:val="0"/>
              </w:rPr>
              <w:t xml:space="preserve">Identificador del establecimiento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68">
            <w:pPr>
              <w:jc w:val="left"/>
              <w:rPr/>
            </w:pPr>
            <w:r w:rsidDel="00000000" w:rsidR="00000000" w:rsidRPr="00000000">
              <w:rPr>
                <w:b w:val="0"/>
                <w:bCs w:val="0"/>
                <w:sz w:val="20"/>
                <w:szCs w:val="20"/>
                <w:rtl w:val="0"/>
              </w:rPr>
              <w:t xml:space="preserve">Categórica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b w:val="0"/>
                <w:bCs w:val="0"/>
                <w:sz w:val="20"/>
                <w:szCs w:val="20"/>
                <w:rtl w:val="0"/>
              </w:rPr>
              <w:t xml:space="preserve">Variable de agrupación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b w:val="1"/>
                <w:bCs w:val="1"/>
                <w:sz w:val="20"/>
                <w:szCs w:val="20"/>
                <w:rtl w:val="0"/>
              </w:rPr>
              <w:t xml:space="preserve">EDAD_INGRESO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b w:val="0"/>
                <w:bCs w:val="0"/>
                <w:sz w:val="20"/>
                <w:szCs w:val="20"/>
                <w:rtl w:val="0"/>
              </w:rPr>
              <w:t xml:space="preserve">Edad en años al momento del ingreso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jc w:val="left"/>
              <w:rPr/>
            </w:pPr>
            <w:r w:rsidDel="00000000" w:rsidR="00000000" w:rsidRPr="00000000">
              <w:rPr>
                <w:b w:val="0"/>
                <w:bCs w:val="0"/>
                <w:sz w:val="20"/>
                <w:szCs w:val="20"/>
                <w:rtl w:val="0"/>
              </w:rPr>
              <w:t xml:space="preserve">Continua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b w:val="0"/>
                <w:bCs w:val="0"/>
                <w:sz w:val="20"/>
                <w:szCs w:val="20"/>
                <w:rtl w:val="0"/>
              </w:rPr>
              <w:t xml:space="preserve">Variable de contexto</w:t>
            </w:r>
            <w:r w:rsidDel="00000000" w:rsidR="00000000" w:rsidRPr="00000000">
              <w:rPr>
                <w:rtl w:val="0"/>
              </w:rPr>
            </w:r>
          </w:p>
        </w:tc>
      </w:tr>
    </w:tbl>
    <w:p w:rsidR="00000000" w:rsidDel="00000000" w:rsidP="00000000" w:rsidRDefault="00000000" w:rsidRPr="00000000" w14:paraId="0000006E">
      <w:pPr>
        <w:spacing w:after="80" w:before="80" w:lineRule="auto"/>
        <w:rPr/>
      </w:pPr>
      <w:r w:rsidDel="00000000" w:rsidR="00000000" w:rsidRPr="00000000">
        <w:rPr>
          <w:rtl w:val="0"/>
        </w:rPr>
      </w:r>
    </w:p>
    <w:p w:rsidR="00000000" w:rsidDel="00000000" w:rsidP="00000000" w:rsidRDefault="00000000" w:rsidRPr="00000000" w14:paraId="0000006F">
      <w:pPr>
        <w:pStyle w:val="Heading2"/>
        <w:spacing w:after="120" w:before="240" w:lineRule="auto"/>
        <w:rPr/>
      </w:pPr>
      <w:r w:rsidDel="00000000" w:rsidR="00000000" w:rsidRPr="00000000">
        <w:rPr>
          <w:b w:val="1"/>
          <w:bCs w:val="1"/>
          <w:color w:val="2e75b6"/>
          <w:sz w:val="26"/>
          <w:szCs w:val="26"/>
          <w:rtl w:val="0"/>
        </w:rPr>
        <w:t xml:space="preserve">2.4 Glosario de Términos Técnicos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70">
            <w:pPr>
              <w:jc w:val="center"/>
              <w:rPr/>
            </w:pPr>
            <w:r w:rsidDel="00000000" w:rsidR="00000000" w:rsidRPr="00000000">
              <w:rPr>
                <w:b w:val="1"/>
                <w:bCs w:val="1"/>
                <w:color w:val="ffffff"/>
                <w:sz w:val="20"/>
                <w:szCs w:val="20"/>
                <w:rtl w:val="0"/>
              </w:rPr>
              <w:t xml:space="preserve">Término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71">
            <w:pPr>
              <w:jc w:val="center"/>
              <w:rPr/>
            </w:pPr>
            <w:r w:rsidDel="00000000" w:rsidR="00000000" w:rsidRPr="00000000">
              <w:rPr>
                <w:b w:val="1"/>
                <w:bCs w:val="1"/>
                <w:color w:val="ffffff"/>
                <w:sz w:val="20"/>
                <w:szCs w:val="20"/>
                <w:rtl w:val="0"/>
              </w:rPr>
              <w:t xml:space="preserve">Definición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b w:val="1"/>
                <w:bCs w:val="1"/>
                <w:sz w:val="20"/>
                <w:szCs w:val="20"/>
                <w:rtl w:val="0"/>
              </w:rPr>
              <w:t xml:space="preserve">GRD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73">
            <w:pPr>
              <w:jc w:val="left"/>
              <w:rPr/>
            </w:pPr>
            <w:r w:rsidDel="00000000" w:rsidR="00000000" w:rsidRPr="00000000">
              <w:rPr>
                <w:b w:val="0"/>
                <w:bCs w:val="0"/>
                <w:sz w:val="20"/>
                <w:szCs w:val="20"/>
                <w:rtl w:val="0"/>
              </w:rPr>
              <w:t xml:space="preserve">Grupos Relacionados por el Diagnóstico. Sistema de clasificación que agrupa pacientes con diagnósticos similares según consumo esperado de recursos.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jc w:val="left"/>
              <w:rPr/>
            </w:pPr>
            <w:r w:rsidDel="00000000" w:rsidR="00000000" w:rsidRPr="00000000">
              <w:rPr>
                <w:b w:val="1"/>
                <w:bCs w:val="1"/>
                <w:sz w:val="20"/>
                <w:szCs w:val="20"/>
                <w:rtl w:val="0"/>
              </w:rPr>
              <w:t xml:space="preserve">Severidad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jc w:val="left"/>
              <w:rPr/>
            </w:pPr>
            <w:r w:rsidDel="00000000" w:rsidR="00000000" w:rsidRPr="00000000">
              <w:rPr>
                <w:b w:val="0"/>
                <w:bCs w:val="0"/>
                <w:sz w:val="20"/>
                <w:szCs w:val="20"/>
                <w:rtl w:val="0"/>
              </w:rPr>
              <w:t xml:space="preserve">Nivel de complejidad clínica: 0 = sin gravedad, 1 = menor, 2 = moderada, 3 = mayor.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b w:val="1"/>
                <w:bCs w:val="1"/>
                <w:sz w:val="20"/>
                <w:szCs w:val="20"/>
                <w:rtl w:val="0"/>
              </w:rPr>
              <w:t xml:space="preserve">Estancia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b w:val="0"/>
                <w:bCs w:val="0"/>
                <w:sz w:val="20"/>
                <w:szCs w:val="20"/>
                <w:rtl w:val="0"/>
              </w:rPr>
              <w:t xml:space="preserve">Días de hospitalización, desde el ingreso hasta el egreso.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jc w:val="left"/>
              <w:rPr/>
            </w:pPr>
            <w:r w:rsidDel="00000000" w:rsidR="00000000" w:rsidRPr="00000000">
              <w:rPr>
                <w:b w:val="1"/>
                <w:bCs w:val="1"/>
                <w:sz w:val="20"/>
                <w:szCs w:val="20"/>
                <w:rtl w:val="0"/>
              </w:rPr>
              <w:t xml:space="preserve">Peso GRD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b w:val="0"/>
                <w:bCs w:val="0"/>
                <w:sz w:val="20"/>
                <w:szCs w:val="20"/>
                <w:rtl w:val="0"/>
              </w:rPr>
              <w:t xml:space="preserve">Factor numérico que refleja la intensidad relativa de recursos esperados para un GRD.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7A">
            <w:pPr>
              <w:jc w:val="left"/>
              <w:rPr/>
            </w:pPr>
            <w:r w:rsidDel="00000000" w:rsidR="00000000" w:rsidRPr="00000000">
              <w:rPr>
                <w:b w:val="1"/>
                <w:bCs w:val="1"/>
                <w:sz w:val="20"/>
                <w:szCs w:val="20"/>
                <w:rtl w:val="0"/>
              </w:rPr>
              <w:t xml:space="preserve">SMR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b w:val="0"/>
                <w:bCs w:val="0"/>
                <w:sz w:val="20"/>
                <w:szCs w:val="20"/>
                <w:rtl w:val="0"/>
              </w:rPr>
              <w:t xml:space="preserve">Razón Estandarizada de Mortalidad: mortalidad observada / mortalidad esperada. SMR &gt; 1 indica exceso de mortalidad.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b w:val="1"/>
                <w:bCs w:val="1"/>
                <w:sz w:val="20"/>
                <w:szCs w:val="20"/>
                <w:rtl w:val="0"/>
              </w:rPr>
              <w:t xml:space="preserve">Casemix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jc w:val="left"/>
              <w:rPr/>
            </w:pPr>
            <w:r w:rsidDel="00000000" w:rsidR="00000000" w:rsidRPr="00000000">
              <w:rPr>
                <w:b w:val="0"/>
                <w:bCs w:val="0"/>
                <w:sz w:val="20"/>
                <w:szCs w:val="20"/>
                <w:rtl w:val="0"/>
              </w:rPr>
              <w:t xml:space="preserve">Composición de casos (severidades y diagnósticos) que atiende cada hospital.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7E">
            <w:pPr>
              <w:jc w:val="left"/>
              <w:rPr/>
            </w:pPr>
            <w:r w:rsidDel="00000000" w:rsidR="00000000" w:rsidRPr="00000000">
              <w:rPr>
                <w:b w:val="1"/>
                <w:bCs w:val="1"/>
                <w:sz w:val="20"/>
                <w:szCs w:val="20"/>
                <w:rtl w:val="0"/>
              </w:rPr>
              <w:t xml:space="preserve">Exceso de estancia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b w:val="0"/>
                <w:bCs w:val="0"/>
                <w:sz w:val="20"/>
                <w:szCs w:val="20"/>
                <w:rtl w:val="0"/>
              </w:rPr>
              <w:t xml:space="preserve">Diferencia entre estancia media observada y esperada según modelo nacional ajustado.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b w:val="1"/>
                <w:bCs w:val="1"/>
                <w:sz w:val="20"/>
                <w:szCs w:val="20"/>
                <w:rtl w:val="0"/>
              </w:rPr>
              <w:t xml:space="preserve">Estandarización directa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b w:val="0"/>
                <w:bCs w:val="0"/>
                <w:sz w:val="20"/>
                <w:szCs w:val="20"/>
                <w:rtl w:val="0"/>
              </w:rPr>
              <w:t xml:space="preserve">Método que ajusta una tasa aplicando la distribución de referencia nacional.</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spacing w:after="180" w:before="360" w:lineRule="auto"/>
        <w:rPr/>
      </w:pPr>
      <w:r w:rsidDel="00000000" w:rsidR="00000000" w:rsidRPr="00000000">
        <w:rPr>
          <w:b w:val="1"/>
          <w:bCs w:val="1"/>
          <w:color w:val="1f5c99"/>
          <w:sz w:val="32"/>
          <w:szCs w:val="32"/>
          <w:rtl w:val="0"/>
        </w:rPr>
        <w:t xml:space="preserve">3. Metodología Propuesta</w:t>
      </w:r>
      <w:r w:rsidDel="00000000" w:rsidR="00000000" w:rsidRPr="00000000">
        <w:rPr>
          <w:rtl w:val="0"/>
        </w:rPr>
      </w:r>
    </w:p>
    <w:p w:rsidR="00000000" w:rsidDel="00000000" w:rsidP="00000000" w:rsidRDefault="00000000" w:rsidRPr="00000000" w14:paraId="00000084">
      <w:pPr>
        <w:pStyle w:val="Heading2"/>
        <w:spacing w:after="120" w:before="240" w:lineRule="auto"/>
        <w:rPr/>
      </w:pPr>
      <w:r w:rsidDel="00000000" w:rsidR="00000000" w:rsidRPr="00000000">
        <w:rPr>
          <w:b w:val="1"/>
          <w:bCs w:val="1"/>
          <w:color w:val="2e75b6"/>
          <w:sz w:val="26"/>
          <w:szCs w:val="26"/>
          <w:rtl w:val="0"/>
        </w:rPr>
        <w:t xml:space="preserve">3.1 Análisis a Realizar</w:t>
      </w:r>
      <w:r w:rsidDel="00000000" w:rsidR="00000000" w:rsidRPr="00000000">
        <w:rPr>
          <w:rtl w:val="0"/>
        </w:rPr>
      </w:r>
    </w:p>
    <w:p w:rsidR="00000000" w:rsidDel="00000000" w:rsidP="00000000" w:rsidRDefault="00000000" w:rsidRPr="00000000" w14:paraId="00000085">
      <w:pPr>
        <w:spacing w:after="80" w:before="80" w:lineRule="auto"/>
        <w:jc w:val="both"/>
        <w:rPr/>
      </w:pPr>
      <w:r w:rsidDel="00000000" w:rsidR="00000000" w:rsidRPr="00000000">
        <w:rPr>
          <w:sz w:val="22"/>
          <w:szCs w:val="22"/>
          <w:rtl w:val="0"/>
        </w:rPr>
        <w:t xml:space="preserve">El análisis se estructura en cinco preguntas de investigación complementarias:</w:t>
      </w:r>
      <w:r w:rsidDel="00000000" w:rsidR="00000000" w:rsidRPr="00000000">
        <w:rPr>
          <w:rtl w:val="0"/>
        </w:rPr>
      </w:r>
    </w:p>
    <w:p w:rsidR="00000000" w:rsidDel="00000000" w:rsidP="00000000" w:rsidRDefault="00000000" w:rsidRPr="00000000" w14:paraId="00000086">
      <w:pPr>
        <w:spacing w:after="80" w:before="80" w:lineRule="auto"/>
        <w:rPr/>
      </w:pPr>
      <w:r w:rsidDel="00000000" w:rsidR="00000000" w:rsidRPr="00000000">
        <w:rPr>
          <w:rtl w:val="0"/>
        </w:rPr>
      </w:r>
    </w:p>
    <w:p w:rsidR="00000000" w:rsidDel="00000000" w:rsidP="00000000" w:rsidRDefault="00000000" w:rsidRPr="00000000" w14:paraId="00000087">
      <w:pPr>
        <w:pStyle w:val="Heading3"/>
        <w:spacing w:after="80" w:before="180" w:lineRule="auto"/>
        <w:rPr/>
      </w:pPr>
      <w:r w:rsidDel="00000000" w:rsidR="00000000" w:rsidRPr="00000000">
        <w:rPr>
          <w:b w:val="1"/>
          <w:bCs w:val="1"/>
          <w:color w:val="333333"/>
          <w:sz w:val="22"/>
          <w:szCs w:val="22"/>
          <w:rtl w:val="0"/>
        </w:rPr>
        <w:t xml:space="preserve">P1: Relación entre severidad clínica y estancia hospitalaria</w:t>
      </w:r>
      <w:r w:rsidDel="00000000" w:rsidR="00000000" w:rsidRPr="00000000">
        <w:rPr>
          <w:rtl w:val="0"/>
        </w:rPr>
      </w:r>
    </w:p>
    <w:p w:rsidR="00000000" w:rsidDel="00000000" w:rsidP="00000000" w:rsidRDefault="00000000" w:rsidRPr="00000000" w14:paraId="00000088">
      <w:pPr>
        <w:spacing w:after="80" w:before="80" w:lineRule="auto"/>
        <w:jc w:val="both"/>
        <w:rPr/>
      </w:pPr>
      <w:r w:rsidDel="00000000" w:rsidR="00000000" w:rsidRPr="00000000">
        <w:rPr>
          <w:sz w:val="22"/>
          <w:szCs w:val="22"/>
          <w:rtl w:val="0"/>
        </w:rPr>
        <w:t xml:space="preserve">Cálculo de medianas y distribuciones de estancia por nivel de severidad (0–3). Estadísticos: mediana, media, percentiles P25 y P75 (IQR). Se usa mediana por asimetría positiva de la variable. Visualización: boxplots comparativos y barras con barras de error (IQR).</w:t>
      </w: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tl w:val="0"/>
        </w:rPr>
      </w:r>
    </w:p>
    <w:p w:rsidR="00000000" w:rsidDel="00000000" w:rsidP="00000000" w:rsidRDefault="00000000" w:rsidRPr="00000000" w14:paraId="0000008A">
      <w:pPr>
        <w:pStyle w:val="Heading3"/>
        <w:spacing w:after="80" w:before="180" w:lineRule="auto"/>
        <w:rPr/>
      </w:pPr>
      <w:r w:rsidDel="00000000" w:rsidR="00000000" w:rsidRPr="00000000">
        <w:rPr>
          <w:b w:val="1"/>
          <w:bCs w:val="1"/>
          <w:color w:val="333333"/>
          <w:sz w:val="22"/>
          <w:szCs w:val="22"/>
          <w:rtl w:val="0"/>
        </w:rPr>
        <w:t xml:space="preserve">P2: Variabilidad hospitalaria en estancia ajustada por peso GRD</w:t>
      </w:r>
      <w:r w:rsidDel="00000000" w:rsidR="00000000" w:rsidRPr="00000000">
        <w:rPr>
          <w:rtl w:val="0"/>
        </w:rPr>
      </w:r>
    </w:p>
    <w:p w:rsidR="00000000" w:rsidDel="00000000" w:rsidP="00000000" w:rsidRDefault="00000000" w:rsidRPr="00000000" w14:paraId="0000008B">
      <w:pPr>
        <w:spacing w:after="80" w:before="80" w:lineRule="auto"/>
        <w:jc w:val="both"/>
        <w:rPr/>
      </w:pPr>
      <w:sdt>
        <w:sdtPr>
          <w:id w:val="-216300244"/>
          <w:tag w:val="goog_rdk_2"/>
        </w:sdtPr>
        <w:sdtContent>
          <w:r w:rsidDel="00000000" w:rsidR="00000000" w:rsidRPr="00000000">
            <w:rPr>
              <w:rFonts w:ascii="Arial Unicode MS" w:cs="Arial Unicode MS" w:eastAsia="Arial Unicode MS" w:hAnsi="Arial Unicode MS"/>
              <w:sz w:val="22"/>
              <w:szCs w:val="22"/>
              <w:rtl w:val="0"/>
            </w:rPr>
            <w:t xml:space="preserve">Regresión lineal simple a nivel nacional (estancia ~ peso GRD) para establecer benchmark de eficiencia. Exceso de estancia = estancia observada − estancia esperada. Filtro: hospitales con ≥500 egresos.</w:t>
          </w:r>
        </w:sdtContent>
      </w:sdt>
      <w:r w:rsidDel="00000000" w:rsidR="00000000" w:rsidRPr="00000000">
        <w:rPr>
          <w:rtl w:val="0"/>
        </w:rPr>
      </w:r>
    </w:p>
    <w:p w:rsidR="00000000" w:rsidDel="00000000" w:rsidP="00000000" w:rsidRDefault="00000000" w:rsidRPr="00000000" w14:paraId="0000008C">
      <w:pPr>
        <w:spacing w:after="80" w:before="80" w:lineRule="auto"/>
        <w:rPr/>
      </w:pPr>
      <w:r w:rsidDel="00000000" w:rsidR="00000000" w:rsidRPr="00000000">
        <w:rPr>
          <w:rtl w:val="0"/>
        </w:rPr>
      </w:r>
    </w:p>
    <w:p w:rsidR="00000000" w:rsidDel="00000000" w:rsidP="00000000" w:rsidRDefault="00000000" w:rsidRPr="00000000" w14:paraId="0000008D">
      <w:pPr>
        <w:pStyle w:val="Heading3"/>
        <w:spacing w:after="80" w:before="180" w:lineRule="auto"/>
        <w:rPr/>
      </w:pPr>
      <w:r w:rsidDel="00000000" w:rsidR="00000000" w:rsidRPr="00000000">
        <w:rPr>
          <w:b w:val="1"/>
          <w:bCs w:val="1"/>
          <w:color w:val="333333"/>
          <w:sz w:val="22"/>
          <w:szCs w:val="22"/>
          <w:rtl w:val="0"/>
        </w:rPr>
        <w:t xml:space="preserve">P3: Variabilidad intra-GRD entre hospitales</w:t>
      </w:r>
      <w:r w:rsidDel="00000000" w:rsidR="00000000" w:rsidRPr="00000000">
        <w:rPr>
          <w:rtl w:val="0"/>
        </w:rPr>
      </w:r>
    </w:p>
    <w:p w:rsidR="00000000" w:rsidDel="00000000" w:rsidP="00000000" w:rsidRDefault="00000000" w:rsidRPr="00000000" w14:paraId="0000008E">
      <w:pPr>
        <w:spacing w:after="80" w:before="80" w:lineRule="auto"/>
        <w:jc w:val="both"/>
        <w:rPr/>
      </w:pPr>
      <w:sdt>
        <w:sdtPr>
          <w:id w:val="-920788421"/>
          <w:tag w:val="goog_rdk_3"/>
        </w:sdtPr>
        <w:sdtContent>
          <w:r w:rsidDel="00000000" w:rsidR="00000000" w:rsidRPr="00000000">
            <w:rPr>
              <w:rFonts w:ascii="Arial Unicode MS" w:cs="Arial Unicode MS" w:eastAsia="Arial Unicode MS" w:hAnsi="Arial Unicode MS"/>
              <w:sz w:val="22"/>
              <w:szCs w:val="22"/>
              <w:rtl w:val="0"/>
            </w:rPr>
            <w:t xml:space="preserve">Selección de los 6 GRD más frecuentes (≥5 hospitales y ≥1.000 casos). Para cada GRD: mediana de estancia por hospital. Métricas: rango inter-hospitalario y coeficiente de variación (CV).</w:t>
          </w:r>
        </w:sdtContent>
      </w:sdt>
      <w:r w:rsidDel="00000000" w:rsidR="00000000" w:rsidRPr="00000000">
        <w:rPr>
          <w:rtl w:val="0"/>
        </w:rPr>
      </w:r>
    </w:p>
    <w:p w:rsidR="00000000" w:rsidDel="00000000" w:rsidP="00000000" w:rsidRDefault="00000000" w:rsidRPr="00000000" w14:paraId="0000008F">
      <w:pPr>
        <w:spacing w:after="80" w:before="80" w:lineRule="auto"/>
        <w:rPr/>
      </w:pPr>
      <w:r w:rsidDel="00000000" w:rsidR="00000000" w:rsidRPr="00000000">
        <w:rPr>
          <w:rtl w:val="0"/>
        </w:rPr>
      </w:r>
    </w:p>
    <w:p w:rsidR="00000000" w:rsidDel="00000000" w:rsidP="00000000" w:rsidRDefault="00000000" w:rsidRPr="00000000" w14:paraId="00000090">
      <w:pPr>
        <w:pStyle w:val="Heading3"/>
        <w:spacing w:after="80" w:before="180" w:lineRule="auto"/>
        <w:rPr/>
      </w:pPr>
      <w:r w:rsidDel="00000000" w:rsidR="00000000" w:rsidRPr="00000000">
        <w:rPr>
          <w:b w:val="1"/>
          <w:bCs w:val="1"/>
          <w:color w:val="333333"/>
          <w:sz w:val="22"/>
          <w:szCs w:val="22"/>
          <w:rtl w:val="0"/>
        </w:rPr>
        <w:t xml:space="preserve">P4: Variabilidad residual tras ajuste por severidad (estandarización directa)</w:t>
      </w:r>
      <w:r w:rsidDel="00000000" w:rsidR="00000000" w:rsidRPr="00000000">
        <w:rPr>
          <w:rtl w:val="0"/>
        </w:rPr>
      </w:r>
    </w:p>
    <w:p w:rsidR="00000000" w:rsidDel="00000000" w:rsidP="00000000" w:rsidRDefault="00000000" w:rsidRPr="00000000" w14:paraId="00000091">
      <w:pPr>
        <w:spacing w:after="80" w:before="80" w:lineRule="auto"/>
        <w:jc w:val="both"/>
        <w:rPr/>
      </w:pPr>
      <w:r w:rsidDel="00000000" w:rsidR="00000000" w:rsidRPr="00000000">
        <w:rPr>
          <w:sz w:val="22"/>
          <w:szCs w:val="22"/>
          <w:rtl w:val="0"/>
        </w:rPr>
        <w:t xml:space="preserve">Estandarización directa de la estancia media de cada hospital usando distribución nacional de severidad como referencia. Comparación del CV antes y después del ajuste.</w:t>
      </w: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rtl w:val="0"/>
        </w:rPr>
      </w:r>
    </w:p>
    <w:p w:rsidR="00000000" w:rsidDel="00000000" w:rsidP="00000000" w:rsidRDefault="00000000" w:rsidRPr="00000000" w14:paraId="00000093">
      <w:pPr>
        <w:pStyle w:val="Heading3"/>
        <w:spacing w:after="80" w:before="180" w:lineRule="auto"/>
        <w:rPr/>
      </w:pPr>
      <w:r w:rsidDel="00000000" w:rsidR="00000000" w:rsidRPr="00000000">
        <w:rPr>
          <w:b w:val="1"/>
          <w:bCs w:val="1"/>
          <w:color w:val="333333"/>
          <w:sz w:val="22"/>
          <w:szCs w:val="22"/>
          <w:rtl w:val="0"/>
        </w:rPr>
        <w:t xml:space="preserve">P5: Mortalidad ajustada por severidad (SMR)</w:t>
      </w:r>
      <w:r w:rsidDel="00000000" w:rsidR="00000000" w:rsidRPr="00000000">
        <w:rPr>
          <w:rtl w:val="0"/>
        </w:rPr>
      </w:r>
    </w:p>
    <w:p w:rsidR="00000000" w:rsidDel="00000000" w:rsidP="00000000" w:rsidRDefault="00000000" w:rsidRPr="00000000" w14:paraId="00000094">
      <w:pPr>
        <w:spacing w:after="80" w:before="80" w:lineRule="auto"/>
        <w:jc w:val="both"/>
        <w:rPr/>
      </w:pPr>
      <w:sdt>
        <w:sdtPr>
          <w:id w:val="-1333346858"/>
          <w:tag w:val="goog_rdk_4"/>
        </w:sdtPr>
        <w:sdtContent>
          <w:r w:rsidDel="00000000" w:rsidR="00000000" w:rsidRPr="00000000">
            <w:rPr>
              <w:rFonts w:ascii="Arial Unicode MS" w:cs="Arial Unicode MS" w:eastAsia="Arial Unicode MS" w:hAnsi="Arial Unicode MS"/>
              <w:sz w:val="22"/>
              <w:szCs w:val="22"/>
              <w:rtl w:val="0"/>
            </w:rPr>
            <w:t xml:space="preserve">Cálculo del SMR (mortalidad observada / mortalidad esperada). IC al 95% mediante aproximación de Poisson. Filtro: ≥1.000 egresos.</w:t>
          </w:r>
        </w:sdtContent>
      </w:sdt>
      <w:r w:rsidDel="00000000" w:rsidR="00000000" w:rsidRPr="00000000">
        <w:rPr>
          <w:rtl w:val="0"/>
        </w:rPr>
      </w:r>
    </w:p>
    <w:p w:rsidR="00000000" w:rsidDel="00000000" w:rsidP="00000000" w:rsidRDefault="00000000" w:rsidRPr="00000000" w14:paraId="00000095">
      <w:pPr>
        <w:spacing w:after="80" w:before="80" w:lineRule="auto"/>
        <w:rPr/>
      </w:pPr>
      <w:r w:rsidDel="00000000" w:rsidR="00000000" w:rsidRPr="00000000">
        <w:rPr>
          <w:rtl w:val="0"/>
        </w:rPr>
      </w:r>
    </w:p>
    <w:p w:rsidR="00000000" w:rsidDel="00000000" w:rsidP="00000000" w:rsidRDefault="00000000" w:rsidRPr="00000000" w14:paraId="00000096">
      <w:pPr>
        <w:pStyle w:val="Heading2"/>
        <w:spacing w:after="120" w:before="240" w:lineRule="auto"/>
        <w:rPr/>
      </w:pPr>
      <w:r w:rsidDel="00000000" w:rsidR="00000000" w:rsidRPr="00000000">
        <w:rPr>
          <w:b w:val="1"/>
          <w:bCs w:val="1"/>
          <w:color w:val="2e75b6"/>
          <w:sz w:val="26"/>
          <w:szCs w:val="26"/>
          <w:rtl w:val="0"/>
        </w:rPr>
        <w:t xml:space="preserve">3.2 Métricas de Evaluación</w:t>
      </w:r>
      <w:r w:rsidDel="00000000" w:rsidR="00000000" w:rsidRPr="00000000">
        <w:rPr>
          <w:rtl w:val="0"/>
        </w:rPr>
      </w:r>
    </w:p>
    <w:p w:rsidR="00000000" w:rsidDel="00000000" w:rsidP="00000000" w:rsidRDefault="00000000" w:rsidRPr="00000000" w14:paraId="00000097">
      <w:pPr>
        <w:spacing w:after="80" w:before="80" w:lineRule="auto"/>
        <w:jc w:val="both"/>
        <w:rPr/>
      </w:pPr>
      <w:r w:rsidDel="00000000" w:rsidR="00000000" w:rsidRPr="00000000">
        <w:rPr>
          <w:sz w:val="22"/>
          <w:szCs w:val="22"/>
          <w:rtl w:val="0"/>
        </w:rPr>
        <w:t xml:space="preserve">Las métricas principales de evaluación del estudio son las siguientes: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Exceso de estancia (días): diferencia entre la estancia media observada por hospital y la estancia esperada según el modelo de regresión nacional ajustado por peso GRD. Permite identificar hospitales sobreeficientes o ineficientes.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Coeficiente de Variación (CV): medida de dispersión relativa de la estancia entre hospitales para un mismo GRD. Un CV elevado indica alta variabilidad no explicada por el perfil clínico.</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SMR (Razón Estandarizada de Mortalidad): ratio entre mortalidad observada y esperada, con intervalos de confianza al 95% mediante aproximación de Poisson. Permite clasificar hospitales como outliers de mortalidad alta o baja.</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Reducción del CV post-estandarización directa: comparación del CV de estancia antes y después de ajustar por severidad para cuantificar cuánta variabilidad es explicada por el casemix y cuánta permanece como variabilidad institucional.</w:t>
      </w:r>
    </w:p>
    <w:p w:rsidR="00000000" w:rsidDel="00000000" w:rsidP="00000000" w:rsidRDefault="00000000" w:rsidRPr="00000000" w14:paraId="0000009C">
      <w:pPr>
        <w:spacing w:after="80" w:before="80" w:lineRule="auto"/>
        <w:rPr/>
      </w:pPr>
      <w:r w:rsidDel="00000000" w:rsidR="00000000" w:rsidRPr="00000000">
        <w:rPr>
          <w:rtl w:val="0"/>
        </w:rPr>
      </w:r>
    </w:p>
    <w:p w:rsidR="00000000" w:rsidDel="00000000" w:rsidP="00000000" w:rsidRDefault="00000000" w:rsidRPr="00000000" w14:paraId="0000009D">
      <w:pPr>
        <w:spacing w:after="80" w:before="80" w:lineRule="auto"/>
        <w:jc w:val="both"/>
        <w:rPr/>
      </w:pPr>
      <w:r w:rsidDel="00000000" w:rsidR="00000000" w:rsidRPr="00000000">
        <w:rPr>
          <w:i w:val="1"/>
          <w:iCs w:val="1"/>
          <w:sz w:val="22"/>
          <w:szCs w:val="22"/>
          <w:rtl w:val="0"/>
        </w:rPr>
        <w:t xml:space="preserve">Estos modelos responden a la pregunta de investigación porque permiten separar explícitamente la variabilidad atribuible al perfil clínico del paciente (ajuste por casemix) de la variabilidad residual de carácter institucional, que es el objeto de interés central del estudio.</w:t>
      </w:r>
      <w:r w:rsidDel="00000000" w:rsidR="00000000" w:rsidRPr="00000000">
        <w:rPr>
          <w:rtl w:val="0"/>
        </w:rPr>
      </w:r>
    </w:p>
    <w:p w:rsidR="00000000" w:rsidDel="00000000" w:rsidP="00000000" w:rsidRDefault="00000000" w:rsidRPr="00000000" w14:paraId="0000009E">
      <w:pPr>
        <w:spacing w:after="80" w:before="80" w:lineRule="auto"/>
        <w:rPr/>
      </w:pPr>
      <w:r w:rsidDel="00000000" w:rsidR="00000000" w:rsidRPr="00000000">
        <w:rPr>
          <w:rtl w:val="0"/>
        </w:rPr>
      </w:r>
    </w:p>
    <w:p w:rsidR="00000000" w:rsidDel="00000000" w:rsidP="00000000" w:rsidRDefault="00000000" w:rsidRPr="00000000" w14:paraId="0000009F">
      <w:pPr>
        <w:pStyle w:val="Heading2"/>
        <w:spacing w:after="120" w:before="240" w:lineRule="auto"/>
        <w:rPr/>
      </w:pPr>
      <w:r w:rsidDel="00000000" w:rsidR="00000000" w:rsidRPr="00000000">
        <w:rPr>
          <w:b w:val="1"/>
          <w:bCs w:val="1"/>
          <w:color w:val="2e75b6"/>
          <w:sz w:val="26"/>
          <w:szCs w:val="26"/>
          <w:rtl w:val="0"/>
        </w:rPr>
        <w:t xml:space="preserve">3.3 Diagrama Metodológico</w:t>
      </w: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5c99" w:val="clear"/>
            <w:tcMar>
              <w:top w:w="120.0" w:type="dxa"/>
              <w:left w:w="240.0" w:type="dxa"/>
              <w:bottom w:w="120.0" w:type="dxa"/>
              <w:right w:w="240.0" w:type="dxa"/>
            </w:tcMar>
          </w:tcPr>
          <w:p w:rsidR="00000000" w:rsidDel="00000000" w:rsidP="00000000" w:rsidRDefault="00000000" w:rsidRPr="00000000" w14:paraId="000000A1">
            <w:pPr>
              <w:jc w:val="center"/>
              <w:rPr/>
            </w:pPr>
            <w:r w:rsidDel="00000000" w:rsidR="00000000" w:rsidRPr="00000000">
              <w:rPr>
                <w:b w:val="1"/>
                <w:bCs w:val="1"/>
                <w:color w:val="ffffff"/>
                <w:sz w:val="22"/>
                <w:szCs w:val="22"/>
                <w:rtl w:val="0"/>
              </w:rPr>
              <w:t xml:space="preserve">ETAPA 1: ADQUISICIÓN Y PREPARACIÓN DE DATOS</w:t>
            </w:r>
            <w:r w:rsidDel="00000000" w:rsidR="00000000" w:rsidRPr="00000000">
              <w:rPr>
                <w:rtl w:val="0"/>
              </w:rPr>
            </w:r>
          </w:p>
          <w:p w:rsidR="00000000" w:rsidDel="00000000" w:rsidP="00000000" w:rsidRDefault="00000000" w:rsidRPr="00000000" w14:paraId="000000A2">
            <w:pPr>
              <w:jc w:val="center"/>
              <w:rPr/>
            </w:pPr>
            <w:r w:rsidDel="00000000" w:rsidR="00000000" w:rsidRPr="00000000">
              <w:rPr>
                <w:color w:val="dddddd"/>
                <w:sz w:val="18"/>
                <w:szCs w:val="18"/>
                <w:rtl w:val="0"/>
              </w:rPr>
              <w:t xml:space="preserve">Carga de GRD_2023_muestra.csv, Hospitales.csv, IR-GRD.csv • Limpieza: tipos, nulos, outliers • Variables derivadas: FALLECIDO, MES_INGRESO, GRUPO_EDAD • Merge de tablas maestras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jc w:val="center"/>
              <w:rPr/>
            </w:pPr>
            <w:r w:rsidDel="00000000" w:rsidR="00000000" w:rsidRPr="00000000">
              <w:rPr>
                <w:b w:val="1"/>
                <w:bCs w:val="1"/>
                <w:color w:val="1f5c99"/>
                <w:sz w:val="28"/>
                <w:szCs w:val="28"/>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20.0" w:type="dxa"/>
              <w:left w:w="240.0" w:type="dxa"/>
              <w:bottom w:w="120.0" w:type="dxa"/>
              <w:right w:w="240.0" w:type="dxa"/>
            </w:tcMar>
          </w:tcPr>
          <w:p w:rsidR="00000000" w:rsidDel="00000000" w:rsidP="00000000" w:rsidRDefault="00000000" w:rsidRPr="00000000" w14:paraId="000000A4">
            <w:pPr>
              <w:jc w:val="center"/>
              <w:rPr/>
            </w:pPr>
            <w:r w:rsidDel="00000000" w:rsidR="00000000" w:rsidRPr="00000000">
              <w:rPr>
                <w:b w:val="1"/>
                <w:bCs w:val="1"/>
                <w:color w:val="ffffff"/>
                <w:sz w:val="22"/>
                <w:szCs w:val="22"/>
                <w:rtl w:val="0"/>
              </w:rPr>
              <w:t xml:space="preserve">ETAPA 2: ANÁLISIS EXPLORATORIO (EDA)</w:t>
            </w:r>
            <w:r w:rsidDel="00000000" w:rsidR="00000000" w:rsidRPr="00000000">
              <w:rPr>
                <w:rtl w:val="0"/>
              </w:rPr>
            </w:r>
          </w:p>
          <w:p w:rsidR="00000000" w:rsidDel="00000000" w:rsidP="00000000" w:rsidRDefault="00000000" w:rsidRPr="00000000" w14:paraId="000000A5">
            <w:pPr>
              <w:jc w:val="center"/>
              <w:rPr/>
            </w:pPr>
            <w:r w:rsidDel="00000000" w:rsidR="00000000" w:rsidRPr="00000000">
              <w:rPr>
                <w:color w:val="dddddd"/>
                <w:sz w:val="18"/>
                <w:szCs w:val="18"/>
                <w:rtl w:val="0"/>
              </w:rPr>
              <w:t xml:space="preserve">Estadísticas descriptivas (media, mediana, std, percentiles) • Histogramas: ESTANCIA, SEVERIDAD, EDAD • Análisis de outliers (método IQR) • Detección de valores faltantes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jc w:val="center"/>
              <w:rPr/>
            </w:pPr>
            <w:r w:rsidDel="00000000" w:rsidR="00000000" w:rsidRPr="00000000">
              <w:rPr>
                <w:b w:val="1"/>
                <w:bCs w:val="1"/>
                <w:color w:val="1f5c99"/>
                <w:sz w:val="28"/>
                <w:szCs w:val="28"/>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1f5c99" w:val="clear"/>
            <w:tcMar>
              <w:top w:w="120.0" w:type="dxa"/>
              <w:left w:w="240.0" w:type="dxa"/>
              <w:bottom w:w="120.0" w:type="dxa"/>
              <w:right w:w="240.0" w:type="dxa"/>
            </w:tcMar>
          </w:tcPr>
          <w:p w:rsidR="00000000" w:rsidDel="00000000" w:rsidP="00000000" w:rsidRDefault="00000000" w:rsidRPr="00000000" w14:paraId="000000A7">
            <w:pPr>
              <w:jc w:val="center"/>
              <w:rPr/>
            </w:pPr>
            <w:r w:rsidDel="00000000" w:rsidR="00000000" w:rsidRPr="00000000">
              <w:rPr>
                <w:b w:val="1"/>
                <w:bCs w:val="1"/>
                <w:color w:val="ffffff"/>
                <w:sz w:val="22"/>
                <w:szCs w:val="22"/>
                <w:rtl w:val="0"/>
              </w:rPr>
              <w:t xml:space="preserve">ETAPA 3: ANÁLISIS DE VARIABILIDAD HOSPITALARIA</w:t>
            </w:r>
            <w:r w:rsidDel="00000000" w:rsidR="00000000" w:rsidRPr="00000000">
              <w:rPr>
                <w:rtl w:val="0"/>
              </w:rPr>
            </w:r>
          </w:p>
          <w:p w:rsidR="00000000" w:rsidDel="00000000" w:rsidP="00000000" w:rsidRDefault="00000000" w:rsidRPr="00000000" w14:paraId="000000A8">
            <w:pPr>
              <w:jc w:val="center"/>
              <w:rPr/>
            </w:pPr>
            <w:r w:rsidDel="00000000" w:rsidR="00000000" w:rsidRPr="00000000">
              <w:rPr>
                <w:color w:val="dddddd"/>
                <w:sz w:val="18"/>
                <w:szCs w:val="18"/>
                <w:rtl w:val="0"/>
              </w:rPr>
              <w:t xml:space="preserve">P1: Estancia vs. Severidad (medianas, IQR, boxplots) • P2: Exceso de estancia ajustado por peso GRD • P3: Variabilidad intra-GRD entre hospitales (CV, rango) • P4: Estandarización directa por severidad • P5: SMR con IC al 95% (Poisson)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jc w:val="center"/>
              <w:rPr/>
            </w:pPr>
            <w:r w:rsidDel="00000000" w:rsidR="00000000" w:rsidRPr="00000000">
              <w:rPr>
                <w:b w:val="1"/>
                <w:bCs w:val="1"/>
                <w:color w:val="1f5c99"/>
                <w:sz w:val="28"/>
                <w:szCs w:val="28"/>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20.0" w:type="dxa"/>
              <w:left w:w="240.0" w:type="dxa"/>
              <w:bottom w:w="120.0" w:type="dxa"/>
              <w:right w:w="240.0" w:type="dxa"/>
            </w:tcMar>
          </w:tcPr>
          <w:p w:rsidR="00000000" w:rsidDel="00000000" w:rsidP="00000000" w:rsidRDefault="00000000" w:rsidRPr="00000000" w14:paraId="000000AA">
            <w:pPr>
              <w:jc w:val="center"/>
              <w:rPr/>
            </w:pPr>
            <w:r w:rsidDel="00000000" w:rsidR="00000000" w:rsidRPr="00000000">
              <w:rPr>
                <w:b w:val="1"/>
                <w:bCs w:val="1"/>
                <w:color w:val="ffffff"/>
                <w:sz w:val="22"/>
                <w:szCs w:val="22"/>
                <w:rtl w:val="0"/>
              </w:rPr>
              <w:t xml:space="preserve">ETAPA 4: SÍNTESIS E INTERPRETACIÓN</w:t>
            </w:r>
            <w:r w:rsidDel="00000000" w:rsidR="00000000" w:rsidRPr="00000000">
              <w:rPr>
                <w:rtl w:val="0"/>
              </w:rPr>
            </w:r>
          </w:p>
          <w:p w:rsidR="00000000" w:rsidDel="00000000" w:rsidP="00000000" w:rsidRDefault="00000000" w:rsidRPr="00000000" w14:paraId="000000AB">
            <w:pPr>
              <w:jc w:val="center"/>
              <w:rPr/>
            </w:pPr>
            <w:r w:rsidDel="00000000" w:rsidR="00000000" w:rsidRPr="00000000">
              <w:rPr>
                <w:color w:val="dddddd"/>
                <w:sz w:val="18"/>
                <w:szCs w:val="18"/>
                <w:rtl w:val="0"/>
              </w:rPr>
              <w:t xml:space="preserve">Tabla resumen de hallazgos por pregunta • Benchmarking hospitalario ajustado por casemix • Implicancias de política pública y recomendaciones</w:t>
            </w:r>
            <w:r w:rsidDel="00000000" w:rsidR="00000000" w:rsidRPr="00000000">
              <w:rPr>
                <w:rtl w:val="0"/>
              </w:rPr>
            </w:r>
          </w:p>
        </w:tc>
      </w:tr>
    </w:tbl>
    <w:p w:rsidR="00000000" w:rsidDel="00000000" w:rsidP="00000000" w:rsidRDefault="00000000" w:rsidRPr="00000000" w14:paraId="000000AC">
      <w:pPr>
        <w:spacing w:after="80" w:before="80" w:lineRule="auto"/>
        <w:rPr/>
      </w:pPr>
      <w:r w:rsidDel="00000000" w:rsidR="00000000" w:rsidRPr="00000000">
        <w:rPr>
          <w:rtl w:val="0"/>
        </w:rPr>
      </w:r>
    </w:p>
    <w:p w:rsidR="00000000" w:rsidDel="00000000" w:rsidP="00000000" w:rsidRDefault="00000000" w:rsidRPr="00000000" w14:paraId="000000AD">
      <w:pPr>
        <w:pStyle w:val="Heading2"/>
        <w:spacing w:after="120" w:before="240" w:lineRule="auto"/>
        <w:rPr/>
      </w:pPr>
      <w:r w:rsidDel="00000000" w:rsidR="00000000" w:rsidRPr="00000000">
        <w:rPr>
          <w:b w:val="1"/>
          <w:bCs w:val="1"/>
          <w:color w:val="2e75b6"/>
          <w:sz w:val="26"/>
          <w:szCs w:val="26"/>
          <w:rtl w:val="0"/>
        </w:rPr>
        <w:t xml:space="preserve">3.4 Limitaciones del Estudio</w:t>
      </w:r>
      <w:r w:rsidDel="00000000" w:rsidR="00000000" w:rsidRPr="00000000">
        <w:rPr>
          <w:rtl w:val="0"/>
        </w:rPr>
      </w:r>
    </w:p>
    <w:p w:rsidR="00000000" w:rsidDel="00000000" w:rsidP="00000000" w:rsidRDefault="00000000" w:rsidRPr="00000000" w14:paraId="000000AE">
      <w:pPr>
        <w:spacing w:after="80" w:before="80" w:lineRule="auto"/>
        <w:jc w:val="both"/>
        <w:rPr/>
      </w:pPr>
      <w:r w:rsidDel="00000000" w:rsidR="00000000" w:rsidRPr="00000000">
        <w:rPr>
          <w:sz w:val="22"/>
          <w:szCs w:val="22"/>
          <w:rtl w:val="0"/>
        </w:rPr>
        <w:t xml:space="preserve">El presente estudio es de carácter observacional, por lo que los resultados deben interpretarse como asociaciones estadísticas y no como relaciones causales. Adicionalmente, el dataset GRD 2023 no incluye variables socioeconómicas del paciente ni indicadores de complejidad social, lo que podría explicar parte de la variabilidad residual observada sin que esta sea atribuible a la gestión hospitalaria. Finalmente, el análisis se limita al sector FONASA, por lo que los resultados no son generalizables al sector de seguros privados de salud (ISAPRE).</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spacing w:after="180" w:before="360" w:lineRule="auto"/>
        <w:rPr/>
      </w:pPr>
      <w:r w:rsidDel="00000000" w:rsidR="00000000" w:rsidRPr="00000000">
        <w:rPr>
          <w:b w:val="1"/>
          <w:bCs w:val="1"/>
          <w:color w:val="1f5c99"/>
          <w:sz w:val="32"/>
          <w:szCs w:val="32"/>
          <w:rtl w:val="0"/>
        </w:rPr>
        <w:t xml:space="preserve">4. Plan de Trabajo para el Avance Final</w:t>
      </w:r>
      <w:r w:rsidDel="00000000" w:rsidR="00000000" w:rsidRPr="00000000">
        <w:rPr>
          <w:rtl w:val="0"/>
        </w:rPr>
      </w:r>
    </w:p>
    <w:p w:rsidR="00000000" w:rsidDel="00000000" w:rsidP="00000000" w:rsidRDefault="00000000" w:rsidRPr="00000000" w14:paraId="000000B1">
      <w:pPr>
        <w:pStyle w:val="Heading2"/>
        <w:spacing w:after="120" w:before="240" w:lineRule="auto"/>
        <w:rPr/>
      </w:pPr>
      <w:r w:rsidDel="00000000" w:rsidR="00000000" w:rsidRPr="00000000">
        <w:rPr>
          <w:b w:val="1"/>
          <w:bCs w:val="1"/>
          <w:color w:val="2e75b6"/>
          <w:sz w:val="26"/>
          <w:szCs w:val="26"/>
          <w:rtl w:val="0"/>
        </w:rPr>
        <w:t xml:space="preserve">4.1 Cronograma de Actividades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360"/>
        <w:gridCol w:w="2800"/>
        <w:tblGridChange w:id="0">
          <w:tblGrid>
            <w:gridCol w:w="2200"/>
            <w:gridCol w:w="4360"/>
            <w:gridCol w:w="2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b w:val="1"/>
                <w:bCs w:val="1"/>
                <w:color w:val="ffffff"/>
                <w:sz w:val="20"/>
                <w:szCs w:val="20"/>
                <w:rtl w:val="0"/>
              </w:rPr>
              <w:t xml:space="preserve">Semana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b w:val="1"/>
                <w:bCs w:val="1"/>
                <w:color w:val="ffffff"/>
                <w:sz w:val="20"/>
                <w:szCs w:val="20"/>
                <w:rtl w:val="0"/>
              </w:rPr>
              <w:t xml:space="preserve">Actividad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b w:val="1"/>
                <w:bCs w:val="1"/>
                <w:color w:val="ffffff"/>
                <w:sz w:val="20"/>
                <w:szCs w:val="20"/>
                <w:rtl w:val="0"/>
              </w:rPr>
              <w:t xml:space="preserve">Entregable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b w:val="1"/>
                <w:bCs w:val="1"/>
                <w:sz w:val="20"/>
                <w:szCs w:val="20"/>
                <w:rtl w:val="0"/>
              </w:rPr>
              <w:t xml:space="preserve">Sem. 1 (7–13 Abr)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B6">
            <w:pPr>
              <w:jc w:val="left"/>
              <w:rPr/>
            </w:pPr>
            <w:r w:rsidDel="00000000" w:rsidR="00000000" w:rsidRPr="00000000">
              <w:rPr>
                <w:b w:val="0"/>
                <w:bCs w:val="0"/>
                <w:sz w:val="20"/>
                <w:szCs w:val="20"/>
                <w:rtl w:val="0"/>
              </w:rPr>
              <w:t xml:space="preserve">Carga definitiva del dataset, limpieza, análisis descriptivo inicial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b w:val="0"/>
                <w:bCs w:val="0"/>
                <w:sz w:val="20"/>
                <w:szCs w:val="20"/>
                <w:rtl w:val="0"/>
              </w:rPr>
              <w:t xml:space="preserve">Dataset limpio + script de carga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b w:val="1"/>
                <w:bCs w:val="1"/>
                <w:sz w:val="20"/>
                <w:szCs w:val="20"/>
                <w:rtl w:val="0"/>
              </w:rPr>
              <w:t xml:space="preserve">Sem. 2 (14–20 Abr)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jc w:val="left"/>
              <w:rPr/>
            </w:pPr>
            <w:r w:rsidDel="00000000" w:rsidR="00000000" w:rsidRPr="00000000">
              <w:rPr>
                <w:b w:val="0"/>
                <w:bCs w:val="0"/>
                <w:sz w:val="20"/>
                <w:szCs w:val="20"/>
                <w:rtl w:val="0"/>
              </w:rPr>
              <w:t xml:space="preserve">Análisis P1 y P2: estancia-severidad y exceso ajustado por peso GRD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jc w:val="left"/>
              <w:rPr/>
            </w:pPr>
            <w:r w:rsidDel="00000000" w:rsidR="00000000" w:rsidRPr="00000000">
              <w:rPr>
                <w:b w:val="0"/>
                <w:bCs w:val="0"/>
                <w:sz w:val="20"/>
                <w:szCs w:val="20"/>
                <w:rtl w:val="0"/>
              </w:rPr>
              <w:t xml:space="preserve">Figuras fig_01 y fig_02 validadas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BB">
            <w:pPr>
              <w:jc w:val="left"/>
              <w:rPr/>
            </w:pPr>
            <w:r w:rsidDel="00000000" w:rsidR="00000000" w:rsidRPr="00000000">
              <w:rPr>
                <w:b w:val="1"/>
                <w:bCs w:val="1"/>
                <w:sz w:val="20"/>
                <w:szCs w:val="20"/>
                <w:rtl w:val="0"/>
              </w:rPr>
              <w:t xml:space="preserve">Sem. 3 (21–27 Abr)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BC">
            <w:pPr>
              <w:jc w:val="left"/>
              <w:rPr/>
            </w:pPr>
            <w:r w:rsidDel="00000000" w:rsidR="00000000" w:rsidRPr="00000000">
              <w:rPr>
                <w:b w:val="0"/>
                <w:bCs w:val="0"/>
                <w:sz w:val="20"/>
                <w:szCs w:val="20"/>
                <w:rtl w:val="0"/>
              </w:rPr>
              <w:t xml:space="preserve">Análisis P3 y P4: variabilidad intra-GRD y estandarización directa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BD">
            <w:pPr>
              <w:jc w:val="left"/>
              <w:rPr/>
            </w:pPr>
            <w:r w:rsidDel="00000000" w:rsidR="00000000" w:rsidRPr="00000000">
              <w:rPr>
                <w:b w:val="0"/>
                <w:bCs w:val="0"/>
                <w:sz w:val="20"/>
                <w:szCs w:val="20"/>
                <w:rtl w:val="0"/>
              </w:rPr>
              <w:t xml:space="preserve">Figuras fig_03 y fig_04 validadas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jc w:val="left"/>
              <w:rPr/>
            </w:pPr>
            <w:r w:rsidDel="00000000" w:rsidR="00000000" w:rsidRPr="00000000">
              <w:rPr>
                <w:b w:val="1"/>
                <w:bCs w:val="1"/>
                <w:sz w:val="20"/>
                <w:szCs w:val="20"/>
                <w:rtl w:val="0"/>
              </w:rPr>
              <w:t xml:space="preserve">Sem. 4 (28 Abr–4 May)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jc w:val="left"/>
              <w:rPr/>
            </w:pPr>
            <w:r w:rsidDel="00000000" w:rsidR="00000000" w:rsidRPr="00000000">
              <w:rPr>
                <w:b w:val="0"/>
                <w:bCs w:val="0"/>
                <w:sz w:val="20"/>
                <w:szCs w:val="20"/>
                <w:rtl w:val="0"/>
              </w:rPr>
              <w:t xml:space="preserve">SMR con intervalos de confianza (P5), validación estadística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jc w:val="left"/>
              <w:rPr/>
            </w:pPr>
            <w:r w:rsidDel="00000000" w:rsidR="00000000" w:rsidRPr="00000000">
              <w:rPr>
                <w:b w:val="0"/>
                <w:bCs w:val="0"/>
                <w:sz w:val="20"/>
                <w:szCs w:val="20"/>
                <w:rtl w:val="0"/>
              </w:rPr>
              <w:t xml:space="preserve">Figura fig_05 + tabla SMR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C1">
            <w:pPr>
              <w:jc w:val="left"/>
              <w:rPr/>
            </w:pPr>
            <w:r w:rsidDel="00000000" w:rsidR="00000000" w:rsidRPr="00000000">
              <w:rPr>
                <w:b w:val="1"/>
                <w:bCs w:val="1"/>
                <w:sz w:val="20"/>
                <w:szCs w:val="20"/>
                <w:rtl w:val="0"/>
              </w:rPr>
              <w:t xml:space="preserve">Sem. 5 (5–11 May)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C2">
            <w:pPr>
              <w:jc w:val="left"/>
              <w:rPr/>
            </w:pPr>
            <w:r w:rsidDel="00000000" w:rsidR="00000000" w:rsidRPr="00000000">
              <w:rPr>
                <w:b w:val="0"/>
                <w:bCs w:val="0"/>
                <w:sz w:val="20"/>
                <w:szCs w:val="20"/>
                <w:rtl w:val="0"/>
              </w:rPr>
              <w:t xml:space="preserve">Redacción del informe final, síntesis de hallazgos e implicancias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C3">
            <w:pPr>
              <w:jc w:val="left"/>
              <w:rPr/>
            </w:pPr>
            <w:r w:rsidDel="00000000" w:rsidR="00000000" w:rsidRPr="00000000">
              <w:rPr>
                <w:b w:val="0"/>
                <w:bCs w:val="0"/>
                <w:sz w:val="20"/>
                <w:szCs w:val="20"/>
                <w:rtl w:val="0"/>
              </w:rPr>
              <w:t xml:space="preserve">Borrador del informe final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jc w:val="left"/>
              <w:rPr/>
            </w:pPr>
            <w:r w:rsidDel="00000000" w:rsidR="00000000" w:rsidRPr="00000000">
              <w:rPr>
                <w:b w:val="1"/>
                <w:bCs w:val="1"/>
                <w:sz w:val="20"/>
                <w:szCs w:val="20"/>
                <w:rtl w:val="0"/>
              </w:rPr>
              <w:t xml:space="preserve">Sem. 6 (12–18 May)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jc w:val="left"/>
              <w:rPr/>
            </w:pPr>
            <w:r w:rsidDel="00000000" w:rsidR="00000000" w:rsidRPr="00000000">
              <w:rPr>
                <w:b w:val="0"/>
                <w:bCs w:val="0"/>
                <w:sz w:val="20"/>
                <w:szCs w:val="20"/>
                <w:rtl w:val="0"/>
              </w:rPr>
              <w:t xml:space="preserve">Revisión, corrección y entrega final del informe y la presentación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b w:val="0"/>
                <w:bCs w:val="0"/>
                <w:sz w:val="20"/>
                <w:szCs w:val="20"/>
                <w:rtl w:val="0"/>
              </w:rPr>
              <w:t xml:space="preserve">Informe final + presentación</w:t>
            </w:r>
            <w:r w:rsidDel="00000000" w:rsidR="00000000" w:rsidRPr="00000000">
              <w:rPr>
                <w:rtl w:val="0"/>
              </w:rPr>
            </w:r>
          </w:p>
        </w:tc>
      </w:tr>
    </w:tbl>
    <w:p w:rsidR="00000000" w:rsidDel="00000000" w:rsidP="00000000" w:rsidRDefault="00000000" w:rsidRPr="00000000" w14:paraId="000000C7">
      <w:pPr>
        <w:spacing w:after="80" w:before="80" w:lineRule="auto"/>
        <w:rPr/>
      </w:pPr>
      <w:r w:rsidDel="00000000" w:rsidR="00000000" w:rsidRPr="00000000">
        <w:rPr>
          <w:rtl w:val="0"/>
        </w:rPr>
      </w:r>
    </w:p>
    <w:p w:rsidR="00000000" w:rsidDel="00000000" w:rsidP="00000000" w:rsidRDefault="00000000" w:rsidRPr="00000000" w14:paraId="000000C8">
      <w:pPr>
        <w:pStyle w:val="Heading2"/>
        <w:spacing w:after="120" w:before="240" w:lineRule="auto"/>
        <w:rPr/>
      </w:pPr>
      <w:r w:rsidDel="00000000" w:rsidR="00000000" w:rsidRPr="00000000">
        <w:rPr>
          <w:b w:val="1"/>
          <w:bCs w:val="1"/>
          <w:color w:val="2e75b6"/>
          <w:sz w:val="26"/>
          <w:szCs w:val="26"/>
          <w:rtl w:val="0"/>
        </w:rPr>
        <w:t xml:space="preserve">4.2 Distribución de Responsabilidades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60"/>
        <w:gridCol w:w="2400"/>
        <w:tblGridChange w:id="0">
          <w:tblGrid>
            <w:gridCol w:w="2400"/>
            <w:gridCol w:w="4560"/>
            <w:gridCol w:w="24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b w:val="1"/>
                <w:bCs w:val="1"/>
                <w:color w:val="ffffff"/>
                <w:sz w:val="20"/>
                <w:szCs w:val="20"/>
                <w:rtl w:val="0"/>
              </w:rPr>
              <w:t xml:space="preserve">Integrante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b w:val="1"/>
                <w:bCs w:val="1"/>
                <w:color w:val="ffffff"/>
                <w:sz w:val="20"/>
                <w:szCs w:val="20"/>
                <w:rtl w:val="0"/>
              </w:rPr>
              <w:t xml:space="preserve">Responsabilidades principales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b w:val="1"/>
                <w:bCs w:val="1"/>
                <w:color w:val="ffffff"/>
                <w:sz w:val="20"/>
                <w:szCs w:val="20"/>
                <w:rtl w:val="0"/>
              </w:rPr>
              <w:t xml:space="preserve">Preguntas asignadas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b w:val="1"/>
                <w:bCs w:val="1"/>
                <w:sz w:val="20"/>
                <w:szCs w:val="20"/>
                <w:rtl w:val="0"/>
              </w:rPr>
              <w:t xml:space="preserve">Camilo Bufadel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CD">
            <w:pPr>
              <w:jc w:val="left"/>
              <w:rPr/>
            </w:pPr>
            <w:r w:rsidDel="00000000" w:rsidR="00000000" w:rsidRPr="00000000">
              <w:rPr>
                <w:b w:val="0"/>
                <w:bCs w:val="0"/>
                <w:sz w:val="20"/>
                <w:szCs w:val="20"/>
                <w:rtl w:val="0"/>
              </w:rPr>
              <w:t xml:space="preserve">Carga y limpieza de datos, integración de tablas maestras, análisis estadístico principal, regresión lineal y SMR.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CE">
            <w:pPr>
              <w:jc w:val="left"/>
              <w:rPr/>
            </w:pPr>
            <w:r w:rsidDel="00000000" w:rsidR="00000000" w:rsidRPr="00000000">
              <w:rPr>
                <w:b w:val="0"/>
                <w:bCs w:val="0"/>
                <w:sz w:val="20"/>
                <w:szCs w:val="20"/>
                <w:rtl w:val="0"/>
              </w:rPr>
              <w:t xml:space="preserve">P1, P2, P5 (corresponsable)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jc w:val="left"/>
              <w:rPr/>
            </w:pPr>
            <w:r w:rsidDel="00000000" w:rsidR="00000000" w:rsidRPr="00000000">
              <w:rPr>
                <w:b w:val="1"/>
                <w:bCs w:val="1"/>
                <w:sz w:val="20"/>
                <w:szCs w:val="20"/>
                <w:rtl w:val="0"/>
              </w:rPr>
              <w:t xml:space="preserve">Renato Lenis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left"/>
              <w:rPr/>
            </w:pPr>
            <w:r w:rsidDel="00000000" w:rsidR="00000000" w:rsidRPr="00000000">
              <w:rPr>
                <w:b w:val="0"/>
                <w:bCs w:val="0"/>
                <w:sz w:val="20"/>
                <w:szCs w:val="20"/>
                <w:rtl w:val="0"/>
              </w:rPr>
              <w:t xml:space="preserve">Análisis de variabilidad intra-GRD, estandarización directa, redacción del informe, revisión bibliográfica, coordinación de entregas.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jc w:val="left"/>
              <w:rPr/>
            </w:pPr>
            <w:r w:rsidDel="00000000" w:rsidR="00000000" w:rsidRPr="00000000">
              <w:rPr>
                <w:b w:val="0"/>
                <w:bCs w:val="0"/>
                <w:sz w:val="20"/>
                <w:szCs w:val="20"/>
                <w:rtl w:val="0"/>
              </w:rPr>
              <w:t xml:space="preserve">P3, P4, P5 (corresponsable)</w:t>
            </w:r>
            <w:r w:rsidDel="00000000" w:rsidR="00000000" w:rsidRPr="00000000">
              <w:rPr>
                <w:rtl w:val="0"/>
              </w:rPr>
            </w:r>
          </w:p>
        </w:tc>
      </w:tr>
    </w:tbl>
    <w:p w:rsidR="00000000" w:rsidDel="00000000" w:rsidP="00000000" w:rsidRDefault="00000000" w:rsidRPr="00000000" w14:paraId="000000D2">
      <w:pPr>
        <w:spacing w:after="80" w:before="80" w:lineRule="auto"/>
        <w:rPr/>
      </w:pPr>
      <w:r w:rsidDel="00000000" w:rsidR="00000000" w:rsidRPr="00000000">
        <w:rPr>
          <w:rtl w:val="0"/>
        </w:rPr>
      </w:r>
    </w:p>
    <w:p w:rsidR="00000000" w:rsidDel="00000000" w:rsidP="00000000" w:rsidRDefault="00000000" w:rsidRPr="00000000" w14:paraId="000000D3">
      <w:pPr>
        <w:spacing w:after="80" w:before="80" w:lineRule="auto"/>
        <w:jc w:val="both"/>
        <w:rPr/>
      </w:pPr>
      <w:r w:rsidDel="00000000" w:rsidR="00000000" w:rsidRPr="00000000">
        <w:rPr>
          <w:i w:val="1"/>
          <w:iCs w:val="1"/>
          <w:sz w:val="22"/>
          <w:szCs w:val="22"/>
          <w:rtl w:val="0"/>
        </w:rPr>
        <w:t xml:space="preserve">Nota: ambos integrantes participan en la revisión cruzada de resultados antes de la entrega final.</w:t>
      </w: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spacing w:after="180" w:before="360" w:lineRule="auto"/>
        <w:rPr/>
      </w:pPr>
      <w:r w:rsidDel="00000000" w:rsidR="00000000" w:rsidRPr="00000000">
        <w:rPr>
          <w:b w:val="1"/>
          <w:bCs w:val="1"/>
          <w:color w:val="1f5c99"/>
          <w:sz w:val="32"/>
          <w:szCs w:val="32"/>
          <w:rtl w:val="0"/>
        </w:rPr>
        <w:t xml:space="preserve">5. Referencias</w:t>
      </w:r>
      <w:r w:rsidDel="00000000" w:rsidR="00000000" w:rsidRPr="00000000">
        <w:rPr>
          <w:rtl w:val="0"/>
        </w:rPr>
      </w:r>
    </w:p>
    <w:p w:rsidR="00000000" w:rsidDel="00000000" w:rsidP="00000000" w:rsidRDefault="00000000" w:rsidRPr="00000000" w14:paraId="000000D6">
      <w:pPr>
        <w:pStyle w:val="Heading2"/>
        <w:spacing w:after="120" w:before="240" w:lineRule="auto"/>
        <w:rPr/>
      </w:pPr>
      <w:r w:rsidDel="00000000" w:rsidR="00000000" w:rsidRPr="00000000">
        <w:rPr>
          <w:b w:val="1"/>
          <w:bCs w:val="1"/>
          <w:color w:val="2e75b6"/>
          <w:sz w:val="26"/>
          <w:szCs w:val="26"/>
          <w:rtl w:val="0"/>
        </w:rPr>
        <w:t xml:space="preserve">5.1 Fuentes de Datos</w:t>
      </w:r>
      <w:r w:rsidDel="00000000" w:rsidR="00000000" w:rsidRPr="00000000">
        <w:rPr>
          <w:rtl w:val="0"/>
        </w:rPr>
      </w:r>
    </w:p>
    <w:p w:rsidR="00000000" w:rsidDel="00000000" w:rsidP="00000000" w:rsidRDefault="00000000" w:rsidRPr="00000000" w14:paraId="000000D7">
      <w:pPr>
        <w:spacing w:after="80" w:before="80" w:lineRule="auto"/>
        <w:jc w:val="both"/>
        <w:rPr/>
      </w:pPr>
      <w:r w:rsidDel="00000000" w:rsidR="00000000" w:rsidRPr="00000000">
        <w:rPr>
          <w:sz w:val="22"/>
          <w:szCs w:val="22"/>
          <w:rtl w:val="0"/>
        </w:rPr>
        <w:t xml:space="preserve">Ministerio de Salud de Chile (MINSAL). (2023). Egresos Hospitalarios GRD 2023. Disponible en: https://datos.gob.cl</w:t>
      </w:r>
      <w:r w:rsidDel="00000000" w:rsidR="00000000" w:rsidRPr="00000000">
        <w:rPr>
          <w:rtl w:val="0"/>
        </w:rPr>
      </w:r>
    </w:p>
    <w:p w:rsidR="00000000" w:rsidDel="00000000" w:rsidP="00000000" w:rsidRDefault="00000000" w:rsidRPr="00000000" w14:paraId="000000D8">
      <w:pPr>
        <w:spacing w:after="80" w:before="80" w:lineRule="auto"/>
        <w:rPr/>
      </w:pPr>
      <w:r w:rsidDel="00000000" w:rsidR="00000000" w:rsidRPr="00000000">
        <w:rPr>
          <w:rtl w:val="0"/>
        </w:rPr>
      </w:r>
    </w:p>
    <w:p w:rsidR="00000000" w:rsidDel="00000000" w:rsidP="00000000" w:rsidRDefault="00000000" w:rsidRPr="00000000" w14:paraId="000000D9">
      <w:pPr>
        <w:spacing w:after="80" w:before="80" w:lineRule="auto"/>
        <w:jc w:val="both"/>
        <w:rPr/>
      </w:pPr>
      <w:r w:rsidDel="00000000" w:rsidR="00000000" w:rsidRPr="00000000">
        <w:rPr>
          <w:sz w:val="22"/>
          <w:szCs w:val="22"/>
          <w:rtl w:val="0"/>
        </w:rPr>
        <w:t xml:space="preserve">Fondo Nacional de Salud (FONASA). (2023). Estadísticas de beneficiarios y atención hospitalaria 2023. Santiago: FONASA.</w:t>
      </w:r>
      <w:r w:rsidDel="00000000" w:rsidR="00000000" w:rsidRPr="00000000">
        <w:rPr>
          <w:rtl w:val="0"/>
        </w:rPr>
      </w:r>
    </w:p>
    <w:p w:rsidR="00000000" w:rsidDel="00000000" w:rsidP="00000000" w:rsidRDefault="00000000" w:rsidRPr="00000000" w14:paraId="000000DA">
      <w:pPr>
        <w:spacing w:after="80" w:before="80" w:lineRule="auto"/>
        <w:rPr/>
      </w:pPr>
      <w:r w:rsidDel="00000000" w:rsidR="00000000" w:rsidRPr="00000000">
        <w:rPr>
          <w:rtl w:val="0"/>
        </w:rPr>
      </w:r>
    </w:p>
    <w:p w:rsidR="00000000" w:rsidDel="00000000" w:rsidP="00000000" w:rsidRDefault="00000000" w:rsidRPr="00000000" w14:paraId="000000DB">
      <w:pPr>
        <w:pStyle w:val="Heading2"/>
        <w:spacing w:after="120" w:before="240" w:lineRule="auto"/>
        <w:rPr/>
      </w:pPr>
      <w:r w:rsidDel="00000000" w:rsidR="00000000" w:rsidRPr="00000000">
        <w:rPr>
          <w:b w:val="1"/>
          <w:bCs w:val="1"/>
          <w:color w:val="2e75b6"/>
          <w:sz w:val="26"/>
          <w:szCs w:val="26"/>
          <w:rtl w:val="0"/>
        </w:rPr>
        <w:t xml:space="preserve">5.2 Bibliografía</w:t>
      </w:r>
      <w:r w:rsidDel="00000000" w:rsidR="00000000" w:rsidRPr="00000000">
        <w:rPr>
          <w:rtl w:val="0"/>
        </w:rPr>
      </w:r>
    </w:p>
    <w:p w:rsidR="00000000" w:rsidDel="00000000" w:rsidP="00000000" w:rsidRDefault="00000000" w:rsidRPr="00000000" w14:paraId="000000DC">
      <w:pPr>
        <w:spacing w:after="80" w:before="80" w:lineRule="auto"/>
        <w:jc w:val="both"/>
        <w:rPr/>
      </w:pPr>
      <w:r w:rsidDel="00000000" w:rsidR="00000000" w:rsidRPr="00000000">
        <w:rPr>
          <w:sz w:val="22"/>
          <w:szCs w:val="22"/>
          <w:rtl w:val="0"/>
        </w:rPr>
        <w:t xml:space="preserve">Averill, R. F. et al. (2003). All Patient Refined DRGs, Version 20.0: Methodology Overview. Wallingford, CT: 3M Health Information Systems.</w:t>
      </w:r>
      <w:r w:rsidDel="00000000" w:rsidR="00000000" w:rsidRPr="00000000">
        <w:rPr>
          <w:rtl w:val="0"/>
        </w:rPr>
      </w:r>
    </w:p>
    <w:p w:rsidR="00000000" w:rsidDel="00000000" w:rsidP="00000000" w:rsidRDefault="00000000" w:rsidRPr="00000000" w14:paraId="000000DD">
      <w:pPr>
        <w:spacing w:after="80" w:before="80" w:lineRule="auto"/>
        <w:rPr/>
      </w:pPr>
      <w:r w:rsidDel="00000000" w:rsidR="00000000" w:rsidRPr="00000000">
        <w:rPr>
          <w:rtl w:val="0"/>
        </w:rPr>
      </w:r>
    </w:p>
    <w:p w:rsidR="00000000" w:rsidDel="00000000" w:rsidP="00000000" w:rsidRDefault="00000000" w:rsidRPr="00000000" w14:paraId="000000DE">
      <w:pPr>
        <w:spacing w:after="80" w:before="80" w:lineRule="auto"/>
        <w:jc w:val="both"/>
        <w:rPr/>
      </w:pPr>
      <w:r w:rsidDel="00000000" w:rsidR="00000000" w:rsidRPr="00000000">
        <w:rPr>
          <w:sz w:val="22"/>
          <w:szCs w:val="22"/>
          <w:rtl w:val="0"/>
        </w:rPr>
        <w:t xml:space="preserve">Fetter, R. B., Shin, Y., Freeman, J. L., Averill, R. F. y Thompson, J. D. (1980). Case mix definition by diagnosis-related groups. Medical Care, 18(2 Suppl), iii, 1–53.</w:t>
      </w:r>
      <w:r w:rsidDel="00000000" w:rsidR="00000000" w:rsidRPr="00000000">
        <w:rPr>
          <w:rtl w:val="0"/>
        </w:rPr>
      </w:r>
    </w:p>
    <w:p w:rsidR="00000000" w:rsidDel="00000000" w:rsidP="00000000" w:rsidRDefault="00000000" w:rsidRPr="00000000" w14:paraId="000000DF">
      <w:pPr>
        <w:spacing w:after="80" w:before="80" w:lineRule="auto"/>
        <w:rPr/>
      </w:pPr>
      <w:r w:rsidDel="00000000" w:rsidR="00000000" w:rsidRPr="00000000">
        <w:rPr>
          <w:rtl w:val="0"/>
        </w:rPr>
      </w:r>
    </w:p>
    <w:p w:rsidR="00000000" w:rsidDel="00000000" w:rsidP="00000000" w:rsidRDefault="00000000" w:rsidRPr="00000000" w14:paraId="000000E0">
      <w:pPr>
        <w:spacing w:after="80" w:before="80" w:lineRule="auto"/>
        <w:jc w:val="both"/>
        <w:rPr/>
      </w:pPr>
      <w:r w:rsidDel="00000000" w:rsidR="00000000" w:rsidRPr="00000000">
        <w:rPr>
          <w:sz w:val="22"/>
          <w:szCs w:val="22"/>
          <w:rtl w:val="0"/>
        </w:rPr>
        <w:t xml:space="preserve">Iezzoni, L. I. (Ed.). (2013). Risk Adjustment for Measuring Health Care Outcomes (4.ª ed.). Chicago: Health Administration Press.</w:t>
      </w:r>
      <w:r w:rsidDel="00000000" w:rsidR="00000000" w:rsidRPr="00000000">
        <w:rPr>
          <w:rtl w:val="0"/>
        </w:rPr>
      </w:r>
    </w:p>
    <w:p w:rsidR="00000000" w:rsidDel="00000000" w:rsidP="00000000" w:rsidRDefault="00000000" w:rsidRPr="00000000" w14:paraId="000000E1">
      <w:pPr>
        <w:spacing w:after="80" w:before="80" w:lineRule="auto"/>
        <w:rPr/>
      </w:pPr>
      <w:r w:rsidDel="00000000" w:rsidR="00000000" w:rsidRPr="00000000">
        <w:rPr>
          <w:rtl w:val="0"/>
        </w:rPr>
      </w:r>
    </w:p>
    <w:p w:rsidR="00000000" w:rsidDel="00000000" w:rsidP="00000000" w:rsidRDefault="00000000" w:rsidRPr="00000000" w14:paraId="000000E2">
      <w:pPr>
        <w:spacing w:after="80" w:before="80" w:lineRule="auto"/>
        <w:jc w:val="both"/>
        <w:rPr/>
      </w:pPr>
      <w:r w:rsidDel="00000000" w:rsidR="00000000" w:rsidRPr="00000000">
        <w:rPr>
          <w:sz w:val="22"/>
          <w:szCs w:val="22"/>
          <w:rtl w:val="0"/>
        </w:rPr>
        <w:t xml:space="preserve">Ministerio de Salud de Chile. (2020). Manual de Codificación GRD. Santiago: MINSAL.</w:t>
      </w:r>
      <w:r w:rsidDel="00000000" w:rsidR="00000000" w:rsidRPr="00000000">
        <w:rPr>
          <w:rtl w:val="0"/>
        </w:rPr>
      </w:r>
    </w:p>
    <w:p w:rsidR="00000000" w:rsidDel="00000000" w:rsidP="00000000" w:rsidRDefault="00000000" w:rsidRPr="00000000" w14:paraId="000000E3">
      <w:pPr>
        <w:spacing w:after="80" w:before="80" w:lineRule="auto"/>
        <w:rPr/>
      </w:pPr>
      <w:r w:rsidDel="00000000" w:rsidR="00000000" w:rsidRPr="00000000">
        <w:rPr>
          <w:rtl w:val="0"/>
        </w:rPr>
      </w:r>
    </w:p>
    <w:p w:rsidR="00000000" w:rsidDel="00000000" w:rsidP="00000000" w:rsidRDefault="00000000" w:rsidRPr="00000000" w14:paraId="000000E4">
      <w:pPr>
        <w:spacing w:after="80" w:before="80" w:lineRule="auto"/>
        <w:jc w:val="both"/>
        <w:rPr/>
      </w:pPr>
      <w:r w:rsidDel="00000000" w:rsidR="00000000" w:rsidRPr="00000000">
        <w:rPr>
          <w:sz w:val="22"/>
          <w:szCs w:val="22"/>
          <w:rtl w:val="0"/>
        </w:rPr>
        <w:t xml:space="preserve">OCDE. (2019). Health at a Glance 2019: OECD Indicators. París: OCDE Publishing. https://doi.org/10.1787/4dd50c09-en</w:t>
      </w:r>
      <w:r w:rsidDel="00000000" w:rsidR="00000000" w:rsidRPr="00000000">
        <w:rPr>
          <w:rtl w:val="0"/>
        </w:rPr>
      </w:r>
    </w:p>
    <w:p w:rsidR="00000000" w:rsidDel="00000000" w:rsidP="00000000" w:rsidRDefault="00000000" w:rsidRPr="00000000" w14:paraId="000000E5">
      <w:pPr>
        <w:spacing w:after="80" w:before="80" w:lineRule="auto"/>
        <w:rPr/>
      </w:pPr>
      <w:r w:rsidDel="00000000" w:rsidR="00000000" w:rsidRPr="00000000">
        <w:rPr>
          <w:rtl w:val="0"/>
        </w:rPr>
      </w:r>
    </w:p>
    <w:p w:rsidR="00000000" w:rsidDel="00000000" w:rsidP="00000000" w:rsidRDefault="00000000" w:rsidRPr="00000000" w14:paraId="000000E6">
      <w:pPr>
        <w:spacing w:after="80" w:before="80" w:lineRule="auto"/>
        <w:jc w:val="both"/>
        <w:rPr/>
      </w:pPr>
      <w:r w:rsidDel="00000000" w:rsidR="00000000" w:rsidRPr="00000000">
        <w:rPr>
          <w:sz w:val="22"/>
          <w:szCs w:val="22"/>
          <w:rtl w:val="0"/>
        </w:rPr>
        <w:t xml:space="preserve">Peiró, S. y Meneu, R. (2013). Variabilidad en la práctica médica: implicaciones para la gestión y la calidad. Informe SEIS. Pamplona: Sociedad Española de Informática de la Salud.</w:t>
      </w:r>
      <w:r w:rsidDel="00000000" w:rsidR="00000000" w:rsidRPr="00000000">
        <w:rPr>
          <w:rtl w:val="0"/>
        </w:rPr>
      </w:r>
    </w:p>
    <w:p w:rsidR="00000000" w:rsidDel="00000000" w:rsidP="00000000" w:rsidRDefault="00000000" w:rsidRPr="00000000" w14:paraId="000000E7">
      <w:pPr>
        <w:spacing w:after="80" w:before="80" w:lineRule="auto"/>
        <w:rPr/>
      </w:pPr>
      <w:r w:rsidDel="00000000" w:rsidR="00000000" w:rsidRPr="00000000">
        <w:rPr>
          <w:rtl w:val="0"/>
        </w:rPr>
      </w:r>
    </w:p>
    <w:p w:rsidR="00000000" w:rsidDel="00000000" w:rsidP="00000000" w:rsidRDefault="00000000" w:rsidRPr="00000000" w14:paraId="000000E8">
      <w:pPr>
        <w:spacing w:after="80" w:before="80" w:lineRule="auto"/>
        <w:jc w:val="both"/>
        <w:rPr/>
      </w:pPr>
      <w:r w:rsidDel="00000000" w:rsidR="00000000" w:rsidRPr="00000000">
        <w:rPr>
          <w:sz w:val="22"/>
          <w:szCs w:val="22"/>
          <w:rtl w:val="0"/>
        </w:rPr>
        <w:t xml:space="preserve">Wennberg, J. y Gittelsohn, A. (1973). Small area variations in health care delivery. Science, 182(4117), 1102–1108.</w:t>
      </w:r>
      <w:r w:rsidDel="00000000" w:rsidR="00000000" w:rsidRPr="00000000">
        <w:rPr>
          <w:rtl w:val="0"/>
        </w:rPr>
      </w:r>
    </w:p>
    <w:p w:rsidR="00000000" w:rsidDel="00000000" w:rsidP="00000000" w:rsidRDefault="00000000" w:rsidRPr="00000000" w14:paraId="000000E9">
      <w:pPr>
        <w:spacing w:after="80" w:before="80" w:lineRule="auto"/>
        <w:rPr/>
      </w:pPr>
      <w:r w:rsidDel="00000000" w:rsidR="00000000" w:rsidRPr="00000000">
        <w:rPr>
          <w:rtl w:val="0"/>
        </w:rPr>
      </w:r>
    </w:p>
    <w:p w:rsidR="00000000" w:rsidDel="00000000" w:rsidP="00000000" w:rsidRDefault="00000000" w:rsidRPr="00000000" w14:paraId="000000EA">
      <w:pPr>
        <w:pStyle w:val="Heading2"/>
        <w:spacing w:after="120" w:before="240" w:lineRule="auto"/>
        <w:rPr/>
      </w:pPr>
      <w:r w:rsidDel="00000000" w:rsidR="00000000" w:rsidRPr="00000000">
        <w:rPr>
          <w:b w:val="1"/>
          <w:bCs w:val="1"/>
          <w:color w:val="2e75b6"/>
          <w:sz w:val="26"/>
          <w:szCs w:val="26"/>
          <w:rtl w:val="0"/>
        </w:rPr>
        <w:t xml:space="preserve">5.3 Herramientas Utilizadas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60"/>
        <w:gridCol w:w="5400"/>
        <w:tblGridChange w:id="0">
          <w:tblGrid>
            <w:gridCol w:w="2400"/>
            <w:gridCol w:w="1560"/>
            <w:gridCol w:w="54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EB">
            <w:pPr>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EC">
            <w:pPr>
              <w:jc w:val="center"/>
              <w:rPr/>
            </w:pPr>
            <w:r w:rsidDel="00000000" w:rsidR="00000000" w:rsidRPr="00000000">
              <w:rPr>
                <w:b w:val="1"/>
                <w:bCs w:val="1"/>
                <w:color w:val="ffffff"/>
                <w:sz w:val="20"/>
                <w:szCs w:val="20"/>
                <w:rtl w:val="0"/>
              </w:rPr>
              <w:t xml:space="preserve">Versión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ED">
            <w:pPr>
              <w:jc w:val="center"/>
              <w:rPr/>
            </w:pPr>
            <w:r w:rsidDel="00000000" w:rsidR="00000000" w:rsidRPr="00000000">
              <w:rPr>
                <w:b w:val="1"/>
                <w:bCs w:val="1"/>
                <w:color w:val="ffffff"/>
                <w:sz w:val="20"/>
                <w:szCs w:val="20"/>
                <w:rtl w:val="0"/>
              </w:rPr>
              <w:t xml:space="preserve">Uso en el proyecto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EE">
            <w:pPr>
              <w:jc w:val="left"/>
              <w:rPr/>
            </w:pPr>
            <w:r w:rsidDel="00000000" w:rsidR="00000000" w:rsidRPr="00000000">
              <w:rPr>
                <w:b w:val="1"/>
                <w:bCs w:val="1"/>
                <w:sz w:val="20"/>
                <w:szCs w:val="20"/>
                <w:rtl w:val="0"/>
              </w:rPr>
              <w:t xml:space="preserve">Python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EF">
            <w:pPr>
              <w:jc w:val="left"/>
              <w:rPr/>
            </w:pPr>
            <w:r w:rsidDel="00000000" w:rsidR="00000000" w:rsidRPr="00000000">
              <w:rPr>
                <w:b w:val="0"/>
                <w:bCs w:val="0"/>
                <w:sz w:val="20"/>
                <w:szCs w:val="20"/>
                <w:rtl w:val="0"/>
              </w:rPr>
              <w:t xml:space="preserve">3.10+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F0">
            <w:pPr>
              <w:jc w:val="left"/>
              <w:rPr/>
            </w:pPr>
            <w:r w:rsidDel="00000000" w:rsidR="00000000" w:rsidRPr="00000000">
              <w:rPr>
                <w:b w:val="0"/>
                <w:bCs w:val="0"/>
                <w:sz w:val="20"/>
                <w:szCs w:val="20"/>
                <w:rtl w:val="0"/>
              </w:rPr>
              <w:t xml:space="preserve">Lenguaje principal de análisis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jc w:val="left"/>
              <w:rPr/>
            </w:pPr>
            <w:r w:rsidDel="00000000" w:rsidR="00000000" w:rsidRPr="00000000">
              <w:rPr>
                <w:b w:val="1"/>
                <w:bCs w:val="1"/>
                <w:sz w:val="20"/>
                <w:szCs w:val="20"/>
                <w:rtl w:val="0"/>
              </w:rPr>
              <w:t xml:space="preserve">pandas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jc w:val="left"/>
              <w:rPr/>
            </w:pPr>
            <w:r w:rsidDel="00000000" w:rsidR="00000000" w:rsidRPr="00000000">
              <w:rPr>
                <w:b w:val="0"/>
                <w:bCs w:val="0"/>
                <w:sz w:val="20"/>
                <w:szCs w:val="20"/>
                <w:rtl w:val="0"/>
              </w:rPr>
              <w:t xml:space="preserve">2.x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jc w:val="left"/>
              <w:rPr/>
            </w:pPr>
            <w:r w:rsidDel="00000000" w:rsidR="00000000" w:rsidRPr="00000000">
              <w:rPr>
                <w:b w:val="0"/>
                <w:bCs w:val="0"/>
                <w:sz w:val="20"/>
                <w:szCs w:val="20"/>
                <w:rtl w:val="0"/>
              </w:rPr>
              <w:t xml:space="preserve">Manipulación y procesamiento de datos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F4">
            <w:pPr>
              <w:jc w:val="left"/>
              <w:rPr/>
            </w:pPr>
            <w:r w:rsidDel="00000000" w:rsidR="00000000" w:rsidRPr="00000000">
              <w:rPr>
                <w:b w:val="1"/>
                <w:bCs w:val="1"/>
                <w:sz w:val="20"/>
                <w:szCs w:val="20"/>
                <w:rtl w:val="0"/>
              </w:rPr>
              <w:t xml:space="preserve">numpy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F5">
            <w:pPr>
              <w:jc w:val="left"/>
              <w:rPr/>
            </w:pPr>
            <w:r w:rsidDel="00000000" w:rsidR="00000000" w:rsidRPr="00000000">
              <w:rPr>
                <w:b w:val="0"/>
                <w:bCs w:val="0"/>
                <w:sz w:val="20"/>
                <w:szCs w:val="20"/>
                <w:rtl w:val="0"/>
              </w:rPr>
              <w:t xml:space="preserve">1.24+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b w:val="0"/>
                <w:bCs w:val="0"/>
                <w:sz w:val="20"/>
                <w:szCs w:val="20"/>
                <w:rtl w:val="0"/>
              </w:rPr>
              <w:t xml:space="preserve">Operaciones numéricas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jc w:val="left"/>
              <w:rPr/>
            </w:pPr>
            <w:r w:rsidDel="00000000" w:rsidR="00000000" w:rsidRPr="00000000">
              <w:rPr>
                <w:b w:val="1"/>
                <w:bCs w:val="1"/>
                <w:sz w:val="20"/>
                <w:szCs w:val="20"/>
                <w:rtl w:val="0"/>
              </w:rPr>
              <w:t xml:space="preserve">matplotlib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jc w:val="left"/>
              <w:rPr/>
            </w:pPr>
            <w:r w:rsidDel="00000000" w:rsidR="00000000" w:rsidRPr="00000000">
              <w:rPr>
                <w:b w:val="0"/>
                <w:bCs w:val="0"/>
                <w:sz w:val="20"/>
                <w:szCs w:val="20"/>
                <w:rtl w:val="0"/>
              </w:rPr>
              <w:t xml:space="preserve">3.7+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jc w:val="left"/>
              <w:rPr/>
            </w:pPr>
            <w:r w:rsidDel="00000000" w:rsidR="00000000" w:rsidRPr="00000000">
              <w:rPr>
                <w:b w:val="0"/>
                <w:bCs w:val="0"/>
                <w:sz w:val="20"/>
                <w:szCs w:val="20"/>
                <w:rtl w:val="0"/>
              </w:rPr>
              <w:t xml:space="preserve">Visualización de datos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FA">
            <w:pPr>
              <w:jc w:val="left"/>
              <w:rPr/>
            </w:pPr>
            <w:r w:rsidDel="00000000" w:rsidR="00000000" w:rsidRPr="00000000">
              <w:rPr>
                <w:b w:val="1"/>
                <w:bCs w:val="1"/>
                <w:sz w:val="20"/>
                <w:szCs w:val="20"/>
                <w:rtl w:val="0"/>
              </w:rPr>
              <w:t xml:space="preserve">scipy.stats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b w:val="0"/>
                <w:bCs w:val="0"/>
                <w:sz w:val="20"/>
                <w:szCs w:val="20"/>
                <w:rtl w:val="0"/>
              </w:rPr>
              <w:t xml:space="preserve">1.10+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0f7" w:val="clear"/>
            <w:tcMar>
              <w:top w:w="80.0" w:type="dxa"/>
              <w:left w:w="120.0" w:type="dxa"/>
              <w:bottom w:w="80.0" w:type="dxa"/>
              <w:right w:w="120.0" w:type="dxa"/>
            </w:tcMar>
            <w:vAlign w:val="center"/>
          </w:tcPr>
          <w:p w:rsidR="00000000" w:rsidDel="00000000" w:rsidP="00000000" w:rsidRDefault="00000000" w:rsidRPr="00000000" w14:paraId="000000FC">
            <w:pPr>
              <w:jc w:val="left"/>
              <w:rPr/>
            </w:pPr>
            <w:r w:rsidDel="00000000" w:rsidR="00000000" w:rsidRPr="00000000">
              <w:rPr>
                <w:b w:val="0"/>
                <w:bCs w:val="0"/>
                <w:sz w:val="20"/>
                <w:szCs w:val="20"/>
                <w:rtl w:val="0"/>
              </w:rPr>
              <w:t xml:space="preserve">Regresión lineal y estadísticas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b w:val="1"/>
                <w:bCs w:val="1"/>
                <w:sz w:val="20"/>
                <w:szCs w:val="20"/>
                <w:rtl w:val="0"/>
              </w:rPr>
              <w:t xml:space="preserve">Jupyter Notebook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b w:val="0"/>
                <w:bCs w:val="0"/>
                <w:sz w:val="20"/>
                <w:szCs w:val="20"/>
                <w:rtl w:val="0"/>
              </w:rPr>
              <w:t xml:space="preserve">6.x/7.x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b w:val="0"/>
                <w:bCs w:val="0"/>
                <w:sz w:val="20"/>
                <w:szCs w:val="20"/>
                <w:rtl w:val="0"/>
              </w:rPr>
              <w:t xml:space="preserve">Entorno interactivo de análisis</w:t>
            </w:r>
            <w:r w:rsidDel="00000000" w:rsidR="00000000" w:rsidRPr="00000000">
              <w:rPr>
                <w:rtl w:val="0"/>
              </w:rPr>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5c9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3333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rjaFnQQE0J5iePpgDsNkdFHZCA==">CgMxLjAaHQoBMBIYChYIB0ISEhBBcmlhbCBVbmljb2RlIE1TGh0KATESGAoWCAdCEhIQQXJpYWwgVW5pY29kZSBNUxodCgEyEhgKFggHQhISEEFyaWFsIFVuaWNvZGUgTVMaHQoBMxIYChYIB0ISEhBBcmlhbCBVbmljb2RlIE1TGh0KATQSGAoWCAdCEhIQQXJpYWwgVW5pY29kZSBNUzgAciExT2RRVGh0RHZUUFAzN2ZWV0N3X2p2dDhza3dHZFJhY2w=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2026-04-06T02:07:14.310Z</dcterms:created>
  <dc:creator>Un-named</dc:creator>
</cp:coreProperties>
</file>

<file path=docProps/custom.xml><?xml version="1.0" encoding="utf-8"?>
<Properties xmlns="http://schemas.openxmlformats.org/officeDocument/2006/custom-properties" xmlns:vt="http://schemas.openxmlformats.org/officeDocument/2006/docPropsVTypes"/>
</file>