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932e616b44595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B6" w:rsidRDefault="006F4D92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ascii="Times New Roman" w:hAnsi="Times New Roman" w:eastAsia="Times New Roman"/>
          <w:sz w:val="24"/>
          <w:szCs w:val="24"/>
        </w:rPr>
        <w:t>Приложение №1 к распоряжению</w:t>
      </w:r>
      <w:r>
        <w:br/>
      </w:r>
      <w:r>
        <w:rPr>
          <w:rFonts w:ascii="Times New Roman" w:hAnsi="Times New Roman" w:eastAsia="Times New Roman"/>
          <w:sz w:val="24"/>
          <w:szCs w:val="24"/>
        </w:rPr>
        <w:t>Заместителя начальника Учебного управления</w:t>
      </w:r>
      <w:r>
        <w:br/>
      </w:r>
      <w:r>
        <w:rPr>
          <w:rFonts w:ascii="Times New Roman" w:hAnsi="Times New Roman" w:eastAsia="Times New Roman"/>
          <w:sz w:val="24"/>
          <w:szCs w:val="24"/>
        </w:rPr>
        <w:t>от_______________№_____________________</w:t>
      </w:r>
      <w:r>
        <w:br/>
      </w:r>
    </w:p>
    <w:p w:rsidR="006F4D92" w:rsidRDefault="006F4D92">
      <w:bookmarkStart w:name="_GoBack" w:id="0"/>
      <w:bookmarkEnd w:id="0"/>
    </w:p>
    <w:sectPr w:rsidR="006F4D92">
      <w:pgSz w:w="11906" w:h="16838"/>
      <w:pgMar w:top="1134" w:right="850" w:bottom="1134" w:left="1701" w:header="708" w:footer="708" w:gutter="0"/>
      <w:cols w:space="708"/>
      <w:docGrid w:linePitch="360"/>
    </w:sectPr>
    <w:p>
      <w:pPr>
        <w:adjustRightInd w:val="false"/>
        <w:autoSpaceDE w:val="false"/>
        <w:autoSpaceDN w:val="false"/>
        <w:spacing w:after="0" w:line="240" w:lineRule="auto"/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Заявления всех студентов были обработаны!:)</w:t>
      </w:r>
      <w:br/>
    </w:p>
    <w:p>
      <w:pPr>
        <w:adjustRightInd w:val="false"/>
        <w:autoSpaceDE w:val="false"/>
        <w:autoSpaceDN w:val="false"/>
        <w:spacing w:after="0" w:line="240" w:lineRule="auto"/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1. Убедитесь, что в контингенте содержатся актуальные данные об ушедших и вернувшихся из академического отпуска, отчислившихся, восстановившихся, менявших направление обучения</w:t>
      </w:r>
      <w:br/>
    </w:p>
    <w:p>
      <w:pPr>
        <w:adjustRightInd w:val="false"/>
        <w:autoSpaceDE w:val="false"/>
        <w:autoSpaceDN w:val="false"/>
        <w:spacing w:after="0" w:line="240" w:lineRule="auto"/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2. Просмотрите списки студентов на наличие людей, попавших в элективный блок дважды. Используя заявления, самостоятельно выберите, на какую дисциплину зачислять студента.</w:t>
      </w:r>
      <w:br/>
    </w:p>
    <w:p>
      <w:pPr>
        <w:adjustRightInd w:val="false"/>
        <w:autoSpaceDE w:val="false"/>
        <w:autoSpaceDN w:val="false"/>
        <w:spacing w:after="0" w:line="240" w:lineRule="auto"/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3. Посмотрите, какие студенты не подавали заявления. Вы можете определить их на другую дисциплину, если считаете это необходимым</w:t>
      </w:r>
      <w:br/>
    </w:p>
    <w:p>
      <w:pPr>
        <w:adjustRightInd w:val="false"/>
        <w:autoSpaceDE w:val="false"/>
        <w:autoSpaceDN w:val="false"/>
        <w:spacing w:after="0" w:line="240" w:lineRule="auto"/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4. Теперь необходимо сравнить число людей в каждом элективном блоке с числом студентов, которое там должно быть. Если они равны, то, скорее всего, распоряжение правильное. В противном случае обратитесь к шагу 1.</w:t>
      </w:r>
      <w:br/>
    </w:p>
    <w:p>
      <w:pPr>
        <w:adjustRightInd w:val="false"/>
        <w:autoSpaceDE w:val="false"/>
        <w:autoSpaceDN w:val="false"/>
        <w:spacing w:after="0" w:line="240" w:lineRule="auto"/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Списки студентов на элективные дисциплины в осеннем / весеннем семестре 20/20 учебного года:</w:t>
      </w:r>
      <w:br/>
    </w:p>
    <w:p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  <w:b/>
        </w:rPr>
        <w:t>Блок 1</w:t>
      </w:r>
    </w:p>
    <w:p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  <w:i/>
          <w:noProof/>
          <w:u w:val="single"/>
        </w:rPr>
        <w:t>Введение в качественную теорию динамических систем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Боков Максим Игоревич 19.С01-мм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Мартынов Кирилл Владимирович 19.С01-мм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Рогатых Надежда Романовна 19.С01-мм</w:t>
      </w:r>
    </w:p>
    <w:br/>
    <w:p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  <w:i/>
          <w:noProof/>
          <w:u w:val="single"/>
        </w:rPr>
        <w:t>Дополнительные главы алгебры и теории чисел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Богарев Алексей Сергеевич 19.С01-мм</w:t>
      </w:r>
    </w:p>
    <w:br/>
    <w:p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  <w:i/>
          <w:noProof/>
          <w:u w:val="single"/>
        </w:rPr>
        <w:t>Дополнительные главы теории вероятностей. Часть 1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Вакин Арсений Александрович 19.С01-мм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Гузненко Родион Александрович 19.С01-мм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Хоружевский Георгий Павлович 19.С01-мм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Янситова Алёна Константиновна 19.С01-мм</w:t>
      </w:r>
    </w:p>
    <w:br/>
    <w:p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  <w:i/>
          <w:noProof/>
          <w:u w:val="single"/>
        </w:rPr>
        <w:t>Избранные главы вещественного и комплексного анализа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Прокофьев Михаил Андреевич 19.С01-мм</w:t>
      </w:r>
    </w:p>
    <w:p>
      <w:pPr>
        <w:adjustRightInd w:val="false"/>
        <w:autoSpaceDE w:val="false"/>
        <w:autoSpaceDN w:val="false"/>
        <w:spacing w:after="0" w:line="240" w:lineRule="auto"/>
        <w:numPr>
          <w:numId w:val="1"/>
        </w:numPr>
      </w:pPr>
      <w:r>
        <w:rPr>
          <w:rFonts w:ascii="Times New Roman" w:hAnsi="Times New Roman" w:eastAsia="Times New Roman"/>
          <w:rStyle w:val="FakeCharacterStyle"/>
          <w:lang w:eastAsia="ru-RU"/>
          <w:sz w:val="24"/>
          <w:szCs w:val="24"/>
        </w:rPr>
        <w:t>Шемяков Владимир Витальевич 19.С01-мм</w:t>
      </w:r>
    </w:p>
    <w:br/>
  </w:body>
</w:document>
</file>