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DM Sans" w:cs="DM Sans" w:eastAsia="DM Sans" w:hAnsi="DM Sans"/>
          <w:b/>
          <w:bCs/>
          <w:color w:val="1B5E3A"/>
          <w:sz w:val="56"/>
          <w:szCs w:val="56"/>
        </w:rPr>
        <w:t xml:space="preserve">DAILYFRUITS</w:t>
      </w:r>
    </w:p>
    <w:p>
      <w:pPr>
        <w:spacing w:before="100"/>
        <w:jc w:val="center"/>
      </w:pPr>
      <w:r>
        <w:rPr>
          <w:rFonts w:ascii="DM Sans" w:cs="DM Sans" w:eastAsia="DM Sans" w:hAnsi="DM Sans"/>
          <w:color w:val="347550"/>
          <w:sz w:val="24"/>
          <w:szCs w:val="24"/>
        </w:rPr>
        <w:t xml:space="preserve">by BetterWorkplace</w:t>
      </w:r>
    </w:p>
    <w:p>
      <w:pPr>
        <w:spacing w:before="600"/>
      </w:pPr>
    </w:p>
    <w:p>
      <w:pPr>
        <w:pBdr>
          <w:bottom w:val="single" w:color="8DC63F" w:sz="6"/>
        </w:pBdr>
        <w:spacing w:after="200" w:before="200"/>
      </w:pPr>
    </w:p>
    <w:p>
      <w:pPr>
        <w:spacing w:before="400"/>
        <w:jc w:val="center"/>
      </w:pPr>
      <w:r>
        <w:rPr>
          <w:rFonts w:ascii="DM Sans" w:cs="DM Sans" w:eastAsia="DM Sans" w:hAnsi="DM Sans"/>
          <w:b/>
          <w:bCs/>
          <w:color w:val="1B5E3A"/>
          <w:sz w:val="32"/>
          <w:szCs w:val="32"/>
        </w:rPr>
        <w:t xml:space="preserve">Brand Voice &amp; Visual Identity Guide</w:t>
      </w:r>
    </w:p>
    <w:p>
      <w:pPr>
        <w:spacing w:before="200"/>
        <w:jc w:val="center"/>
      </w:pPr>
      <w:r>
        <w:rPr>
          <w:rFonts w:ascii="DM Sans" w:cs="DM Sans" w:eastAsia="DM Sans" w:hAnsi="DM Sans"/>
          <w:color w:val="347550"/>
          <w:sz w:val="22"/>
          <w:szCs w:val="22"/>
        </w:rPr>
        <w:t xml:space="preserve">Tone of Voice | Kolory | Typografia | Do’s &amp; Don’ts</w:t>
      </w:r>
    </w:p>
    <w:p>
      <w:pPr>
        <w:spacing w:before="800"/>
        <w:jc w:val="center"/>
      </w:pPr>
      <w:r>
        <w:rPr>
          <w:rFonts w:ascii="DM Sans" w:cs="DM Sans" w:eastAsia="DM Sans" w:hAnsi="DM Sans"/>
          <w:color w:val="999999"/>
          <w:sz w:val="20"/>
          <w:szCs w:val="20"/>
        </w:rPr>
        <w:t xml:space="preserve">Wersja 1.0 — Kwiecień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Osobowość marki</w:t>
      </w:r>
    </w:p>
    <w:p>
      <w:pPr>
        <w:pBdr>
          <w:bottom w:val="single" w:color="8DC63F" w:sz="6"/>
        </w:pBdr>
        <w:spacing w:after="200" w:before="200"/>
      </w:pPr>
    </w:p>
    <w:p>
      <w:pPr>
        <w:spacing w:after="200"/>
      </w:pPr>
      <w:r>
        <w:rPr>
          <w:rFonts w:ascii="DM Sans" w:cs="DM Sans" w:eastAsia="DM Sans" w:hAnsi="DM Sans"/>
          <w:sz w:val="22"/>
          <w:szCs w:val="22"/>
        </w:rPr>
        <w:t xml:space="preserve">Gdyby DailyFruits był osobą, byłby kompetentnym doradcą HR, który wie, że wellbeing zaczyna się od kuchni. Nie moralizuje — po prostu stawia skrzynkę świeżych owoców i mówi: „To działa. Sprawdziliśmy w 2000 firmach.” Jest ciepły, ale konkretny. Nigdy nie przesadza z entuzjazmem, bo jego siłą są twarde dane, nie hasła.</w:t>
      </w:r>
    </w:p>
    <w:p>
      <w:pPr>
        <w:pStyle w:val="Heading2"/>
      </w:pPr>
      <w:r>
        <w:t xml:space="preserve">Claim</w:t>
      </w:r>
    </w:p>
    <w:p>
      <w:pPr>
        <w:spacing w:after="200"/>
      </w:pPr>
      <w:r>
        <w:rPr>
          <w:rFonts w:ascii="DM Sans" w:cs="DM Sans" w:eastAsia="DM Sans" w:hAnsi="DM Sans"/>
          <w:b/>
          <w:bCs/>
          <w:color w:val="1B5E3A"/>
          <w:sz w:val="26"/>
          <w:szCs w:val="26"/>
        </w:rPr>
        <w:t xml:space="preserve">Zdrowsze jedzenie, lepsza praca.</w:t>
      </w:r>
    </w:p>
    <w:p>
      <w:pPr>
        <w:pStyle w:val="Heading2"/>
      </w:pPr>
      <w:r>
        <w:t xml:space="preserve">Misja</w:t>
      </w:r>
    </w:p>
    <w:p>
      <w:pPr>
        <w:spacing w:after="200"/>
      </w:pPr>
      <w:r>
        <w:rPr>
          <w:rFonts w:ascii="DM Sans" w:cs="DM Sans" w:eastAsia="DM Sans" w:hAnsi="DM Sans"/>
          <w:sz w:val="22"/>
          <w:szCs w:val="22"/>
        </w:rPr>
        <w:t xml:space="preserve">Nie jesteśmy dostawcą owoców. Budujemy kulturę zdrowia w Twojej firmie — zaczynając od kuchni.</w:t>
      </w:r>
    </w:p>
    <w:p>
      <w:pPr>
        <w:pStyle w:val="Heading2"/>
      </w:pPr>
      <w:r>
        <w:t xml:space="preserve">Archetyp</w:t>
      </w:r>
    </w:p>
    <w:p>
      <w:pPr>
        <w:spacing w:after="300"/>
      </w:pPr>
      <w:r>
        <w:rPr>
          <w:rFonts w:ascii="DM Sans" w:cs="DM Sans" w:eastAsia="DM Sans" w:hAnsi="DM Sans"/>
          <w:sz w:val="22"/>
          <w:szCs w:val="22"/>
        </w:rPr>
        <w:t xml:space="preserve">Opiekun (Caregiver) + Mędrzec (Sage). Dba o ludzi, ale na bazie danych i procesów, nie emocji. Praktyczny wellbeing, nie korporacyjny wellness-washing.</w:t>
      </w:r>
    </w:p>
    <w:p>
      <w:pPr>
        <w:pStyle w:val="Heading1"/>
      </w:pPr>
      <w:r>
        <w:t xml:space="preserve">2. Atrybuty głosu</w:t>
      </w:r>
    </w:p>
    <w:p>
      <w:pPr>
        <w:pBdr>
          <w:bottom w:val="single" w:color="8DC63F" w:sz="6"/>
        </w:pBdr>
        <w:spacing w:after="200" w:before="200"/>
      </w:pPr>
    </w:p>
    <w:p>
      <w:pPr>
        <w:pStyle w:val="Heading3"/>
      </w:pPr>
      <w:r>
        <w:t xml:space="preserve">Konkretny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Jesteśmy: </w:t>
      </w:r>
      <w:r>
        <w:t xml:space="preserve">precyzyjni, mierzalni, oparci na danych. Każdy argument ma liczbę.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Nie jesteśmy: </w:t>
      </w:r>
      <w:r>
        <w:t xml:space="preserve">sucho-korporacyjni ani bezduszni. Dane podajemy z ciepłem.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Brzmi tak: </w:t>
      </w:r>
      <w:r>
        <w:rPr>
          <w:i/>
          <w:iCs/>
        </w:rPr>
        <w:t xml:space="preserve">„81% pracowników potwierdza poprawę wellbeingu po 3 miesiącach.”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NIE brzmi tak: </w:t>
      </w:r>
      <w:r>
        <w:rPr>
          <w:i/>
          <w:iCs/>
        </w:rPr>
        <w:t xml:space="preserve">„Nasi pracownicy są szczęśliwsi!”</w:t>
      </w:r>
    </w:p>
    <w:p>
      <w:pPr>
        <w:pStyle w:val="Heading3"/>
      </w:pPr>
      <w:r>
        <w:t xml:space="preserve">Ciepły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Jesteśmy: </w:t>
      </w:r>
      <w:r>
        <w:t xml:space="preserve">przyjaźni, bezpośredni, mówimy „Twój zespół” nie „Państwa organizacja”.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Nie jesteśmy: </w:t>
      </w:r>
      <w:r>
        <w:t xml:space="preserve">infantylni, nie używamy emoji w komunikacji B2B, nie króluje „hej!”.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Brzmi tak: </w:t>
      </w:r>
      <w:r>
        <w:rPr>
          <w:i/>
          <w:iCs/>
        </w:rPr>
        <w:t xml:space="preserve">„Powiedz nam ile macie osób i czego potrzebujecie.”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NIE brzmi tak: </w:t>
      </w:r>
      <w:r>
        <w:rPr>
          <w:i/>
          <w:iCs/>
        </w:rPr>
        <w:t xml:space="preserve">„Hej! Napiszcie do nas, ogarniemy to!”</w:t>
      </w:r>
    </w:p>
    <w:p>
      <w:pPr>
        <w:pStyle w:val="Heading3"/>
      </w:pPr>
      <w:r>
        <w:t xml:space="preserve">Pewny siebie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Jesteśmy: </w:t>
      </w:r>
      <w:r>
        <w:t xml:space="preserve">lider kategorii z 10+ lat doświadczenia, 2000+ firm, 13 miast. Mówimy z pozycji autorytetu.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Nie jesteśmy: </w:t>
      </w:r>
      <w:r>
        <w:t xml:space="preserve">aroganccy ani nie deprecjonujemy konkurencji. Pewność płynie z wyników, nie z przechwalania się.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Brzmi tak: </w:t>
      </w:r>
      <w:r>
        <w:rPr>
          <w:i/>
          <w:iCs/>
        </w:rPr>
        <w:t xml:space="preserve">„Jeden partner zamiast trzech dostawców.”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NIE brzmi tak: </w:t>
      </w:r>
      <w:r>
        <w:rPr>
          <w:i/>
          <w:iCs/>
        </w:rPr>
        <w:t xml:space="preserve">„Jesteśmy najlepsi na rynku!”</w:t>
      </w:r>
    </w:p>
    <w:p>
      <w:pPr>
        <w:pStyle w:val="Heading3"/>
      </w:pPr>
      <w:r>
        <w:t xml:space="preserve">Praktyczny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Jesteśmy: </w:t>
      </w:r>
      <w:r>
        <w:t xml:space="preserve">zorientowani na rozwiązania. Nie sprzedajemy owoców — rozwiązujemy problem benefitu pracowniczego.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Nie jesteśmy: </w:t>
      </w:r>
      <w:r>
        <w:t xml:space="preserve">idealistyczni, aspiracyjni ani filozoficzni. Zero „zmień świat”.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Brzmi tak: </w:t>
      </w:r>
      <w:r>
        <w:rPr>
          <w:i/>
          <w:iCs/>
        </w:rPr>
        <w:t xml:space="preserve">„24h czas dostawy. 13 miast. 2000+ firm nam zaufało.”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NIE brzmi tak: </w:t>
      </w:r>
      <w:r>
        <w:rPr>
          <w:i/>
          <w:iCs/>
        </w:rPr>
        <w:t xml:space="preserve">„Wspólnie budujemy zdrowszą przyszłość dla pokoleń.”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Do’s &amp; Don’ts</w:t>
      </w:r>
    </w:p>
    <w:p>
      <w:pPr>
        <w:pBdr>
          <w:bottom w:val="single" w:color="8DC63F" w:sz="6"/>
        </w:pBdr>
        <w:spacing w:after="200" w:before="200"/>
      </w:pPr>
    </w:p>
    <w:p>
      <w:pPr>
        <w:pStyle w:val="Heading2"/>
      </w:pPr>
      <w:r>
        <w:rPr>
          <w:color w:val="1B5E3A"/>
        </w:rPr>
        <w:t xml:space="preserve">DO — Tak piszemy</w:t>
      </w:r>
    </w:p>
    <w:p>
      <w:pPr>
        <w:pStyle w:val="ListParagraph"/>
        <w:numPr>
          <w:ilvl w:val="0"/>
          <w:numId w:val="3"/>
        </w:numPr>
      </w:pPr>
      <w:r>
        <w:t xml:space="preserve">Używaj „Ty/Twój” zamiast „Państwo” w copy marketingowym</w:t>
      </w:r>
    </w:p>
    <w:p>
      <w:pPr>
        <w:pStyle w:val="ListParagraph"/>
        <w:numPr>
          <w:ilvl w:val="0"/>
          <w:numId w:val="3"/>
        </w:numPr>
      </w:pPr>
      <w:r>
        <w:t xml:space="preserve">Zaczynaj od korzyści, nie od produktu („Zmniejsz absencję” &gt; „Kup owoce”)</w:t>
      </w:r>
    </w:p>
    <w:p>
      <w:pPr>
        <w:pStyle w:val="ListParagraph"/>
        <w:numPr>
          <w:ilvl w:val="0"/>
          <w:numId w:val="3"/>
        </w:numPr>
      </w:pPr>
      <w:r>
        <w:t xml:space="preserve">Podawaj twarde liczby (2000+ firm, 13 miast, 24h dostawa, 81% poprawa wellbeingu)</w:t>
      </w:r>
    </w:p>
    <w:p>
      <w:pPr>
        <w:pStyle w:val="ListParagraph"/>
        <w:numPr>
          <w:ilvl w:val="0"/>
          <w:numId w:val="3"/>
        </w:numPr>
      </w:pPr>
      <w:r>
        <w:t xml:space="preserve">Używaj krótkich zdań (max 20 słów)</w:t>
      </w:r>
    </w:p>
    <w:p>
      <w:pPr>
        <w:pStyle w:val="ListParagraph"/>
        <w:numPr>
          <w:ilvl w:val="0"/>
          <w:numId w:val="3"/>
        </w:numPr>
      </w:pPr>
      <w:r>
        <w:t xml:space="preserve">Nazywaj rytuały: Owocowe Czwartki, Kanapkowe Wtorki, Smoothie Monday</w:t>
      </w:r>
    </w:p>
    <w:p>
      <w:pPr>
        <w:pStyle w:val="ListParagraph"/>
        <w:numPr>
          <w:ilvl w:val="0"/>
          <w:numId w:val="3"/>
        </w:numPr>
      </w:pPr>
      <w:r>
        <w:t xml:space="preserve">Używaj aktywnych czasowników: „Zamów”, „Sprawdź”, „Zacząij”</w:t>
      </w:r>
    </w:p>
    <w:p>
      <w:pPr>
        <w:pStyle w:val="ListParagraph"/>
        <w:numPr>
          <w:ilvl w:val="0"/>
          <w:numId w:val="3"/>
        </w:numPr>
      </w:pPr>
      <w:r>
        <w:t xml:space="preserve">Pisz claim fontem Achiko, body fontem DM Sans</w:t>
      </w:r>
    </w:p>
    <w:p>
      <w:pPr>
        <w:pStyle w:val="ListParagraph"/>
        <w:numPr>
          <w:ilvl w:val="0"/>
          <w:numId w:val="3"/>
        </w:numPr>
      </w:pPr>
      <w:r>
        <w:t xml:space="preserve">Zawsze podkreślaj ekosystem: DailyFruits + DailyFoods + BetterWorkplace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Mów o „kulturze zdrowia”, „rytuałach”, „beneficie, który czuć codziennie”</w:t>
      </w:r>
    </w:p>
    <w:p>
      <w:pPr>
        <w:pStyle w:val="Heading2"/>
      </w:pPr>
      <w:r>
        <w:rPr>
          <w:color w:val="E43020"/>
        </w:rPr>
        <w:t xml:space="preserve">DON’T — Tego unikamy</w:t>
      </w:r>
    </w:p>
    <w:p>
      <w:pPr>
        <w:pStyle w:val="ListParagraph"/>
        <w:numPr>
          <w:ilvl w:val="0"/>
          <w:numId w:val="4"/>
        </w:numPr>
      </w:pPr>
      <w:r>
        <w:t xml:space="preserve">Nie używaj „innovative”, „synergia”, „holistyczny”, „complex solution”</w:t>
      </w:r>
    </w:p>
    <w:p>
      <w:pPr>
        <w:pStyle w:val="ListParagraph"/>
        <w:numPr>
          <w:ilvl w:val="0"/>
          <w:numId w:val="4"/>
        </w:numPr>
      </w:pPr>
      <w:r>
        <w:t xml:space="preserve">Nie pisz wielkimi literami całych słów (SUPER OFERTA!)</w:t>
      </w:r>
    </w:p>
    <w:p>
      <w:pPr>
        <w:pStyle w:val="ListParagraph"/>
        <w:numPr>
          <w:ilvl w:val="0"/>
          <w:numId w:val="4"/>
        </w:numPr>
      </w:pPr>
      <w:r>
        <w:t xml:space="preserve">Nie używaj emoji w komunikacji B2B (LinkedIn, email, strona)</w:t>
      </w:r>
    </w:p>
    <w:p>
      <w:pPr>
        <w:pStyle w:val="ListParagraph"/>
        <w:numPr>
          <w:ilvl w:val="0"/>
          <w:numId w:val="4"/>
        </w:numPr>
      </w:pPr>
      <w:r>
        <w:t xml:space="preserve">Nie obiecuj bez pokrycia („najlepsze owoce na świecie”)</w:t>
      </w:r>
    </w:p>
    <w:p>
      <w:pPr>
        <w:pStyle w:val="ListParagraph"/>
        <w:numPr>
          <w:ilvl w:val="0"/>
          <w:numId w:val="4"/>
        </w:numPr>
      </w:pPr>
      <w:r>
        <w:t xml:space="preserve">Nie mów „tani/najtaniej” — mów „opłacalny”, „inwestycja w zespół”</w:t>
      </w:r>
    </w:p>
    <w:p>
      <w:pPr>
        <w:pStyle w:val="ListParagraph"/>
        <w:numPr>
          <w:ilvl w:val="0"/>
          <w:numId w:val="4"/>
        </w:numPr>
      </w:pPr>
      <w:r>
        <w:t xml:space="preserve">Nie deprecjonuj konkurencji wprost</w:t>
      </w:r>
    </w:p>
    <w:p>
      <w:pPr>
        <w:pStyle w:val="ListParagraph"/>
        <w:numPr>
          <w:ilvl w:val="0"/>
          <w:numId w:val="4"/>
        </w:numPr>
      </w:pPr>
      <w:r>
        <w:t xml:space="preserve">Nie używaj stockowych zdjęć ludzi — używaj packshotów i zdjęć produktowych</w:t>
      </w:r>
    </w:p>
    <w:p>
      <w:pPr>
        <w:pStyle w:val="ListParagraph"/>
        <w:numPr>
          <w:ilvl w:val="0"/>
          <w:numId w:val="4"/>
        </w:numPr>
      </w:pPr>
      <w:r>
        <w:t xml:space="preserve">Nie używaj słowa „dostawca” na określenie DailyFruits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Nie mieszaj języków (polsko-angielskie zdania)</w:t>
      </w:r>
    </w:p>
    <w:p>
      <w:pPr>
        <w:pStyle w:val="Heading2"/>
      </w:pPr>
      <w:r>
        <w:t xml:space="preserve">Słowa zakazane vs. preferowane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Nie używaj</w:t>
            </w:r>
          </w:p>
        </w:tc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Używaj zamiast</w:t>
            </w:r>
          </w:p>
        </w:tc>
      </w:tr>
      <w:tr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dostawca owoców</w:t>
            </w:r>
          </w:p>
        </w:tc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partner wellbeingowy / ekosystem zdrowia</w:t>
            </w:r>
          </w:p>
        </w:tc>
      </w:tr>
      <w:tr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tani / najtaniej</w:t>
            </w:r>
          </w:p>
        </w:tc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opłacalny / inwestycja w zespół</w:t>
            </w:r>
          </w:p>
        </w:tc>
      </w:tr>
      <w:tr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kupować owoce</w:t>
            </w:r>
          </w:p>
        </w:tc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zamawiać / zadbać o zespół</w:t>
            </w:r>
          </w:p>
        </w:tc>
      </w:tr>
      <w:tr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klient</w:t>
            </w:r>
          </w:p>
        </w:tc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partner / firma</w:t>
            </w:r>
          </w:p>
        </w:tc>
      </w:tr>
      <w:tr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innowacyjny / nowoczesny</w:t>
            </w:r>
          </w:p>
        </w:tc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sprawdzony / mierzalny</w:t>
            </w:r>
          </w:p>
        </w:tc>
      </w:tr>
      <w:tr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wellness</w:t>
            </w:r>
          </w:p>
        </w:tc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wellbeing żywieniowy / kultura zdrowia</w:t>
            </w:r>
          </w:p>
        </w:tc>
      </w:tr>
      <w:tr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paczka owoców</w:t>
            </w:r>
          </w:p>
        </w:tc>
        <w:tc>
          <w:tcPr>
            <w:tcW w:type="dxa" w:w="468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skrzynka / zestaw / abonament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System kolorów</w:t>
      </w:r>
    </w:p>
    <w:p>
      <w:pPr>
        <w:pBdr>
          <w:bottom w:val="single" w:color="8DC63F" w:sz="6"/>
        </w:pBdr>
        <w:spacing w:after="200" w:before="200"/>
      </w:pPr>
    </w:p>
    <w:p>
      <w:pPr>
        <w:spacing w:after="200"/>
      </w:pPr>
      <w:r>
        <w:rPr>
          <w:rFonts w:ascii="DM Sans" w:cs="DM Sans" w:eastAsia="DM Sans" w:hAnsi="DM Sans"/>
          <w:sz w:val="22"/>
          <w:szCs w:val="22"/>
        </w:rPr>
        <w:t xml:space="preserve">Paleta DailyFruits bazuje na naturalnych kolorach owoców i zieleni. Każdy kolor ma przypisane role i kontekst użycia.</w:t>
      </w:r>
    </w:p>
    <w:p>
      <w:pPr>
        <w:pStyle w:val="Heading2"/>
      </w:pPr>
      <w:r>
        <w:t xml:space="preserve">Kolory główne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Rola / użycie</w:t>
            </w:r>
          </w:p>
        </w:tc>
      </w:tr>
      <w:tr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Green Dark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#1B5E3A</w:t>
            </w:r>
          </w:p>
        </w:tc>
        <w:tc>
          <w:tcPr>
            <w:tcW w:type="dxa" w:w="43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Kolor główny marki. Nagłówki, footer, loader, nawigacja. Kojarzy się z świeżością i zaufaniem.</w:t>
            </w:r>
          </w:p>
        </w:tc>
      </w:tr>
      <w:tr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8DC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Lime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#8DC63F</w:t>
            </w:r>
          </w:p>
        </w:tc>
        <w:tc>
          <w:tcPr>
            <w:tcW w:type="dxa" w:w="43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Kolor akcentowy #1. Przyciski hover, ikony benefitów, światło aktywnych tabów. Energia i zdrowie.</w:t>
            </w:r>
          </w:p>
        </w:tc>
      </w:tr>
      <w:tr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E43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Red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#E43020</w:t>
            </w:r>
          </w:p>
        </w:tc>
        <w:tc>
          <w:tcPr>
            <w:tcW w:type="dxa" w:w="43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Kolor CTA i urgency. Główne przyciski konwersji, oferty specjalne (Lody). Nigdy na tle — tylko akcenty.</w:t>
            </w:r>
          </w:p>
        </w:tc>
      </w:tr>
      <w:tr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B5E3A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Yellow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#FFF200</w:t>
            </w:r>
          </w:p>
        </w:tc>
        <w:tc>
          <w:tcPr>
            <w:tcW w:type="dxa" w:w="43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Kolor wywoławczy. Stickery sekcji, ikony info-card. Przyciąga wzrok. Ostrożnie — na jasnych tłach słabo czytelny.</w:t>
            </w:r>
          </w:p>
        </w:tc>
      </w:tr>
      <w:tr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B5E3A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Cream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#FFF9E0</w:t>
            </w:r>
          </w:p>
        </w:tc>
        <w:tc>
          <w:tcPr>
            <w:tcW w:type="dxa" w:w="43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Tło strony i kart. Ciepły, naturalny, nie-biały. Nadaje organiczny charakter całości.</w:t>
            </w:r>
          </w:p>
        </w:tc>
      </w:tr>
    </w:tbl>
    <w:p>
      <w:pPr>
        <w:pStyle w:val="Heading2"/>
        <w:spacing w:before="400"/>
      </w:pPr>
      <w:r>
        <w:t xml:space="preserve">Kolory pomocnicze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3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Rola / użycie</w:t>
            </w:r>
          </w:p>
        </w:tc>
      </w:tr>
      <w:tr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3475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Green Mid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#347550</w:t>
            </w:r>
          </w:p>
        </w:tc>
        <w:tc>
          <w:tcPr>
            <w:tcW w:type="dxa" w:w="43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Linki, pod-nagłówki, bordery aktywnych tabów. Tonalny pośrednik.</w:t>
            </w:r>
          </w:p>
        </w:tc>
      </w:tr>
      <w:tr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A4C3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Lime Light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#A4C348</w:t>
            </w:r>
          </w:p>
        </w:tc>
        <w:tc>
          <w:tcPr>
            <w:tcW w:type="dxa" w:w="43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Hover state’y, delikatne gradienty, secondary akcenty.</w:t>
            </w:r>
          </w:p>
        </w:tc>
      </w:tr>
      <w:tr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D5E8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Lime Pale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#D5E8A0</w:t>
            </w:r>
          </w:p>
        </w:tc>
        <w:tc>
          <w:tcPr>
            <w:tcW w:type="dxa" w:w="43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Tła kart benefitów, delikatne separatory. Subtelny, nie dominuje.</w:t>
            </w:r>
          </w:p>
        </w:tc>
      </w:tr>
      <w:tr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068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Coral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#F06878</w:t>
            </w:r>
          </w:p>
        </w:tc>
        <w:tc>
          <w:tcPr>
            <w:tcW w:type="dxa" w:w="43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Zarezerwowany. Potencjalnie dla DailyFoods sub-brandu lub sezonowych kampanii.</w:t>
            </w:r>
          </w:p>
        </w:tc>
      </w:tr>
    </w:tbl>
    <w:p>
      <w:pPr>
        <w:pStyle w:val="Heading2"/>
        <w:spacing w:before="400"/>
      </w:pPr>
      <w:r>
        <w:t xml:space="preserve">Zasady użycia kolorów</w:t>
      </w:r>
    </w:p>
    <w:p>
      <w:pPr>
        <w:pStyle w:val="ListParagraph"/>
        <w:numPr>
          <w:ilvl w:val="0"/>
          <w:numId w:val="2"/>
        </w:numPr>
      </w:pPr>
      <w:r>
        <w:t xml:space="preserve">Green Dark to ZAWSZE kolor tekstu na jasnym tle (nie czarny, nie szary)</w:t>
      </w:r>
    </w:p>
    <w:p>
      <w:pPr>
        <w:pStyle w:val="ListParagraph"/>
        <w:numPr>
          <w:ilvl w:val="0"/>
          <w:numId w:val="2"/>
        </w:numPr>
      </w:pPr>
      <w:r>
        <w:t xml:space="preserve">Red TYLKO na przyciskach CTA i wyraźnych akcentach — nigdy jako tło sekcji</w:t>
      </w:r>
    </w:p>
    <w:p>
      <w:pPr>
        <w:pStyle w:val="ListParagraph"/>
        <w:numPr>
          <w:ilvl w:val="0"/>
          <w:numId w:val="2"/>
        </w:numPr>
      </w:pPr>
      <w:r>
        <w:t xml:space="preserve">Yellow nigdy jako kolor tekstu — za słaby kontrast. Tylko na ciemnym tle (np. stickery)</w:t>
      </w:r>
    </w:p>
    <w:p>
      <w:pPr>
        <w:pStyle w:val="ListParagraph"/>
        <w:numPr>
          <w:ilvl w:val="0"/>
          <w:numId w:val="2"/>
        </w:numPr>
      </w:pPr>
      <w:r>
        <w:t xml:space="preserve">Cream jest domyślnym tłem — biały (#FFF) używany punktowo (karty, inputy formularza)</w:t>
      </w:r>
    </w:p>
    <w:p>
      <w:pPr>
        <w:pStyle w:val="ListParagraph"/>
        <w:numPr>
          <w:ilvl w:val="0"/>
          <w:numId w:val="2"/>
        </w:numPr>
      </w:pPr>
      <w:r>
        <w:t xml:space="preserve">Proporcje na stronie: ~60% Cream/White, ~25% Green Dark, ~10% Lime, ~5% Red/Yellow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Typografia</w:t>
      </w:r>
    </w:p>
    <w:p>
      <w:pPr>
        <w:pBdr>
          <w:bottom w:val="single" w:color="8DC63F" w:sz="6"/>
        </w:pBdr>
        <w:spacing w:after="200" w:before="200"/>
      </w:pPr>
    </w:p>
    <w:p>
      <w:pPr>
        <w:pStyle w:val="Heading2"/>
      </w:pPr>
      <w:r>
        <w:t xml:space="preserve">DM Sans — Font główny</w:t>
      </w:r>
    </w:p>
    <w:p>
      <w:pPr>
        <w:spacing w:after="100"/>
      </w:pPr>
      <w:r>
        <w:rPr>
          <w:color w:val="666666"/>
          <w:sz w:val="20"/>
          <w:szCs w:val="20"/>
        </w:rPr>
        <w:t xml:space="preserve">Źródło: Google Fonts (darmowy, open source)</w:t>
      </w:r>
    </w:p>
    <w:p>
      <w:pPr>
        <w:pStyle w:val="ListParagraph"/>
        <w:numPr>
          <w:ilvl w:val="0"/>
          <w:numId w:val="2"/>
        </w:numPr>
      </w:pPr>
      <w:r>
        <w:t xml:space="preserve">Body text: 400 (regular), 15-16px</w:t>
      </w:r>
    </w:p>
    <w:p>
      <w:pPr>
        <w:pStyle w:val="ListParagraph"/>
        <w:numPr>
          <w:ilvl w:val="0"/>
          <w:numId w:val="2"/>
        </w:numPr>
      </w:pPr>
      <w:r>
        <w:t xml:space="preserve">Nagłówki: 700 (bold) i 900 (black)</w:t>
      </w:r>
    </w:p>
    <w:p>
      <w:pPr>
        <w:pStyle w:val="ListParagraph"/>
        <w:numPr>
          <w:ilvl w:val="0"/>
          <w:numId w:val="2"/>
        </w:numPr>
      </w:pPr>
      <w:r>
        <w:t xml:space="preserve">Labele i mały tekst: 500 (medium), 13-14px</w:t>
      </w:r>
    </w:p>
    <w:p>
      <w:pPr>
        <w:pStyle w:val="ListParagraph"/>
        <w:numPr>
          <w:ilvl w:val="0"/>
          <w:numId w:val="2"/>
        </w:numPr>
      </w:pPr>
      <w:r>
        <w:t xml:space="preserve">Pełne wsparcie polskich znaków diakrytycznych (ą, ę, ć, ł, ń, ó, ś, ź, ż)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Użycie: cała strona, emaile, dokumenty, prezentacje, formularze</w:t>
      </w:r>
    </w:p>
    <w:p>
      <w:pPr>
        <w:pStyle w:val="Heading2"/>
      </w:pPr>
      <w:r>
        <w:t xml:space="preserve">Achiko — Font display/fun</w:t>
      </w:r>
    </w:p>
    <w:p>
      <w:pPr>
        <w:spacing w:after="100"/>
      </w:pPr>
      <w:r>
        <w:rPr>
          <w:color w:val="666666"/>
          <w:sz w:val="20"/>
          <w:szCs w:val="20"/>
        </w:rPr>
        <w:t xml:space="preserve">Źródło: Custom font (woff2 + ttf)</w:t>
      </w:r>
    </w:p>
    <w:p>
      <w:pPr>
        <w:pStyle w:val="ListParagraph"/>
        <w:numPr>
          <w:ilvl w:val="0"/>
          <w:numId w:val="2"/>
        </w:numPr>
      </w:pPr>
      <w:r>
        <w:t xml:space="preserve">Użycie: hero claim („lepsza praca.”), stickery sekcji, dekoracyjne nagłówki</w:t>
      </w:r>
    </w:p>
    <w:p>
      <w:pPr>
        <w:pStyle w:val="ListParagraph"/>
        <w:numPr>
          <w:ilvl w:val="0"/>
          <w:numId w:val="2"/>
        </w:numPr>
      </w:pPr>
      <w:r>
        <w:t xml:space="preserve">Waga: 400 (regular) — jedyna dostępna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43020"/>
        </w:rPr>
        <w:t xml:space="preserve">UWAGA: </w:t>
      </w:r>
      <w:r>
        <w:t xml:space="preserve">Achiko NIE obsługuje pełnego polskiego zestawu (ą, ę, ć, ś, ź, ż nie renderują się). Obsługuje tylko ł i ó.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Zasada: </w:t>
      </w:r>
      <w:r>
        <w:t xml:space="preserve">W Achiko piszemy TYLKO słowa bez polskich diakrytyków lub te z ł/ó. Reszta → DM Sans.</w:t>
      </w:r>
    </w:p>
    <w:p>
      <w:pPr>
        <w:pStyle w:val="Heading2"/>
      </w:pPr>
      <w:r>
        <w:t xml:space="preserve">Hierarchia typograficzna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1800"/>
        <w:gridCol w:w="1860"/>
      </w:tblGrid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Waga</w:t>
            </w:r>
          </w:p>
        </w:tc>
        <w:tc>
          <w:tcPr>
            <w:tcW w:type="dxa" w:w="18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Rozmiar</w:t>
            </w:r>
          </w:p>
        </w:tc>
        <w:tc>
          <w:tcPr>
            <w:tcW w:type="dxa" w:w="1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Kolor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H1 Hero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DM Sans + Achiko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900 / 400</w:t>
            </w:r>
          </w:p>
        </w:tc>
        <w:tc>
          <w:tcPr>
            <w:tcW w:type="dxa" w:w="18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38-68px (clamp)</w:t>
            </w:r>
          </w:p>
        </w:tc>
        <w:tc>
          <w:tcPr>
            <w:tcW w:type="dxa" w:w="1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Green Dark + Lime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H2 Sekcje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DM Sans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900</w:t>
            </w:r>
          </w:p>
        </w:tc>
        <w:tc>
          <w:tcPr>
            <w:tcW w:type="dxa" w:w="18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28-36px</w:t>
            </w:r>
          </w:p>
        </w:tc>
        <w:tc>
          <w:tcPr>
            <w:tcW w:type="dxa" w:w="1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Green Dark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H3 Karty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DM Sans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700</w:t>
            </w:r>
          </w:p>
        </w:tc>
        <w:tc>
          <w:tcPr>
            <w:tcW w:type="dxa" w:w="18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18-22px</w:t>
            </w:r>
          </w:p>
        </w:tc>
        <w:tc>
          <w:tcPr>
            <w:tcW w:type="dxa" w:w="1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Green Dark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DM Sans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15-16px</w:t>
            </w:r>
          </w:p>
        </w:tc>
        <w:tc>
          <w:tcPr>
            <w:tcW w:type="dxa" w:w="1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Green Dark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DM Sans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700</w:t>
            </w:r>
          </w:p>
        </w:tc>
        <w:tc>
          <w:tcPr>
            <w:tcW w:type="dxa" w:w="18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13-14px</w:t>
            </w:r>
          </w:p>
        </w:tc>
        <w:tc>
          <w:tcPr>
            <w:tcW w:type="dxa" w:w="1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Green Dark 50%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CTA Button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DM Sans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900</w:t>
            </w:r>
          </w:p>
        </w:tc>
        <w:tc>
          <w:tcPr>
            <w:tcW w:type="dxa" w:w="18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15-16px</w:t>
            </w:r>
          </w:p>
        </w:tc>
        <w:tc>
          <w:tcPr>
            <w:tcW w:type="dxa" w:w="1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White na Red/Green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Fun / Sticker</w:t>
            </w:r>
          </w:p>
        </w:tc>
        <w:tc>
          <w:tcPr>
            <w:tcW w:type="dxa" w:w="2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Achiko</w:t>
            </w:r>
          </w:p>
        </w:tc>
        <w:tc>
          <w:tcPr>
            <w:tcW w:type="dxa" w:w="1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16-24px</w:t>
            </w:r>
          </w:p>
        </w:tc>
        <w:tc>
          <w:tcPr>
            <w:tcW w:type="dxa" w:w="1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Green Dark / Lime</w:t>
            </w:r>
          </w:p>
        </w:tc>
      </w:tr>
    </w:tbl>
    <w:p>
      <w:pPr>
        <w:pStyle w:val="Heading2"/>
        <w:spacing w:before="400"/>
      </w:pPr>
      <w:r>
        <w:t xml:space="preserve">Zasady typograficzne</w:t>
      </w:r>
    </w:p>
    <w:p>
      <w:pPr>
        <w:pStyle w:val="ListParagraph"/>
        <w:numPr>
          <w:ilvl w:val="0"/>
          <w:numId w:val="2"/>
        </w:numPr>
      </w:pPr>
      <w:r>
        <w:t xml:space="preserve">Letter-spacing na H1: -0.03em (tight)</w:t>
      </w:r>
    </w:p>
    <w:p>
      <w:pPr>
        <w:pStyle w:val="ListParagraph"/>
        <w:numPr>
          <w:ilvl w:val="0"/>
          <w:numId w:val="2"/>
        </w:numPr>
      </w:pPr>
      <w:r>
        <w:t xml:space="preserve">Line-height body: 1.7 (komfortowe czytanie)</w:t>
      </w:r>
    </w:p>
    <w:p>
      <w:pPr>
        <w:pStyle w:val="ListParagraph"/>
        <w:numPr>
          <w:ilvl w:val="0"/>
          <w:numId w:val="2"/>
        </w:numPr>
      </w:pPr>
      <w:r>
        <w:t xml:space="preserve">Line-height nagłówków: 1.08-1.2 (tight)</w:t>
      </w:r>
    </w:p>
    <w:p>
      <w:pPr>
        <w:pStyle w:val="ListParagraph"/>
        <w:numPr>
          <w:ilvl w:val="0"/>
          <w:numId w:val="2"/>
        </w:numPr>
      </w:pPr>
      <w:r>
        <w:t xml:space="preserve">Sentence case w nagłówkach (nie Title Case)</w:t>
      </w:r>
    </w:p>
    <w:p>
      <w:pPr>
        <w:pStyle w:val="ListParagraph"/>
        <w:numPr>
          <w:ilvl w:val="0"/>
          <w:numId w:val="2"/>
        </w:numPr>
      </w:pPr>
      <w:r>
        <w:t xml:space="preserve">Nigdy ALL CAPS w body copy</w:t>
      </w:r>
    </w:p>
    <w:p>
      <w:pPr>
        <w:pStyle w:val="ListParagraph"/>
        <w:numPr>
          <w:ilvl w:val="0"/>
          <w:numId w:val="2"/>
        </w:numPr>
      </w:pPr>
      <w:r>
        <w:t xml:space="preserve">Maksymalna długość linii: 65-75 znaków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Odbiorcy i spektrum tonu</w:t>
      </w:r>
    </w:p>
    <w:p>
      <w:pPr>
        <w:pBdr>
          <w:bottom w:val="single" w:color="8DC63F" w:sz="6"/>
        </w:pBdr>
        <w:spacing w:after="200" w:before="200"/>
      </w:pPr>
    </w:p>
    <w:p>
      <w:pPr>
        <w:pStyle w:val="Heading2"/>
      </w:pPr>
      <w:r>
        <w:t xml:space="preserve">Grupa docelowa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Primary: Office Manager / HR</w:t>
            </w:r>
          </w:p>
        </w:tc>
        <w:tc>
          <w:tcPr>
            <w:tcW w:type="dxa" w:w="6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Decydent operacyjny. Szuka benefitu, który łatwo wdrożyć, rozliczyć, i który realnie docenią pracownicy. Liczy się prostota zamówienia i elastyczność.</w:t>
            </w:r>
          </w:p>
        </w:tc>
      </w:tr>
      <w:tr>
        <w:tc>
          <w:tcPr>
            <w:tcW w:type="dxa" w:w="2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Secondary: CEO / CFO</w:t>
            </w:r>
          </w:p>
        </w:tc>
        <w:tc>
          <w:tcPr>
            <w:tcW w:type="dxa" w:w="6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Decydent budżetowy. Chce zobaczyć ROI: mniej absencji, lepsza retencja, niski koszt per pracownik. Potrzebuje twarde dane, nie emocje.</w:t>
            </w:r>
          </w:p>
        </w:tc>
      </w:tr>
      <w:tr>
        <w:tc>
          <w:tcPr>
            <w:tcW w:type="dxa" w:w="25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Tertiary: Pracownicy</w:t>
            </w:r>
          </w:p>
        </w:tc>
        <w:tc>
          <w:tcPr>
            <w:tcW w:type="dxa" w:w="68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Beneficjenci końcowi. Nie decydują o zakupie, ale ich zadowolenie decyduje o kontynuacji. Chcą: smaczne, świeże, różnorodne.</w:t>
            </w:r>
          </w:p>
        </w:tc>
      </w:tr>
    </w:tbl>
    <w:p>
      <w:pPr>
        <w:pStyle w:val="Heading2"/>
        <w:spacing w:before="400"/>
      </w:pPr>
      <w:r>
        <w:t xml:space="preserve">Ton w zależności od kanału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Kanał</w:t>
            </w:r>
          </w:p>
        </w:tc>
        <w:tc>
          <w:tcPr>
            <w:tcW w:type="dxa" w:w="3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Ton</w:t>
            </w:r>
          </w:p>
        </w:tc>
        <w:tc>
          <w:tcPr>
            <w:tcW w:type="dxa" w:w="41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1B5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Przykład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Strona www</w:t>
            </w:r>
          </w:p>
        </w:tc>
        <w:tc>
          <w:tcPr>
            <w:tcW w:type="dxa" w:w="3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Pewny, ciepły, konkretny</w:t>
            </w:r>
          </w:p>
        </w:tc>
        <w:tc>
          <w:tcPr>
            <w:tcW w:type="dxa" w:w="41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Nie jesteśmy dostawcą owoców. Budujemy kulturę zdrowia.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LinkedIn</w:t>
            </w:r>
          </w:p>
        </w:tc>
        <w:tc>
          <w:tcPr>
            <w:tcW w:type="dxa" w:w="3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Ekspercki, inspirujący</w:t>
            </w:r>
          </w:p>
        </w:tc>
        <w:tc>
          <w:tcPr>
            <w:tcW w:type="dxa" w:w="41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81% firm, które wdrożyły program owocowy, notuje wzrost satysfakcji.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Email B2B</w:t>
            </w:r>
          </w:p>
        </w:tc>
        <w:tc>
          <w:tcPr>
            <w:tcW w:type="dxa" w:w="3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Bezpośredni, pomocny</w:t>
            </w:r>
          </w:p>
        </w:tc>
        <w:tc>
          <w:tcPr>
            <w:tcW w:type="dxa" w:w="41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Przygotowaliśmy propozycję dopasowaną do Waszego biura.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Formularz kontaktowy</w:t>
            </w:r>
          </w:p>
        </w:tc>
        <w:tc>
          <w:tcPr>
            <w:tcW w:type="dxa" w:w="3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Prosty, bez tarcia</w:t>
            </w:r>
          </w:p>
        </w:tc>
        <w:tc>
          <w:tcPr>
            <w:tcW w:type="dxa" w:w="41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Powiedz nam ile macie osób — reszta po naszej stronie.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Instagram / Social</w:t>
            </w:r>
          </w:p>
        </w:tc>
        <w:tc>
          <w:tcPr>
            <w:tcW w:type="dxa" w:w="3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Lekki, wizualny</w:t>
            </w:r>
          </w:p>
        </w:tc>
        <w:tc>
          <w:tcPr>
            <w:tcW w:type="dxa" w:w="41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Owocowy Czwartek w [firma]. Kto ma tak samo? 🍒</w:t>
            </w:r>
          </w:p>
        </w:tc>
      </w:tr>
      <w:tr>
        <w:tc>
          <w:tcPr>
            <w:tcW w:type="dxa" w:w="22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Oferta / PDF</w:t>
            </w:r>
          </w:p>
        </w:tc>
        <w:tc>
          <w:tcPr>
            <w:tcW w:type="dxa" w:w="300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Profesjonalny, szczegółowy</w:t>
            </w:r>
          </w:p>
        </w:tc>
        <w:tc>
          <w:tcPr>
            <w:tcW w:type="dxa" w:w="4160"/>
            <w:tcBorders>
              <w:top w:val="single" w:color="D5E8A0" w:sz="1"/>
              <w:left w:val="single" w:color="D5E8A0" w:sz="1"/>
              <w:bottom w:val="single" w:color="D5E8A0" w:sz="1"/>
              <w:right w:val="single" w:color="D5E8A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sz w:val="20"/>
                <w:szCs w:val="20"/>
              </w:rPr>
              <w:t xml:space="preserve">Abonament obejmuje cotygodniową dostawę 12 kg owoców premium.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✗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DM Sans" w:cs="DM Sans" w:eastAsia="DM Sans" w:hAnsi="DM Sans"/>
      <w:b/>
      <w:bCs/>
      <w:color w:val="1B5E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DM Sans" w:cs="DM Sans" w:eastAsia="DM Sans" w:hAnsi="DM Sans"/>
      <w:b/>
      <w:bCs/>
      <w:color w:val="1B5E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DM Sans" w:cs="DM Sans" w:eastAsia="DM Sans" w:hAnsi="DM Sans"/>
      <w:b/>
      <w:bCs/>
      <w:color w:val="8DC6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2026-04-12T14:17:55.628Z</dcterms:created>
  <dcterms:modified xsi:type="dcterms:W3CDTF">2026-04-12T14:17:55.629Z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