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6.165986154233"/>
        <w:gridCol w:w="926.6918943156264"/>
        <w:gridCol w:w="1464.0174464818301"/>
        <w:gridCol w:w="1685.9562615070013"/>
        <w:gridCol w:w="1732.680222564932"/>
        <w:tblGridChange w:id="0">
          <w:tblGrid>
            <w:gridCol w:w="3216.165986154233"/>
            <w:gridCol w:w="926.6918943156264"/>
            <w:gridCol w:w="1464.0174464818301"/>
            <w:gridCol w:w="1685.9562615070013"/>
            <w:gridCol w:w="1732.6802225649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3 | MIX Z EGZOTYKĄ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6,5 kg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mały karton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x porcji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Mix z egzotyką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Jabłko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Banany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Owoce sezonowe: pomarańcze, mandarynka, arbuz, śliwki, brzoskwinie, nektarynki, ananas, melon, winogrono, grapefruit, gruszki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Owoce egzotyczne: mango/kiwi (cały rok)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Owoce egzotyczne: melon/ananas cały rok)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