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43"/>
        <w:gridCol w:w="5043"/>
      </w:tblGrid>
      <w:tr>
        <w:tc>
          <w:tcPr>
            <w:tcW w:type="dxa" w:w="8050"/>
          </w:tcPr>
          <w:p>
            <w:pPr>
              <w:spacing w:after="0"/>
            </w:pPr>
            <w:r>
              <w:rPr>
                <w:b/>
                <w:color w:val="1F3A6E"/>
                <w:sz w:val="48"/>
              </w:rPr>
              <w:t>Ewa Retajczyk</w:t>
            </w:r>
          </w:p>
          <w:p>
            <w:pPr>
              <w:spacing w:after="60"/>
            </w:pPr>
            <w:r>
              <w:rPr>
                <w:b/>
                <w:sz w:val="24"/>
              </w:rPr>
              <w:t>Project Manager / Ekspert ds. Funduszy Europejskich</w:t>
            </w:r>
          </w:p>
          <w:p>
            <w:pPr>
              <w:spacing w:after="0"/>
            </w:pPr>
            <w:r>
              <w:t>Warszawa  ·  +48 601 130 273  ·  retajczyke@gmail.com</w:t>
            </w:r>
          </w:p>
        </w:tc>
        <w:tc>
          <w:tcPr>
            <w:tcW w:type="dxa" w:w="1814"/>
          </w:tcPr>
          <w:p>
            <w:pPr>
              <w:jc w:val="right"/>
            </w:pPr>
            <w:r>
              <w:drawing>
                <wp:inline xmlns:a="http://schemas.openxmlformats.org/drawingml/2006/main" xmlns:pic="http://schemas.openxmlformats.org/drawingml/2006/picture">
                  <wp:extent cx="1080000" cy="1190341"/>
                  <wp:docPr id="1" name="Picture 1"/>
                  <wp:cNvGraphicFramePr>
                    <a:graphicFrameLocks noChangeAspect="1"/>
                  </wp:cNvGraphicFramePr>
                  <a:graphic>
                    <a:graphicData uri="http://schemas.openxmlformats.org/drawingml/2006/picture">
                      <pic:pic>
                        <pic:nvPicPr>
                          <pic:cNvPr id="0" name="img-000.png"/>
                          <pic:cNvPicPr/>
                        </pic:nvPicPr>
                        <pic:blipFill>
                          <a:blip r:embed="rId9"/>
                          <a:stretch>
                            <a:fillRect/>
                          </a:stretch>
                        </pic:blipFill>
                        <pic:spPr>
                          <a:xfrm>
                            <a:off x="0" y="0"/>
                            <a:ext cx="1080000" cy="1190341"/>
                          </a:xfrm>
                          <a:prstGeom prst="rect"/>
                        </pic:spPr>
                      </pic:pic>
                    </a:graphicData>
                  </a:graphic>
                </wp:inline>
              </w:drawing>
            </w:r>
          </w:p>
        </w:tc>
      </w:tr>
    </w:tbl>
    <w:p>
      <w:pPr>
        <w:spacing w:after="60" w:before="180"/>
        <w:keepNext/>
        <w:pBdr>
          <w:bottom w:val="single" w:sz="6" w:space="1" w:color="1F3A6E"/>
        </w:pBdr>
      </w:pPr>
      <w:r>
        <w:rPr>
          <w:b/>
          <w:i w:val="0"/>
          <w:color w:val="1F3A6E"/>
          <w:sz w:val="22"/>
        </w:rPr>
        <w:t>PROFIL</w:t>
      </w:r>
    </w:p>
    <w:p>
      <w:pPr>
        <w:spacing w:after="40"/>
      </w:pPr>
      <w:r>
        <w:rPr>
          <w:b w:val="0"/>
          <w:i w:val="0"/>
        </w:rPr>
        <w:t>Menedżerka projektów z 8-letnim doświadczeniem w pozyskiwaniu, prowadzeniu i rozliczaniu dofinansowań ze środków publicznych. Przeprowadziłam przez cały cykl – od wniosku po odbiór końcowy – projekty o łącznej wartości ponad 200 mln PLN w programach POIR, POPW, POPC, FENG, FEPW, KPO i regionalnych, dla klientów od startupów po spółki notowane na GPW. Łączę twarde kompetencje analityczne i finansowe (wcześniej zarządzanie 60 mln PLN budżetu w Polkomtel) z budowaniem zespołów opartych na dobrych relacjach.</w:t>
      </w:r>
    </w:p>
    <w:p>
      <w:pPr>
        <w:spacing w:after="60" w:before="180"/>
        <w:keepNext/>
        <w:pBdr>
          <w:bottom w:val="single" w:sz="6" w:space="1" w:color="1F3A6E"/>
        </w:pBdr>
      </w:pPr>
      <w:r>
        <w:rPr>
          <w:b/>
          <w:i w:val="0"/>
          <w:color w:val="1F3A6E"/>
          <w:sz w:val="22"/>
        </w:rPr>
        <w:t>KLUCZOWE OSIĄGNIĘCIA</w:t>
      </w:r>
    </w:p>
    <w:p>
      <w:pPr>
        <w:pStyle w:val="ListBullet"/>
        <w:spacing w:after="30"/>
        <w:ind w:left="340"/>
      </w:pPr>
      <w:r>
        <w:rPr>
          <w:b/>
        </w:rPr>
        <w:t>32</w:t>
      </w:r>
      <w:r>
        <w:t xml:space="preserve"> projektów obsłużonych przez FDT ONE (część w realizacji), dla 27 beneficjentów, o łącznej wartości 295 mln PLN.</w:t>
      </w:r>
    </w:p>
    <w:p>
      <w:pPr>
        <w:pStyle w:val="ListBullet"/>
        <w:spacing w:after="30"/>
        <w:ind w:left="340"/>
      </w:pPr>
      <w:r>
        <w:rPr>
          <w:b/>
        </w:rPr>
        <w:t>Pełny cykl rozliczeń:</w:t>
      </w:r>
      <w:r>
        <w:t xml:space="preserve"> wniosków o płatność (zaliczkowych, pośrednich i końcowych), harmonogramów i raportów okresowych przygotowanych samodzielnie, z weryfikacją kwalifikowalności wydatków zgodnie z Wytycznymi.</w:t>
      </w:r>
    </w:p>
    <w:p>
      <w:pPr>
        <w:pStyle w:val="ListBullet"/>
        <w:spacing w:after="30"/>
        <w:ind w:left="340"/>
      </w:pPr>
      <w:r>
        <w:rPr>
          <w:b/>
        </w:rPr>
        <w:t>Kontrole i audyty:</w:t>
      </w:r>
      <w:r>
        <w:t xml:space="preserve"> udział w kontrolach i audytach zewnętrznych prowadzonych przez Instytucje Pośredniczące i Zarządzające oraz przygotowanie dokumentacji i wyjaśnień.</w:t>
      </w:r>
    </w:p>
    <w:p>
      <w:pPr>
        <w:pStyle w:val="ListBullet"/>
        <w:spacing w:after="30"/>
        <w:ind w:left="340"/>
      </w:pPr>
      <w:r>
        <w:rPr>
          <w:b/>
        </w:rPr>
        <w:t>Zamówienia i umowy:</w:t>
      </w:r>
      <w:r>
        <w:t xml:space="preserve"> prowadzenie postępowań w Bazie Konkurencyjności, przygotowywanie i publikowanie zamówień publicznych, umowy z podwykonawcami.</w:t>
      </w:r>
    </w:p>
    <w:p>
      <w:pPr>
        <w:pStyle w:val="ListBullet"/>
        <w:spacing w:after="30"/>
        <w:ind w:left="340"/>
      </w:pPr>
      <w:r>
        <w:rPr>
          <w:b/>
        </w:rPr>
        <w:t>Kierowanie projektem:</w:t>
      </w:r>
      <w:r>
        <w:t xml:space="preserve"> Head of AccelBox Acceleration – zrealizowany projekt w Programie Polska Cyfrowa o budżecie 11,2 mln PLN.</w:t>
      </w:r>
    </w:p>
    <w:p>
      <w:pPr>
        <w:spacing w:after="60" w:before="180"/>
        <w:keepNext/>
        <w:pBdr>
          <w:bottom w:val="single" w:sz="6" w:space="1" w:color="1F3A6E"/>
        </w:pBdr>
      </w:pPr>
      <w:r>
        <w:rPr>
          <w:b/>
          <w:i w:val="0"/>
          <w:color w:val="1F3A6E"/>
          <w:sz w:val="22"/>
        </w:rPr>
        <w:t>DOŚWIADCZENIE ZAWODOWE</w:t>
      </w:r>
    </w:p>
    <w:p>
      <w:pPr>
        <w:keepNext/>
        <w:spacing w:after="0" w:before="120"/>
      </w:pPr>
      <w:r>
        <w:rPr>
          <w:b/>
          <w:sz w:val="21"/>
        </w:rPr>
        <w:t>Ekspert ds. Funduszy Europejskich – FDT ONE (własna działalność)</w:t>
      </w:r>
      <w:r>
        <w:rPr>
          <w:b/>
          <w:color w:val="1F3A6E"/>
        </w:rPr>
        <w:t xml:space="preserve">   |   2018 – obecnie</w:t>
      </w:r>
    </w:p>
    <w:p>
      <w:pPr>
        <w:keepNext/>
        <w:spacing w:after="40"/>
      </w:pPr>
      <w:r>
        <w:rPr>
          <w:b w:val="0"/>
          <w:i/>
        </w:rPr>
        <w:t>Sieć doradców i ekspertów wspierających firmy i instytucje w pozyskiwaniu i rozliczaniu dofinansowań. Programy: POIR, POPW, POPC, FENG, FEPW, KPO, programy regionalne.</w:t>
      </w:r>
    </w:p>
    <w:p>
      <w:pPr>
        <w:pStyle w:val="ListBullet"/>
        <w:spacing w:after="30"/>
        <w:ind w:left="340"/>
      </w:pPr>
      <w:r>
        <w:t>Opracowuję kompletną dokumentację aplikacyjną i konkursową oraz procedury wewnętrzne dla zespołów projektowych.</w:t>
      </w:r>
    </w:p>
    <w:p>
      <w:pPr>
        <w:pStyle w:val="ListBullet"/>
        <w:spacing w:after="30"/>
        <w:ind w:left="340"/>
      </w:pPr>
      <w:r>
        <w:t>Rozliczam projekty: samodzielnie przygotowuję wnioski o płatność, harmonogramy i raporty okresowe; weryfikuję dokumenty finansowe i merytoryczne pod kątem zgodności z wnioskiem o dofinansowanie.</w:t>
      </w:r>
    </w:p>
    <w:p>
      <w:pPr>
        <w:pStyle w:val="ListBullet"/>
        <w:spacing w:after="30"/>
        <w:ind w:left="340"/>
      </w:pPr>
      <w:r>
        <w:t>Monitoruję wskaźniki projektu i na bieżąco weryfikuję kwalifikowalność wydatków zgodnie z Wytycznymi; prowadzę postępowania ofertowe w Bazie Konkurencyjności.</w:t>
      </w:r>
    </w:p>
    <w:p>
      <w:pPr>
        <w:pStyle w:val="ListBullet"/>
        <w:spacing w:after="30"/>
        <w:ind w:left="340"/>
      </w:pPr>
      <w:r>
        <w:t>Przygotowuję klientów do kontroli i audytów zewnętrznych oraz reprezentuję ich w kontaktach z Instytucją Pośredniczącą i Zarządzającą.</w:t>
      </w:r>
    </w:p>
    <w:p>
      <w:pPr>
        <w:pStyle w:val="ListBullet"/>
        <w:spacing w:after="30"/>
        <w:ind w:left="340"/>
      </w:pPr>
      <w:r>
        <w:t>Przeprowadzam audyty podmiotów pod kątem doboru źródeł finansowania i poprawności wydatkowania środków grantowych.</w:t>
      </w:r>
    </w:p>
    <w:p>
      <w:pPr>
        <w:spacing w:after="20" w:before="60"/>
      </w:pPr>
      <w:r>
        <w:rPr>
          <w:b/>
        </w:rPr>
        <w:t xml:space="preserve">Wybrane projekty: </w:t>
      </w:r>
      <w:r>
        <w:t>Podwiślocze Inwestycje (61,3 mln PLN), Gmina Lesznowola (41,2 mln PLN), Accelpoint (3 projekty, 39,3 mln PLN), ESA Hub (22,5 mln PLN), Dim Construction (18,2 mln PLN), Emplocity (3 projekty, 16,3 mln PLN), Infinitive Fund (15,0 mln PLN), SendFriend Poland (14,9 mln PLN), Bumech S.A. (10,5 mln PLN) i innych klientów. Pisemne referencje dostępne do wglądu (m.in. Bumech S.A., Lex Secure, Aerosize, Iine Data, Fast White Cat, 4dustry).</w:t>
      </w:r>
    </w:p>
    <w:p>
      <w:pPr>
        <w:spacing w:after="20" w:before="20"/>
      </w:pPr>
      <w:r>
        <w:t>„Współpraca przebiegała w sposób modelowy – wszystkie zadania realizowane były z należytą starannością i na najwyższym poziomie. Na wyróżnienie zasługuje pomysłowość oraz elastyczność w rozwiązywaniu skomplikowanych problemów.” – Bumech S.A.</w:t>
      </w:r>
    </w:p>
    <w:p>
      <w:pPr>
        <w:keepNext/>
        <w:spacing w:after="0" w:before="120"/>
      </w:pPr>
      <w:r>
        <w:rPr>
          <w:b/>
          <w:sz w:val="21"/>
        </w:rPr>
        <w:t>Head of AccelBox Acceleration – Accelpoint sp. z o.o.</w:t>
      </w:r>
      <w:r>
        <w:rPr>
          <w:b/>
          <w:color w:val="1F3A6E"/>
        </w:rPr>
        <w:t xml:space="preserve">   |   2018 – 2021</w:t>
      </w:r>
    </w:p>
    <w:p>
      <w:pPr>
        <w:keepNext/>
        <w:spacing w:after="40"/>
      </w:pPr>
      <w:r>
        <w:rPr>
          <w:b w:val="0"/>
          <w:i/>
        </w:rPr>
        <w:t>Zrealizowany projekt w ramach Programu Operacyjnego Polska Cyfrowa, budżet 11,2 mln PLN.</w:t>
      </w:r>
    </w:p>
    <w:p>
      <w:pPr>
        <w:pStyle w:val="ListBullet"/>
        <w:spacing w:after="30"/>
        <w:ind w:left="340"/>
      </w:pPr>
      <w:r>
        <w:t>Odpowiadałam za realizację projektu: pozyskiwanie interdyscyplinarnych zespołów z zachowaniem zasady konkurencyjności, umowy z zespołami i podwykonawcami, odbiór prac.</w:t>
      </w:r>
    </w:p>
    <w:p>
      <w:pPr>
        <w:pStyle w:val="ListBullet"/>
        <w:spacing w:after="30"/>
        <w:ind w:left="340"/>
      </w:pPr>
      <w:r>
        <w:t>Pełne sprawozdawanie: wnioski o płatność i raporty merytoryczne; stała współpraca z Instytucją Pośredniczącą w zakresie rozliczania projektu.</w:t>
      </w:r>
    </w:p>
    <w:p>
      <w:pPr>
        <w:pStyle w:val="ListBullet"/>
        <w:spacing w:after="30"/>
        <w:ind w:left="340"/>
      </w:pPr>
      <w:r>
        <w:t>Reagowałam na problemy, wdrażałam działania naprawcze, przygotowywałam i prowadziłam wnioski o zmiany; monitorowałam wskaźniki i kamienie milowe.</w:t>
      </w:r>
    </w:p>
    <w:p>
      <w:pPr>
        <w:pStyle w:val="ListBullet"/>
        <w:spacing w:after="30"/>
        <w:ind w:left="340"/>
      </w:pPr>
      <w:r>
        <w:t>Uczestniczyłam w komitetach inwestycyjnych i przygotowywałam dokumentację formalno-prawną projektu.</w:t>
      </w:r>
    </w:p>
    <w:p>
      <w:pPr>
        <w:keepNext/>
        <w:spacing w:after="0" w:before="120"/>
      </w:pPr>
      <w:r>
        <w:rPr>
          <w:b/>
          <w:sz w:val="21"/>
        </w:rPr>
        <w:t>Kierownik projektu / kierownik zespołu – Polkomtel sp. z o.o.</w:t>
      </w:r>
      <w:r>
        <w:rPr>
          <w:b/>
          <w:color w:val="1F3A6E"/>
        </w:rPr>
        <w:t xml:space="preserve">   |   2004 – 2018</w:t>
      </w:r>
    </w:p>
    <w:p>
      <w:pPr>
        <w:keepNext/>
        <w:spacing w:after="40"/>
      </w:pPr>
      <w:r>
        <w:rPr>
          <w:b w:val="0"/>
          <w:i/>
        </w:rPr>
        <w:t>Awans od konsultanta w obsłudze klienta, przez kierownika zespołu utrzymania klienta, do kierownika projektu w departamencie zarządzania bazą.</w:t>
      </w:r>
    </w:p>
    <w:p>
      <w:pPr>
        <w:pStyle w:val="ListBullet"/>
        <w:spacing w:after="30"/>
        <w:ind w:left="340"/>
      </w:pPr>
      <w:r>
        <w:t>Zaplanowałam i rozliczałam 60 mln PLN budżetu departamentu (opex, capex, gross profit); raportowałam wykorzystanie budżetu prowizyjnego.</w:t>
      </w:r>
    </w:p>
    <w:p>
      <w:pPr>
        <w:pStyle w:val="ListBullet"/>
        <w:spacing w:after="30"/>
        <w:ind w:left="340"/>
      </w:pPr>
      <w:r>
        <w:t>Kierowałam zespołem: wyznaczałam i kontrolowałam zadania, motywowałam pracowników i planowałam ich rozwój zawodowy.</w:t>
      </w:r>
    </w:p>
    <w:p>
      <w:pPr>
        <w:pStyle w:val="ListBullet"/>
        <w:spacing w:after="30"/>
        <w:ind w:left="340"/>
      </w:pPr>
      <w:r>
        <w:t>Przygotowywałam dokumentację projektową (wymagania biznesowe i funkcjonalne), wdrażałam zmiany w procesach i analizowałam możliwości automatyzacji.</w:t>
      </w:r>
    </w:p>
    <w:p>
      <w:pPr>
        <w:pStyle w:val="ListBullet"/>
        <w:spacing w:after="30"/>
        <w:ind w:left="340"/>
      </w:pPr>
      <w:r>
        <w:t>Współpracowałam z kontrolingiem przy sprawozdaniach finansowych (jednostkowych i skonsolidowanych) oraz opracowywałam raporty i analizy rentowności dla Zarządu.</w:t>
      </w:r>
    </w:p>
    <w:p>
      <w:pPr>
        <w:spacing w:after="60" w:before="180"/>
        <w:keepNext/>
        <w:pBdr>
          <w:bottom w:val="single" w:sz="6" w:space="1" w:color="1F3A6E"/>
        </w:pBdr>
      </w:pPr>
      <w:r>
        <w:rPr>
          <w:b/>
          <w:i w:val="0"/>
          <w:color w:val="1F3A6E"/>
          <w:sz w:val="22"/>
        </w:rPr>
        <w:t>WYKSZTAŁCENIE</w:t>
      </w:r>
    </w:p>
    <w:p>
      <w:pPr>
        <w:pStyle w:val="ListBullet"/>
        <w:spacing w:after="30"/>
        <w:ind w:left="340"/>
      </w:pPr>
      <w:r>
        <w:t>Wyższa Szkoła Menedżerska – studia magisterskie, zarządzanie, specjalność zarządzanie zasobami ludzkimi (2008 – 2010)</w:t>
      </w:r>
    </w:p>
    <w:p>
      <w:pPr>
        <w:pStyle w:val="ListBullet"/>
        <w:spacing w:after="30"/>
        <w:ind w:left="340"/>
      </w:pPr>
      <w:r>
        <w:t>Wyższa Szkoła Handlu i Finansów Międzynarodowych w Warszawie – studia licencjackie, finanse i bankowość, specjalność zarządzanie finansowe (2000 – 2003)</w:t>
      </w:r>
    </w:p>
    <w:p>
      <w:pPr>
        <w:spacing w:after="60" w:before="180"/>
        <w:keepNext/>
        <w:pBdr>
          <w:bottom w:val="single" w:sz="6" w:space="1" w:color="1F3A6E"/>
        </w:pBdr>
      </w:pPr>
      <w:r>
        <w:rPr>
          <w:b/>
          <w:i w:val="0"/>
          <w:color w:val="1F3A6E"/>
          <w:sz w:val="22"/>
        </w:rPr>
        <w:t>SZKOLENIA I KOMPETENCJE</w:t>
      </w:r>
    </w:p>
    <w:p>
      <w:pPr>
        <w:pStyle w:val="ListBullet"/>
        <w:spacing w:after="30"/>
        <w:ind w:left="340"/>
      </w:pPr>
      <w:r>
        <w:t>Zarządzanie projektami w oparciu o PMI-PMBOK; przywództwo w zarządzaniu projektami</w:t>
      </w:r>
    </w:p>
    <w:p>
      <w:pPr>
        <w:pStyle w:val="ListBullet"/>
        <w:spacing w:after="30"/>
        <w:ind w:left="340"/>
      </w:pPr>
      <w:r>
        <w:t>Budowanie efektywnego zespołu, inteligencja emocjonalna w praktyce, coaching, profesjonalna prezentacja, zarządzanie czasem</w:t>
      </w:r>
    </w:p>
    <w:p>
      <w:pPr>
        <w:pStyle w:val="ListBullet"/>
        <w:spacing w:after="30"/>
        <w:ind w:left="340"/>
      </w:pPr>
      <w:r>
        <w:t>Excel i PowerPoint – poziom zaawansowany; development center, insights discovery</w:t>
      </w:r>
    </w:p>
    <w:p>
      <w:pPr>
        <w:pStyle w:val="ListBullet"/>
        <w:spacing w:after="30"/>
        <w:ind w:left="340"/>
      </w:pPr>
      <w:r>
        <w:t>Prelegentka na konferencji „Siła telemarketingu” – wystąpienie „Budowanie efektywnego zespołu w contact center w oparciu o pracowników tymczasowych”</w:t>
      </w:r>
    </w:p>
    <w:p>
      <w:pPr>
        <w:spacing w:before="160"/>
      </w:pPr>
      <w:r>
        <w:rPr>
          <w:b w:val="0"/>
          <w:i/>
          <w:sz w:val="16"/>
        </w:rPr>
        <w:t>Wyrażam zgodę na przetwarzanie moich danych osobowych zawartych w ofercie pracy dla potrzeb niezbędnych do realizacji procesu rekrutacji (zgodnie z RODO oraz ustawą z dnia 10 maja 2018 r. o ochronie danych osobowych).</w:t>
      </w:r>
    </w:p>
    <w:sectPr w:rsidR="00FC693F" w:rsidRPr="0006063C" w:rsidSect="00034616">
      <w:pgSz w:w="12240" w:h="15840"/>
      <w:pgMar w:top="850" w:right="1077" w:bottom="79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