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[3876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 dlatego rozwiązanie problemu wymaga badań własnych.</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błąd pozycji ładunku nie przekracza 0,30 m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[923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[852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Decyzję o dalszym przebiegu podejmuje komitet sterujący: kierownik zarządzający Maciej Chrzanowski (przewodniczący), kierownik B+R i przedstawiciel PRz.</w:t>
      </w:r>
    </w:p>
    <w:p>
      <w:pPr>
        <w:keepNext/>
        <w:spacing w:before="160" w:after="40"/>
      </w:pPr>
      <w:r>
        <w:rPr>
          <w:b/>
          <w:sz w:val="20"/>
        </w:rPr>
        <w:t>Opis wpływu nieosiągnięcia kamienia milowego na realizację projektu</w:t>
      </w:r>
      <w:r>
        <w:rPr>
          <w:color w:val="666666"/>
          <w:sz w:val="17"/>
        </w:rPr>
        <w:t xml:space="preserve"> [876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O zmianie architektury sensorycznej (na przykład kamery EO ze światłem strukturalnym) albo o przerwaniu zadania decyduje komitet sterujący w M9. Odrzucenie hipotezy H2 nie jest niepowodzeniem, bo uzasadnia algorytm adaptacyjny w Z5.</w:t>
      </w:r>
    </w:p>
    <w:p>
      <w:r>
        <w:br w:type="page"/>
      </w:r>
    </w:p>
    <w:p>
      <w:pPr>
        <w:pStyle w:val="Heading1"/>
      </w:pPr>
      <w:r>
        <w:t>Zadanie 2</w:t>
      </w:r>
    </w:p>
    <w:p>
      <w:r>
        <w:rPr>
          <w:b/>
        </w:rPr>
        <w:t>2. Badania przemysłowe: Akwizycja wielomodalnego datasetu in-transit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[794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w zbiorach treningowym, test naturalny i test kontrolowany, z sumami kontrolnymi, zamrożony przed startem Z4; 5) kompletność z raportu liczności klas, sezonów i typów nawierzchni.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[710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komitet sterujący w M18 wstrzymuje zadanie Z4 i modyfikuje zakres.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[837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[745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komitet sterujący w M18 zawęża zakres (taksonomia do pasów i klinów według EN 12195, ML do 2-3 klas) albo przerywa zadanie.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[789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[868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komitet sterujący w M27 ogranicza zakres funkcji albo przerywa zadanie modelowe, a Z7 przyjmuje model o niższych, lecz zmierzonych parametrach.</w:t>
      </w:r>
    </w:p>
    <w:p>
      <w:r>
        <w:br w:type="page"/>
      </w:r>
    </w:p>
    <w:p>
      <w:pPr>
        <w:pStyle w:val="Heading1"/>
      </w:pPr>
      <w:r>
        <w:t>Zadanie 5</w:t>
      </w:r>
    </w:p>
    <w:p>
      <w:r>
        <w:rPr>
          <w:b/>
        </w:rPr>
        <w:t>5. Prace rozwojowe: Algorytmy 3D state estimation: mitygacja MCI, IMU-aided registration, pipeline modelu 3D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[3170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te same wielkości będą ponownie mierzone po kompresji w zadaniu Z7 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[805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[780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komitet sterujący w M27 zawęża zakres funkcji 3D albo przerywa zadanie.</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[3275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Poza zakresem prac B+R i poza kosztami projektu pozostają: standardowe API TMS, integracje z Trans.eu, TimoCom i e-CMR, produkcyjny dashboard TMS, utrzymanie i przygotowanie do wdrożenia operacyjnego. Z istniejącego TMS zadanie korzysta przez interfejs testowy, wyłącznie do pomiaru czasu i kompletności.</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oraz zmierzy czasy i opóźnienia w testach integracyjnych. Backend/Full-Stack Developer, w wymiarze 1,0 etatu przez 9 miesięcy od M19 do M27, zbuduje strumieniowy potok danych z embedded do pipeline'u, kolejkowanie i spójność przy utracie łączności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czasu tych osób wynika z podziału ich etatów między zadania Z6, Z7 i Z9 określonego w budżecie.</w:t>
      </w:r>
    </w:p>
    <w:p>
      <w:pPr>
        <w:keepNext/>
        <w:spacing w:before="160" w:after="40"/>
      </w:pPr>
      <w:r>
        <w:rPr>
          <w:b/>
          <w:sz w:val="20"/>
        </w:rPr>
        <w:t>Szczegółowy opis planowanych prac wraz z uzasadnieniem (w tym opis metody badawczej)</w:t>
      </w:r>
      <w:r>
        <w:rPr>
          <w:color w:val="666666"/>
          <w:sz w:val="17"/>
        </w:rPr>
        <w:t xml:space="preserve"> [3098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standardowe (API TMS, Trans.eu, TimoCom, e-CMR, produkcyjny dashboard,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interfejsu testowego TMS do 2 s).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interfejs testowy do istniejącego TMS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[919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interfejsu testowego TMS: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interfejs testowy do TMS. Integracje z Trans.eu, TimoCom i e-CMR są poza zakresem prac B+R.</w:t>
      </w:r>
    </w:p>
    <w:p>
      <w:pPr>
        <w:keepNext/>
        <w:spacing w:before="160" w:after="40"/>
      </w:pPr>
      <w:r>
        <w:rPr>
          <w:b/>
          <w:sz w:val="20"/>
        </w:rPr>
        <w:t>Opis sposobu weryfikacji osiągnięcia kamienia milowego</w:t>
      </w:r>
      <w:r>
        <w:rPr>
          <w:color w:val="666666"/>
          <w:sz w:val="17"/>
        </w:rPr>
        <w:t xml:space="preserve"> [692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[843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komitet sterujący w M27 ogranicza zakres funkcji dokumentacyjnych albo przerywa zadanie.</w:t>
      </w:r>
    </w:p>
    <w:p>
      <w:r>
        <w:br w:type="page"/>
      </w:r>
    </w:p>
    <w:p>
      <w:pPr>
        <w:pStyle w:val="Heading1"/>
      </w:pPr>
      <w:r>
        <w:t>Zadanie 7</w:t>
      </w:r>
    </w:p>
    <w:p>
      <w:r>
        <w:rPr>
          <w:b/>
        </w:rPr>
        <w:t>7. Prace rozwojowe: Optymalizacja i integracja embedded (Z7)</w:t>
      </w:r>
    </w:p>
    <w:p>
      <w:r>
        <w:rPr>
          <w:color w:val="666666"/>
        </w:rPr>
        <w:t>Everest11, prace rozwojowe, M19-M27, równolegle z Z6</w:t>
      </w:r>
    </w:p>
    <w:p>
      <w:pPr>
        <w:keepNext/>
        <w:spacing w:before="160" w:after="40"/>
      </w:pPr>
      <w:r>
        <w:rPr>
          <w:b/>
          <w:sz w:val="20"/>
        </w:rPr>
        <w:t>Zakres planowanych prac B+R</w:t>
      </w:r>
      <w:r>
        <w:rPr>
          <w:color w:val="666666"/>
          <w:sz w:val="17"/>
        </w:rPr>
        <w:t xml:space="preserve"> [3297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zmieścienia modeli w platformie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czasu tych osób wynika z podziału ich etatów między zadania Z6, Z7 i Z9 określonego w budżecie.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[3267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Z5 i Z8 są budowane w pełnej precyzji FP32 i nie mieszczą się w ograniczeniach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Zadanie przekaże zintegrowany system do instalacji i testów terenowych w zadaniu Z9, a bez zwalidowanego systemu testy te nie mogą się rozpocząć,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[739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[902 z 1300 znaków]</w:t>
      </w:r>
    </w:p>
    <w:p>
      <w:pPr>
        <w:spacing w:after="60"/>
        <w:shd w:val="clear" w:color="auto" w:fill="EEF3FA"/>
      </w:pPr>
      <w:r>
        <w:rPr>
          <w:b w:val="0"/>
        </w:rPr>
        <w:t xml:space="preserve">Brak kamienia uniemożliwia instalację systemu w Z9 i blokuje testy terenowe.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komitet sterujący w M27 zmienia platformę lub zakres funkcji offline albo przerywa zadanie.</w:t>
      </w:r>
    </w:p>
    <w:p>
      <w:r>
        <w:br w:type="page"/>
      </w:r>
    </w:p>
    <w:p>
      <w:pPr>
        <w:pStyle w:val="Heading1"/>
      </w:pPr>
      <w:r>
        <w:t>Zadanie 8</w:t>
      </w:r>
    </w:p>
    <w:p>
      <w:r>
        <w:rPr>
          <w:b/>
        </w:rPr>
        <w:t>8. Prace rozwojowe: Modele CV i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325 godzin, opracuje modele detekcji, segmentacji i klasyfikacji oraz change detection. Główny specjalista ds. systemów wizyjnych, percepcji 3D i integracji algorytmicznej, w wymiarze 325 godzin, zintegruje wyniki CV i change detection z modelem 3D. Specjalista ds. uczenia maszynowego, selekcji cech i predykcji ryzyka, w wymiarze 120 godzin, dobierze architektury i augmentację. Specjalista ds. modelowania matematycznego, statystyki i walidacji ilościowej, w wymiarze 110 godzin, wykona ocenę ilościową (precision, recall, F1, mAP). Młodszy specjalista ds. uczenia maszynowego, przygotowania danych eksperymentalnych i analizy wyników, w wymiarze 200 godzin, wesprze eksperymenty CV i zestawienia metryk. Specjalista ds. danych AI/CV, anotacji i analizy wyników modeli (242 godziny) opracuje zasady reanotacji i przeanalizuje klasy niejednoznaczne, specjalista ds. przetwarzania danych wielomodalnych i organizacji datasetu (200 godzin) przygotuje zbiory i dane do change detection, a specjalista ds. implementacji AI/CV, automatyzacji eksperymentów i edge AI (204 godziny)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[778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Decyzję o dalszym przebiegu podejmuje komitet sterujący w M26 (wersja RC) i w M30.</w:t>
      </w:r>
    </w:p>
    <w:p>
      <w:pPr>
        <w:keepNext/>
        <w:spacing w:before="160" w:after="40"/>
      </w:pPr>
      <w:r>
        <w:rPr>
          <w:b/>
          <w:sz w:val="20"/>
        </w:rPr>
        <w:t>Opis wpływu nieosiągnięcia kamienia milowego na realizację projektu</w:t>
      </w:r>
      <w:r>
        <w:rPr>
          <w:color w:val="666666"/>
          <w:sz w:val="17"/>
        </w:rPr>
        <w:t xml:space="preserve"> [871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komitet sterujący ogranicza zakres funkcji CV albo wydziela je do prac po projekcie.</w:t>
      </w:r>
    </w:p>
    <w:p>
      <w:r>
        <w:br w:type="page"/>
      </w:r>
    </w:p>
    <w:p>
      <w:pPr>
        <w:pStyle w:val="Heading1"/>
      </w:pPr>
      <w:r>
        <w:t>Zadanie 9</w:t>
      </w:r>
    </w:p>
    <w:p>
      <w:r>
        <w:rPr>
          <w:b/>
        </w:rPr>
        <w:t>9. Prace rozwojowe: Testy terenowe i walidacja TRL 8 (Z9)</w:t>
      </w:r>
    </w:p>
    <w:p>
      <w:r>
        <w:rPr>
          <w:color w:val="666666"/>
        </w:rPr>
        <w:t>Everest11, prace rozwojowe, M22-M30</w:t>
      </w:r>
    </w:p>
    <w:p>
      <w:pPr>
        <w:keepNext/>
        <w:spacing w:before="160" w:after="40"/>
      </w:pPr>
      <w:r>
        <w:rPr>
          <w:b/>
          <w:sz w:val="20"/>
        </w:rPr>
        <w:t>Zakres planowanych prac B+R</w:t>
      </w:r>
      <w:r>
        <w:rPr>
          <w:color w:val="666666"/>
          <w:sz w:val="17"/>
        </w:rPr>
        <w:t xml:space="preserve"> [3829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egzemplarzy release candidate,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 w celu ponownego potwierdzenia parametrów po korektach. Zmiany architektury i reanotacje, wymagające dłuższego cyklu, wykona PRz w zadaniu Z8.</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 Zestawy po walidacji zostaną zlikwidowane z protokołem, bez użycia komercyjnego.</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a także przeprowadzi badanie akceptacji użytkowników (kierowcy, dyspozytorzy) według scenariuszy specjalisty TSL. IoT Specialist odbierze zestawy po montażu, skalibruje je i zarejestruje parametry niezawodności sprzętu. IT Specialist zbierze logi (dostępność, status GSM, bufor), zmierzy czas PoC i opóźnienia oraz opracuje dane do raportu KPI. Bieżące utrzymanie systemu nie należy do tego zadania. Cybersecurity / AI Act Specialist wykona testy bezpieczeństwa prototypu w terenie i uruchomi zamrożony skrypt ewaluacyjny jako niezależny ewaluator. Specjalista ds. logistyki TSL poprowadzi inspekcje ground truth. Backend/Full-Stack Developer, w wymiarze 1,0 etatu przez 3 miesiące od M28 do M30, obsłuży walidację PoC i zgodności eFTI w terenie na co najmniej 200 cyklach oraz analizę błędów. Nakład czasu pozostałych osób wynika z podziału ich etatów między zadania Z6, Z7 i Z9 określonego w budżecie.</w:t>
      </w:r>
    </w:p>
    <w:p>
      <w:pPr>
        <w:keepNext/>
        <w:spacing w:before="160" w:after="40"/>
      </w:pPr>
      <w:r>
        <w:rPr>
          <w:b/>
          <w:sz w:val="20"/>
        </w:rPr>
        <w:t>Szczegółowy opis planowanych prac wraz z uzasadnieniem (w tym opis metody badawczej)</w:t>
      </w:r>
      <w:r>
        <w:rPr>
          <w:color w:val="666666"/>
          <w:sz w:val="17"/>
        </w:rPr>
        <w:t xml:space="preserve"> [3555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zainstaluje wyłącznie finalne zestawy prototypowe i je zdemontuje,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Raport techniczny z zadania Z9 jest wejściem do prac patentowych w zadaniu Z11, a koszty zadania obejmują wynagrodzenia wymienionych osób Everest11 oraz usługę podwykonawcy.</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[851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Decyzję o zakończeniu, modyfikacji albo przerwaniu zadania podejmuje komitet sterujący w M30.</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Część druga. Ryzyka do wklejenia (R1-R5, R9-R12)</w:t>
      </w:r>
    </w:p>
    <w:p>
      <w:pPr>
        <w:spacing w:after="60"/>
      </w:pPr>
      <w:r>
        <w:rPr>
          <w:b w:val="0"/>
        </w:rPr>
        <w:t>Pola ryzyk w kolejności z Instrukcji: nazwa, opis ryzyka (z prawdopodobieństwem i wpływem), sposoby zapobiegania i minimalizacji skutków. Ryzyka R6, R7 i R8 nie były przedmiotem tej wersji i pozostają bez zmian. R10, R11 i R12 są nowe i odpowiadają uwagom 25, 31 i 32.</w:t>
      </w:r>
    </w:p>
    <w:p>
      <w:pPr>
        <w:pStyle w:val="Heading2"/>
      </w:pPr>
      <w:r>
        <w:t>R1</w:t>
      </w:r>
    </w:p>
    <w:p>
      <w:r>
        <w:rPr>
          <w:color w:val="666666"/>
        </w:rPr>
        <w:t>Rodzaj ryzyka: badawcze/technologiczne</w:t>
      </w:r>
    </w:p>
    <w:p>
      <w:pPr>
        <w:keepNext/>
        <w:spacing w:before="160" w:after="40"/>
      </w:pPr>
      <w:r>
        <w:rPr>
          <w:b/>
          <w:sz w:val="20"/>
        </w:rPr>
        <w:t>Nazwa ryzyka</w:t>
      </w:r>
      <w:r>
        <w:rPr>
          <w:color w:val="666666"/>
          <w:sz w:val="17"/>
        </w:rPr>
        <w:t xml:space="preserve"> [139 z 200 znaków]</w:t>
      </w:r>
    </w:p>
    <w:p>
      <w:pPr>
        <w:spacing w:after="60"/>
        <w:shd w:val="clear" w:color="auto" w:fill="FBF3E6"/>
      </w:pPr>
      <w:r>
        <w:rPr>
          <w:b w:val="0"/>
        </w:rPr>
        <w:t>Niewystarczająca dokładność rekonstrukcji 3D przestrzeni ładunkowej z powodu interferencji kamer ToF i drgań naczepy (zadania Z1 i Z5) - R1</w:t>
      </w:r>
    </w:p>
    <w:p>
      <w:pPr>
        <w:keepNext/>
        <w:spacing w:before="160" w:after="40"/>
      </w:pPr>
      <w:r>
        <w:rPr>
          <w:b/>
          <w:sz w:val="20"/>
        </w:rPr>
        <w:t>Opis ryzyka</w:t>
      </w:r>
      <w:r>
        <w:rPr>
          <w:color w:val="666666"/>
          <w:sz w:val="17"/>
        </w:rPr>
        <w:t xml:space="preserve"> [1238 z 2000 znaków]</w:t>
      </w:r>
    </w:p>
    <w:p>
      <w:pPr>
        <w:spacing w:after="60"/>
        <w:shd w:val="clear" w:color="auto" w:fill="FBF3E6"/>
      </w:pPr>
      <w:r>
        <w:rPr>
          <w:b w:val="0"/>
        </w:rPr>
        <w:t xml:space="preserve">Ryzyko dotyczy badań przemysłowych w zadaniu Z1 i prac rozwojowych w zadaniu Z5, realizowanych przez PRz. Polega na możliwości nieosiągnięcia parametrów kamieni milowych KM-Z1 i KM-Z5: pokrycia co najmniej 95% objętości przestrzeni ładunkowej (83,7 m3 z 88,1 m3) przy nie więcej niż 4 kamerach, mediany błędu pozycji ładunku nie większej niż 0,30 m i percentyla 95 nie większego niż 0,35 m, mediany błędu przemieszczenia względnego nie większej niż </w:t>
      </w:r>
      <w:r>
        <w:rPr>
          <w:b w:val="0"/>
          <w:highlight w:val="yellow"/>
        </w:rPr>
        <w:t>0,03 m</w:t>
      </w:r>
      <w:r>
        <w:rPr>
          <w:b w:val="0"/>
        </w:rPr>
        <w:t>, redukcji RMSE głębi o co najmniej 50% oraz częstotliwości aktualizacji modelu 3D co najmniej 5 Hz. Niepewność ma dwa źródła. Pierwszym są interferencje kamer ToF (MCI) i błędy wielościeżkowe (MPI) w zamkniętej, metalowej przestrzeni, których nie opisano w literaturze dla takiego środowiska. Drugim jest kompensacja drgań o częstotliwości od 8 do 25 Hz przy łączeniu map głębi, ponieważ metody ToF-IMU i Visual SLAM walidowano dla scen otwartych. Prawdopodobieństwo wystąpienia ryzyka jest średnie. Skutkiem byłaby niższa dokładność modelu 3D, czyli gorsza jakość rezultatu i danych wejściowych dla zadań Z4 i Z8, a także możliwe wydłużenie prac i zawężenie zakresu. Ryzyko dotyczy wprost cechy innowacyjnej „model 3D z wielu kamer w czasie rzeczywistym” i wskaźnika błędu pozycji.</w:t>
      </w:r>
    </w:p>
    <w:p>
      <w:pPr>
        <w:keepNext/>
        <w:spacing w:before="160" w:after="40"/>
      </w:pPr>
      <w:r>
        <w:rPr>
          <w:b/>
          <w:sz w:val="20"/>
        </w:rPr>
        <w:t>Sposoby zapobiegania i minimalizacji skutków</w:t>
      </w:r>
      <w:r>
        <w:rPr>
          <w:color w:val="666666"/>
          <w:sz w:val="17"/>
        </w:rPr>
        <w:t xml:space="preserve"> [1334 z 2000 znaków]</w:t>
      </w:r>
    </w:p>
    <w:p>
      <w:pPr>
        <w:spacing w:after="60"/>
        <w:shd w:val="clear" w:color="auto" w:fill="FBF3E6"/>
      </w:pPr>
      <w:r>
        <w:rPr>
          <w:b w:val="0"/>
        </w:rPr>
        <w:t>Ryzyku zapobiegają trzy działania. Eksperyment MCI i MPI w zadaniu Z1 wyznacza wartość bazową błędu głębi i konfigurację kamer, zanim zostaną zainstrumentowane pojazdy. Algorytm adaptacyjny MCI i kompensacja drgań strojona do widma od 8 do 25 Hz powstają w zadaniu Z5. Referencja fotogrametryczna jest stosowana na stanowisku wibracyjnym w zadaniu Z5 i w terenie co około 500 km w zadaniu Z9.</w:t>
      </w:r>
    </w:p>
    <w:p>
      <w:pPr>
        <w:spacing w:after="60"/>
        <w:shd w:val="clear" w:color="auto" w:fill="FBF3E6"/>
      </w:pPr>
      <w:r>
        <w:rPr>
          <w:b w:val="0"/>
        </w:rPr>
        <w:t>Skutki ryzyka ograniczamy w ustalonej kolejności. Pierwszym krokiem są nie więcej niż 2 iteracje korekcyjne, każda w oknie od 4 do 6 tygodni przed danym kamieniem milowym. Pokrycie od 85% do 95% oznacza wariant zawężony z wyłączeniem stref niekrytycznych (narożniki), a mediana błędu pozycji od 0,30 do 0,50 m daje lokalizację ładunku z dokładnością do strefy, z zachowaniem wykrywania przemieszczeń względnych od 0,10 m. Wariant zawężony zachowuje cechy innowacyjne, a wskaźnik błędu pozycji i pokrycia aktualizujemy w trybie zmiany projektu.</w:t>
      </w:r>
    </w:p>
    <w:p>
      <w:pPr>
        <w:spacing w:after="60"/>
        <w:shd w:val="clear" w:color="auto" w:fill="FBF3E6"/>
      </w:pPr>
      <w:r>
        <w:rPr>
          <w:b w:val="0"/>
        </w:rPr>
        <w:t xml:space="preserve">Warunki no-go po dwóch iteracjach: pokrycie mniejsze niż </w:t>
      </w:r>
      <w:r>
        <w:rPr>
          <w:b w:val="0"/>
          <w:highlight w:val="yellow"/>
        </w:rPr>
        <w:t>85%</w:t>
      </w:r>
      <w:r>
        <w:rPr>
          <w:b w:val="0"/>
        </w:rPr>
        <w:t xml:space="preserve"> w każdym wariancie do 4 kamer albo mediana błędu pozycji większa niż </w:t>
      </w:r>
      <w:r>
        <w:rPr>
          <w:b w:val="0"/>
          <w:highlight w:val="yellow"/>
        </w:rPr>
        <w:t>0,50 m</w:t>
      </w:r>
      <w:r>
        <w:rPr>
          <w:b w:val="0"/>
        </w:rPr>
        <w:t xml:space="preserve"> (ponad połowa szerokości europalety) albo redukcja RMSE mniejsza niż </w:t>
      </w:r>
      <w:r>
        <w:rPr>
          <w:b w:val="0"/>
          <w:highlight w:val="yellow"/>
        </w:rPr>
        <w:t>30%</w:t>
      </w:r>
      <w:r>
        <w:rPr>
          <w:b w:val="0"/>
        </w:rPr>
        <w:t>. Decyzję podejmuje komitet sterujący w M9 (zadanie Z1) lub w M27 (zadanie Z5): zmienia architekturę sensoryczną, na przykład na kamery EO ze światłem strukturalnym, albo przerywa zadanie.</w:t>
      </w:r>
    </w:p>
    <w:p>
      <w:pPr>
        <w:pStyle w:val="Heading2"/>
      </w:pPr>
      <w:r>
        <w:t>R2</w:t>
      </w:r>
    </w:p>
    <w:p>
      <w:r>
        <w:rPr>
          <w:color w:val="666666"/>
        </w:rPr>
        <w:t>Rodzaj ryzyka: badawcze/technologiczne</w:t>
      </w:r>
    </w:p>
    <w:p>
      <w:pPr>
        <w:keepNext/>
        <w:spacing w:before="160" w:after="40"/>
      </w:pPr>
      <w:r>
        <w:rPr>
          <w:b/>
          <w:sz w:val="20"/>
        </w:rPr>
        <w:t>Nazwa ryzyka</w:t>
      </w:r>
      <w:r>
        <w:rPr>
          <w:color w:val="666666"/>
          <w:sz w:val="17"/>
        </w:rPr>
        <w:t xml:space="preserve"> [165 z 200 znaków]</w:t>
      </w:r>
    </w:p>
    <w:p>
      <w:pPr>
        <w:spacing w:after="60"/>
        <w:shd w:val="clear" w:color="auto" w:fill="FBF3E6"/>
      </w:pPr>
      <w:r>
        <w:rPr>
          <w:b w:val="0"/>
        </w:rPr>
        <w:t>Nieosiągnięcie AUC-ROC co najmniej 0,85 modelu predykcji ryzyka uszkodzenia ładunku z powodu niezbalansowania klas i braku zbioru treningowego (zadania Z2 i Z4) - R2</w:t>
      </w:r>
    </w:p>
    <w:p>
      <w:pPr>
        <w:keepNext/>
        <w:spacing w:before="160" w:after="40"/>
      </w:pPr>
      <w:r>
        <w:rPr>
          <w:b/>
          <w:sz w:val="20"/>
        </w:rPr>
        <w:t>Opis ryzyka</w:t>
      </w:r>
      <w:r>
        <w:rPr>
          <w:color w:val="666666"/>
          <w:sz w:val="17"/>
        </w:rPr>
        <w:t xml:space="preserve"> [1152 z 2000 znaków]</w:t>
      </w:r>
    </w:p>
    <w:p>
      <w:pPr>
        <w:spacing w:after="60"/>
        <w:shd w:val="clear" w:color="auto" w:fill="FBF3E6"/>
      </w:pPr>
      <w:r>
        <w:rPr>
          <w:b w:val="0"/>
        </w:rPr>
        <w:t xml:space="preserve">Ryzyko dotyczy badań przemysłowych w zadaniu Z2 (zbiór danych, Everest11) i prac rozwojowych w zadaniu Z4 (model, PRz). Polega na możliwości nieosiągnięcia AUC-ROC co najmniej 0,85 dla co najmniej 3 klas ładunku przez model FP32 na teście naturalnym. Niepewność potwierdza luka badawcza: przeszukanie IEEE Xplore, Scopus i Google Scholar (maj 2026) nie wykazało modelu ML ryzyka uszkodzenia z sygnałów in-transit z klasą ładunku i kumulacją narażenia, a Neupane i in. (2025) wskazują brak wspólnej metodyki dla niezbalansowania. Problemy są dwa. Zdarzenia są rzadkie (uszkodzenia w 1-3% przesyłek, stosunek klas 1:30-1:100), więc zdarzeń naturalnych nie wystarczy do progu liczności: spodziewamy się </w:t>
      </w:r>
      <w:r>
        <w:rPr>
          <w:b w:val="0"/>
          <w:highlight w:val="yellow"/>
        </w:rPr>
        <w:t>20-40</w:t>
      </w:r>
      <w:r>
        <w:rPr>
          <w:b w:val="0"/>
        </w:rPr>
        <w:t xml:space="preserve"> ZR naturalnych w zadaniu Z2 przy co najmniej 50 kursach, około </w:t>
      </w:r>
      <w:r>
        <w:rPr>
          <w:b w:val="0"/>
          <w:highlight w:val="yellow"/>
        </w:rPr>
        <w:t>8</w:t>
      </w:r>
      <w:r>
        <w:rPr>
          <w:b w:val="0"/>
        </w:rPr>
        <w:t xml:space="preserve"> przesyłkach na kurs i częstości ZR </w:t>
      </w:r>
      <w:r>
        <w:rPr>
          <w:b w:val="0"/>
          <w:highlight w:val="yellow"/>
        </w:rPr>
        <w:t>5-10%</w:t>
      </w:r>
      <w:r>
        <w:rPr>
          <w:b w:val="0"/>
        </w:rPr>
        <w:t>, a próg to 50 ZR na klasę, razem 250, uzupełniane scenariuszami kontrolowanymi. Ponadto nie ma publicznego zbioru danych. Prawdopodobieństwo jest średnie do podwyższonego. Skutkiem byłaby niższa jakość funkcji predykcji ryzyka, czyli cechy innowacyjnej „predykcja ryzyka z klasą ładunku”, oraz opóźnienie modelowania przy niedoborze danych.</w:t>
      </w:r>
    </w:p>
    <w:p>
      <w:pPr>
        <w:keepNext/>
        <w:spacing w:before="160" w:after="40"/>
      </w:pPr>
      <w:r>
        <w:rPr>
          <w:b/>
          <w:sz w:val="20"/>
        </w:rPr>
        <w:t>Sposoby zapobiegania i minimalizacji skutków</w:t>
      </w:r>
      <w:r>
        <w:rPr>
          <w:color w:val="666666"/>
          <w:sz w:val="17"/>
        </w:rPr>
        <w:t xml:space="preserve"> [1683 z 2000 znaków]</w:t>
      </w:r>
    </w:p>
    <w:p>
      <w:pPr>
        <w:spacing w:after="60"/>
        <w:shd w:val="clear" w:color="auto" w:fill="FBF3E6"/>
      </w:pPr>
      <w:r>
        <w:rPr>
          <w:b w:val="0"/>
        </w:rPr>
        <w:t>Ryzyku zapobiegamy pięcioma działaniami. W zadaniu Z2 dane są gromadzone wcześnie i w sposób ciągły, z protokołem inspekcji ślepej. Zdarzenie ryzyka jest zdefiniowane jako uszkodzenie albo przemieszczenie o co najmniej 0,10 m potwierdzone inspekcją, co zwiększa liczność przy etykiecie niezależnej od sygnałów. Techniki uczenia przy niezbalansowaniu (SMOTE, ADASYN, funkcja straty zależna od kosztu błędu, zespoły modeli) są porównywane z badaniem ablacyjnym. Dane kontrolowane i syntetyczne trafiają tylko do treningu i osobnego testu kontrolowanego, a test naturalny i walidacja w zadaniu Z9 używają wyłącznie danych naturalnych (co najmniej 30 ZR, co najmniej 10 na klasę). AUC-ROC i AUC-PR są raportowane z przedziałem ufności 95%.</w:t>
      </w:r>
    </w:p>
    <w:p>
      <w:pPr>
        <w:spacing w:after="60"/>
        <w:shd w:val="clear" w:color="auto" w:fill="FBF3E6"/>
      </w:pPr>
      <w:r>
        <w:rPr>
          <w:b w:val="0"/>
        </w:rPr>
        <w:t>Skutki ograniczamy tak: wykonujemy nie więcej niż 2 iteracje korekcyjne w oknie od 4 do 6 tygodni przed KM-Z4, a przy niedoborze zdarzeń prowadzimy drugą kampanię kontrolowaną i wydłużamy rejestrację w ramach zadania Z2. Wariant zawężony to 2 klasy ładunku (kruchy, wrażliwy temperaturowo) z AUC-ROC co najmniej 0,85, opisany jako udokumentowany wyjątek, a nie jako alternatywna definicja wskaźnika. Zachowuje cechy innowacyjne, a wskaźnik co najmniej 3 klas aktualizujemy w trybie zmiany projektu. W zadaniu Z9 oczekujemy AUC-ROC po kompresji co najmniej 0,82, czyli spadku nie większego niż 3 punkty procentowe.</w:t>
      </w:r>
    </w:p>
    <w:p>
      <w:pPr>
        <w:spacing w:after="60"/>
        <w:shd w:val="clear" w:color="auto" w:fill="FBF3E6"/>
      </w:pPr>
      <w:r>
        <w:rPr>
          <w:b w:val="0"/>
        </w:rPr>
        <w:t xml:space="preserve">Warunki no-go: AUC-ROC mniejsze niż </w:t>
      </w:r>
      <w:r>
        <w:rPr>
          <w:b w:val="0"/>
          <w:highlight w:val="yellow"/>
        </w:rPr>
        <w:t>0,75</w:t>
      </w:r>
      <w:r>
        <w:rPr>
          <w:b w:val="0"/>
        </w:rPr>
        <w:t xml:space="preserve"> w każdej klasie po dwóch iteracjach, albo przyrost AUC względem detektora progowego mniejszy niż </w:t>
      </w:r>
      <w:r>
        <w:rPr>
          <w:b w:val="0"/>
          <w:highlight w:val="yellow"/>
        </w:rPr>
        <w:t>0,05</w:t>
      </w:r>
      <w:r>
        <w:rPr>
          <w:b w:val="0"/>
        </w:rPr>
        <w:t xml:space="preserve">, albo mniej niż </w:t>
      </w:r>
      <w:r>
        <w:rPr>
          <w:b w:val="0"/>
          <w:highlight w:val="yellow"/>
        </w:rPr>
        <w:t>30</w:t>
      </w:r>
      <w:r>
        <w:rPr>
          <w:b w:val="0"/>
        </w:rPr>
        <w:t xml:space="preserve"> ZR łącznie w co najmniej 3 klasach. Decyzję podejmuje komitet sterujący w M18 (zadanie Z2) lub w M27 (zadanie Z4): ogranicza zakres funkcji albo przerywa zadanie modelowe.</w:t>
      </w:r>
    </w:p>
    <w:p>
      <w:pPr>
        <w:pStyle w:val="Heading2"/>
      </w:pPr>
      <w:r>
        <w:t>R3</w:t>
      </w:r>
    </w:p>
    <w:p>
      <w:r>
        <w:rPr>
          <w:color w:val="666666"/>
        </w:rPr>
        <w:t>Rodzaj ryzyka: badawcze/technologiczne</w:t>
      </w:r>
    </w:p>
    <w:p>
      <w:pPr>
        <w:keepNext/>
        <w:spacing w:before="160" w:after="40"/>
      </w:pPr>
      <w:r>
        <w:rPr>
          <w:b/>
          <w:sz w:val="20"/>
        </w:rPr>
        <w:t>Nazwa ryzyka</w:t>
      </w:r>
      <w:r>
        <w:rPr>
          <w:color w:val="666666"/>
          <w:sz w:val="17"/>
        </w:rPr>
        <w:t xml:space="preserve"> [160 z 200 znaków]</w:t>
      </w:r>
    </w:p>
    <w:p>
      <w:pPr>
        <w:spacing w:after="60"/>
        <w:shd w:val="clear" w:color="auto" w:fill="FBF3E6"/>
      </w:pPr>
      <w:r>
        <w:rPr>
          <w:b w:val="0"/>
        </w:rPr>
        <w:t>Nieosiągnięcie mAP co najmniej 0,75 wizyjnej detekcji zabezpieczeń ładunku z powodu braku taksonomii i zbioru oraz okluzji w ruchomej naczepie (zadanie Z8) - R3</w:t>
      </w:r>
    </w:p>
    <w:p>
      <w:pPr>
        <w:keepNext/>
        <w:spacing w:before="160" w:after="40"/>
      </w:pPr>
      <w:r>
        <w:rPr>
          <w:b/>
          <w:sz w:val="20"/>
        </w:rPr>
        <w:t>Opis ryzyka</w:t>
      </w:r>
      <w:r>
        <w:rPr>
          <w:color w:val="666666"/>
          <w:sz w:val="17"/>
        </w:rPr>
        <w:t xml:space="preserve"> [1091 z 2000 znaków]</w:t>
      </w:r>
    </w:p>
    <w:p>
      <w:pPr>
        <w:spacing w:after="60"/>
        <w:shd w:val="clear" w:color="auto" w:fill="FBF3E6"/>
      </w:pPr>
      <w:r>
        <w:rPr>
          <w:b w:val="0"/>
        </w:rPr>
        <w:t>Ryzyko dotyczy prac rozwojowych w zadaniu Z8, realizowanych przez PRz. Polega na możliwości nieosiągnięcia mAP przy IoU 0,50 co najmniej 0,75 dla co najmniej 5 klas zabezpieczeń na zbiorze testowym co najmniej 2000 obrazów oraz F1 modułu change detection co najmniej 0,85 dla przemieszczeń od 0,10 m. Brakuje punktu odniesienia, ponieważ żaden system ani żadna praca naukowa nie realizuje wizyjnej weryfikacji mocowania w ruchomej naczepie, a rozwiązanie magazynowe (Ega, 2025) dotyczy środowiska statycznego. Problemy są trzy: brak taksonomii klas zabezpieczeń zgodnej z EN 12195 (opracowanie w zadaniu Z3, walidacja współczynnikiem kappa co najmniej 0,80), brak zbioru obrazowego (zadanie Z2) oraz okluzje, zmienne oświetlenie NIR i drgania, które wymagają adaptacji domenowej niewalidowanej dla tej kombinacji. Prawdopodobieństwo jest średnie do podwyższonego. Skutkiem byłaby niższa wiarygodność dowodu PoL, gorsza jakość rezultatu i możliwe wydłużenie prac przy rozbudowie zbioru lub taksonomii. Ryzyko dotyczy cechy innowacyjnej „automatyczna weryfikacja zabezpieczeń” i wskaźnika mAP.</w:t>
      </w:r>
    </w:p>
    <w:p>
      <w:pPr>
        <w:keepNext/>
        <w:spacing w:before="160" w:after="40"/>
      </w:pPr>
      <w:r>
        <w:rPr>
          <w:b/>
          <w:sz w:val="20"/>
        </w:rPr>
        <w:t>Sposoby zapobiegania i minimalizacji skutków</w:t>
      </w:r>
      <w:r>
        <w:rPr>
          <w:color w:val="666666"/>
          <w:sz w:val="17"/>
        </w:rPr>
        <w:t xml:space="preserve"> [1329 z 2000 znaków]</w:t>
      </w:r>
    </w:p>
    <w:p>
      <w:pPr>
        <w:spacing w:after="60"/>
        <w:shd w:val="clear" w:color="auto" w:fill="FBF3E6"/>
      </w:pPr>
      <w:r>
        <w:rPr>
          <w:b w:val="0"/>
        </w:rPr>
        <w:t>Ryzyku zapobiegamy pięcioma działaniami. Taksonomia powstaje z konsultacją ekspertów TSL przed anotacją i jest walidowana współczynnikiem kappa na próbie pilotażowej w M10. Anotacja zbioru jest etapowa, z kontrolą zgodności. Stosujemy augmentację domenową (rozmycie od drgań, domena NIR, okluzje) i transfer learning z modeli pretrenowanych. Ewaluacja odbywa się na zbiorze testowym i etykietach z inspekcji z zadania Z2. Wersja release candidate jest gotowa w M26, co pozwala na wczesną iterację korekt.</w:t>
      </w:r>
    </w:p>
    <w:p>
      <w:pPr>
        <w:spacing w:after="60"/>
        <w:shd w:val="clear" w:color="auto" w:fill="FBF3E6"/>
      </w:pPr>
      <w:r>
        <w:rPr>
          <w:b w:val="0"/>
        </w:rPr>
        <w:t>Skutki ograniczamy tak: wykonujemy nie więcej niż 2 iteracje w oknie od 4 do 6 tygodni przed M26, a dla zadania Z8 przy terminie M30 mieści się jedna iteracja trwająca około 4 tygodnie po Fazie B. Wariant zawężony to co najmniej 3 z 5 klas, z priorytetem dla pasów i klinów (EN 12195), jako najbardziej uniwersalnych zabezpieczeń, a siatki, separatory i blokady są pierwszymi klasami do odrzucenia. Wariant jest udokumentowanym wyjątkiem, zachowuje automatyczną weryfikację kluczowych zabezpieczeń, a wskaźnik co najmniej 5 klas aktualizujemy w trybie zmiany projektu.</w:t>
      </w:r>
    </w:p>
    <w:p>
      <w:pPr>
        <w:spacing w:after="60"/>
        <w:shd w:val="clear" w:color="auto" w:fill="FBF3E6"/>
      </w:pPr>
      <w:r>
        <w:rPr>
          <w:b w:val="0"/>
        </w:rPr>
        <w:t xml:space="preserve">Warunki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Decyzję podejmuje komitet sterujący w M26 (wersja RC) i w M30 (końcowa): ogranicza zakres funkcji CV albo wydziela je do prac po projekcie.</w:t>
      </w:r>
    </w:p>
    <w:p>
      <w:pPr>
        <w:pStyle w:val="Heading2"/>
      </w:pPr>
      <w:r>
        <w:t>R4</w:t>
      </w:r>
    </w:p>
    <w:p>
      <w:r>
        <w:rPr>
          <w:color w:val="666666"/>
        </w:rPr>
        <w:t>Rodzaj ryzyka: badawcze/technologiczne</w:t>
      </w:r>
    </w:p>
    <w:p>
      <w:pPr>
        <w:keepNext/>
        <w:spacing w:before="160" w:after="40"/>
      </w:pPr>
      <w:r>
        <w:rPr>
          <w:b/>
          <w:sz w:val="20"/>
        </w:rPr>
        <w:t>Nazwa ryzyka</w:t>
      </w:r>
      <w:r>
        <w:rPr>
          <w:color w:val="666666"/>
          <w:sz w:val="17"/>
        </w:rPr>
        <w:t xml:space="preserve"> [176 z 200 znaków]</w:t>
      </w:r>
    </w:p>
    <w:p>
      <w:pPr>
        <w:spacing w:after="60"/>
        <w:shd w:val="clear" w:color="auto" w:fill="FBF3E6"/>
      </w:pPr>
      <w:r>
        <w:rPr>
          <w:b w:val="0"/>
        </w:rPr>
        <w:t>Niedotrzymanie opóźnienia alertu, wydajności obliczeniowej i odporności środowiskowej po kompresji modeli AI oraz brak potwierdzenia w testach terenowych (zadania Z7 i Z9) - R4</w:t>
      </w:r>
    </w:p>
    <w:p>
      <w:pPr>
        <w:keepNext/>
        <w:spacing w:before="160" w:after="40"/>
      </w:pPr>
      <w:r>
        <w:rPr>
          <w:b/>
          <w:sz w:val="20"/>
        </w:rPr>
        <w:t>Opis ryzyka</w:t>
      </w:r>
      <w:r>
        <w:rPr>
          <w:color w:val="666666"/>
          <w:sz w:val="17"/>
        </w:rPr>
        <w:t xml:space="preserve"> [1047 z 2000 znaków]</w:t>
      </w:r>
    </w:p>
    <w:p>
      <w:pPr>
        <w:spacing w:after="60"/>
        <w:shd w:val="clear" w:color="auto" w:fill="FBF3E6"/>
      </w:pPr>
      <w:r>
        <w:rPr>
          <w:b w:val="0"/>
        </w:rPr>
        <w:t>Ryzyko dotyczy prac rozwojowych w zadaniu Z7 i testów terenowych w zadaniu Z9, realizowanych przez Everest11 (TRL 7 do 8). Polega na możliwości, że kompresja modeli (INT8, przycinanie, destylacja) nie utrzyma jednocześnie opóźnienia alertu lokalnego (percentyl 95 nie większy niż 1 s, bez łączności), degradacji dokładności nie większej niż 3 punkty procentowe (AUC-ROC co najmniej 0,82, mAP co najmniej 0,72), częstotliwości aktualizacji modelu 3D co najmniej 5 Hz oraz wymagań energetycznych, termicznych i środowiskowych (IP67, od -25 do +70 °C, drgania ISO 8608 klasy D). Ponadto modele potwierdzone w laboratorium mogą nie utrzymać dokładności w ruchu (domain shift) na co najmniej 3 pojazdach. Prawdopodobieństwo jest średnie. Skutkiem byłaby niższa jakość alertu offline, czyli cechy innowacyjnej, a negatywne wyniki terenowe mogłyby wymusić powrót do prac rozwojowych i wydłużyć realizację. Wydajność jednostki w operacjach na sekundę (40 TOPS w INT8, czyli 4 razy 10 do potęgi 13 na sekundę) jest jednostką branżową bez odpowiednika w SI.</w:t>
      </w:r>
    </w:p>
    <w:p>
      <w:pPr>
        <w:keepNext/>
        <w:spacing w:before="160" w:after="40"/>
      </w:pPr>
      <w:r>
        <w:rPr>
          <w:b/>
          <w:sz w:val="20"/>
        </w:rPr>
        <w:t>Sposoby zapobiegania i minimalizacji skutków</w:t>
      </w:r>
      <w:r>
        <w:rPr>
          <w:color w:val="666666"/>
          <w:sz w:val="17"/>
        </w:rPr>
        <w:t xml:space="preserve"> [1424 z 2000 znaków]</w:t>
      </w:r>
    </w:p>
    <w:p>
      <w:pPr>
        <w:spacing w:after="60"/>
        <w:shd w:val="clear" w:color="auto" w:fill="FBF3E6"/>
      </w:pPr>
      <w:r>
        <w:rPr>
          <w:b w:val="0"/>
        </w:rPr>
        <w:t>Ryzyku zapobiegamy czterema działaniami. Modele są trenowane z uwzględnieniem ograniczeń sprzętowych i profilowane na docelowej platformie o wydajności co najmniej 40 TOPS. Warianty kompresji są porównywane z kontrolą spadku dokładności względem FP32. Testy stanowiskowe (rig wibracyjny, komora termiczna, EMC) odbywają się przed zadaniem Z9. Testy terenowe są etapowe, na rosnącej liczbie pojazdów, z logowaniem opóźnienia (mediana, percentyl 95) i dokładności.</w:t>
      </w:r>
    </w:p>
    <w:p>
      <w:pPr>
        <w:spacing w:after="60"/>
        <w:shd w:val="clear" w:color="auto" w:fill="FBF3E6"/>
      </w:pPr>
      <w:r>
        <w:rPr>
          <w:b w:val="0"/>
        </w:rPr>
        <w:t>Skutki ograniczamy tak: wykonujemy nie więcej niż 2 iteracje w oknie od 4 do 6 tygodni przed M27 (silniejsza kompresja, batching, TensorRT, mieszana precyzja albo mocniejszy moduł). Wariant zawężony polega na uruchomieniu na platformie embedded modelu ML ryzyka i alertu, przy CV po stronie TMS, co zachowuje funkcję alertu offline, a wskaźnik opóźnienia dotyczy wtedy modelu ML i jest aktualizowany w trybie zmiany projektu. Przy domain shift w zadaniu Z9 wykonujemy rekalibrację progów i douczenie w oknie M30 oraz walidację potwierdzającą.</w:t>
      </w:r>
    </w:p>
    <w:p>
      <w:pPr>
        <w:spacing w:after="60"/>
        <w:shd w:val="clear" w:color="auto" w:fill="FBF3E6"/>
      </w:pPr>
      <w:r>
        <w:rPr>
          <w:b w:val="0"/>
        </w:rPr>
        <w:t xml:space="preserve">Warunki no-go po dwóch iteracjach: opóźnienie w percentylu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Decyzję podejmuje komitet sterujący w M27: zmienia platformę sprzętową lub zakres funkcji offline albo przerywa zadanie. Parametry sprzętowe można potwierdzić stanowiskowo, ale AUC-ROC i mAP na zdarzeniach naturalnych są niezbędne dla TRL 8.</w:t>
      </w:r>
    </w:p>
    <w:p>
      <w:pPr>
        <w:pStyle w:val="Heading2"/>
      </w:pPr>
      <w:r>
        <w:t>R5</w:t>
      </w:r>
    </w:p>
    <w:p>
      <w:r>
        <w:rPr>
          <w:color w:val="666666"/>
        </w:rPr>
        <w:t>Rodzaj ryzyka: administracyjne</w:t>
      </w:r>
    </w:p>
    <w:p>
      <w:pPr>
        <w:keepNext/>
        <w:spacing w:before="160" w:after="40"/>
      </w:pPr>
      <w:r>
        <w:rPr>
          <w:b/>
          <w:sz w:val="20"/>
        </w:rPr>
        <w:t>Nazwa ryzyka</w:t>
      </w:r>
      <w:r>
        <w:rPr>
          <w:color w:val="666666"/>
          <w:sz w:val="17"/>
        </w:rPr>
        <w:t xml:space="preserve"> [153 z 200 znaków]</w:t>
      </w:r>
    </w:p>
    <w:p>
      <w:pPr>
        <w:spacing w:after="60"/>
        <w:shd w:val="clear" w:color="auto" w:fill="FBF3E6"/>
      </w:pPr>
      <w:r>
        <w:rPr>
          <w:b w:val="0"/>
        </w:rPr>
        <w:t>Opóźnienia administracyjne: dopuszczenie i montaż urządzenia na pojeździe do testów terenowych oraz zmiany aktów wykonawczych eFTI (zadania Z6 i Z9) - R5</w:t>
      </w:r>
    </w:p>
    <w:p>
      <w:pPr>
        <w:keepNext/>
        <w:spacing w:before="160" w:after="40"/>
      </w:pPr>
      <w:r>
        <w:rPr>
          <w:b/>
          <w:sz w:val="20"/>
        </w:rPr>
        <w:t>Opis ryzyka</w:t>
      </w:r>
      <w:r>
        <w:rPr>
          <w:color w:val="666666"/>
          <w:sz w:val="17"/>
        </w:rPr>
        <w:t xml:space="preserve"> [996 z 2000 znaków]</w:t>
      </w:r>
    </w:p>
    <w:p>
      <w:pPr>
        <w:spacing w:after="60"/>
        <w:shd w:val="clear" w:color="auto" w:fill="FBF3E6"/>
      </w:pPr>
      <w:r>
        <w:rPr>
          <w:b w:val="0"/>
        </w:rPr>
        <w:t>Ryzyko dotyczy prac rozwojowych w zadaniach Z6 i Z9. Składają się na nie dwa zagrożenia. Po pierwsze, montaż prototypu na pojazdach floty do testów drogowych może wymagać uzgodnień (bezpieczeństwo montażu, zasilanie, brak ingerencji w układy pojazdu), co opóźniłoby start Fazy A zadania Z9. Po drugie, rozporządzenie UE 2020/1056 i akty wykonawcze są wdrażane etapowo, więc zmiany specyfikacji eFTI mogą utrudnić osiągnięcie pokrycia co najmniej 95% pól obligatoryjnych i czasu PoC do 30 s. Prawdopodobieństwo jest niskie do średniego. Skutkiem byłoby przesunięcie walidacji TRL i kamieni milowych końcowych oraz korekta warstwy mapowania eFTI. Testy terenowe niezbędne do potwierdzenia TRL 8 i kluczowych KPI to AUC-ROC i mAP na zdarzeniach naturalnych w ruchu oraz pomiar błędu pozycji w ruchu. Bez utraty możliwości potwierdzenia rezultatu można zastąpić testami stanowiskowymi lub półpolowymi pomiary opóźnienia alertu, wydajności obliczeniowej oraz odporności IP67, termicznej i wibracyjnej.</w:t>
      </w:r>
    </w:p>
    <w:p>
      <w:pPr>
        <w:keepNext/>
        <w:spacing w:before="160" w:after="40"/>
      </w:pPr>
      <w:r>
        <w:rPr>
          <w:b/>
          <w:sz w:val="20"/>
        </w:rPr>
        <w:t>Sposoby zapobiegania i minimalizacji skutków</w:t>
      </w:r>
      <w:r>
        <w:rPr>
          <w:color w:val="666666"/>
          <w:sz w:val="17"/>
        </w:rPr>
        <w:t xml:space="preserve"> [1209 z 2000 znaków]</w:t>
      </w:r>
    </w:p>
    <w:p>
      <w:pPr>
        <w:spacing w:after="60"/>
        <w:shd w:val="clear" w:color="auto" w:fill="FBF3E6"/>
      </w:pPr>
      <w:r>
        <w:rPr>
          <w:b w:val="0"/>
        </w:rPr>
        <w:t>Ryzyku zapobiegamy trzema działaniami. Warunki montażu są uzgadniane z dysponentem floty i podwykonawcą wcześniej, z rezerwą w harmonogramie przed zadaniem Z9. Montaż i zasilanie są nieinwazyjne, co ogranicza wymogi formalne. Integracja eFTI opiera się na aktualnych, opublikowanych specyfikacjach, z warstwą adaptacyjną, a prace legislacyjne UE są monitorowane.</w:t>
      </w:r>
    </w:p>
    <w:p>
      <w:pPr>
        <w:spacing w:after="60"/>
        <w:shd w:val="clear" w:color="auto" w:fill="FBF3E6"/>
      </w:pPr>
      <w:r>
        <w:rPr>
          <w:b w:val="0"/>
        </w:rPr>
        <w:t xml:space="preserve">Skutki ograniczamy tak: przy opóźnieniu dopuszczenia o więcej niż </w:t>
      </w:r>
      <w:r>
        <w:rPr>
          <w:b w:val="0"/>
          <w:highlight w:val="yellow"/>
        </w:rPr>
        <w:t>8 tygodni</w:t>
      </w:r>
      <w:r>
        <w:rPr>
          <w:b w:val="0"/>
        </w:rPr>
        <w:t xml:space="preserve"> od planowanego startu Fazy A testy sprzętowe wykonujemy stanowiskowo, ale pomiarów AUC-ROC i mAP na zdarzeniach naturalnych nie zastępujemy testem stanowiskowym. Jeżeli opóźnienie przekroczy ten próg, TRL 8 przesuwa się poza projekt, a wynikiem projektu pozostaje TRL 7, co opisujemy wyłącznie jako skutek materializacji ryzyka, bez zmiany deklarowanych wskaźników. Przy zmianie specyfikacji eFTI walidacja w zadaniu Z9 jest wykonywana względem wersji obowiązującej w dniu testów, a zgodność z późniejszą wersją jest zadaniem po projekcie.</w:t>
      </w:r>
    </w:p>
    <w:p>
      <w:pPr>
        <w:spacing w:after="60"/>
        <w:shd w:val="clear" w:color="auto" w:fill="FBF3E6"/>
      </w:pPr>
      <w:r>
        <w:rPr>
          <w:b w:val="0"/>
        </w:rPr>
        <w:t>Warunek no-go: brak możliwości montażu na co najmniej 3 pojazdach do końca M27 przy braku pojazdu zastępczego (ryzyko R11). Wtedy ograniczamy zakres walidacji do elementów wykonalnych i modyfikujemy KM-Z9 w trybie zmiany projektu.</w:t>
      </w:r>
    </w:p>
    <w:p>
      <w:pPr>
        <w:pStyle w:val="Heading2"/>
      </w:pPr>
      <w:r>
        <w:t>R9</w:t>
      </w:r>
    </w:p>
    <w:p>
      <w:r>
        <w:rPr>
          <w:color w:val="666666"/>
        </w:rPr>
        <w:t>Rodzaj ryzyka: inne</w:t>
      </w:r>
    </w:p>
    <w:p>
      <w:pPr>
        <w:keepNext/>
        <w:spacing w:before="160" w:after="40"/>
      </w:pPr>
      <w:r>
        <w:rPr>
          <w:b/>
          <w:sz w:val="20"/>
        </w:rPr>
        <w:t>Nazwa ryzyka</w:t>
      </w:r>
      <w:r>
        <w:rPr>
          <w:color w:val="666666"/>
          <w:sz w:val="17"/>
        </w:rPr>
        <w:t xml:space="preserve"> [134 z 200 znaków]</w:t>
      </w:r>
    </w:p>
    <w:p>
      <w:pPr>
        <w:spacing w:after="60"/>
        <w:shd w:val="clear" w:color="auto" w:fill="FBF3E6"/>
      </w:pPr>
      <w:r>
        <w:rPr>
          <w:b w:val="0"/>
        </w:rPr>
        <w:t>Ryzyko konsorcjalne: opóźnienie przekazania modeli AI z PRz (zadania Z4, Z5, Z8) do optymalizacji embedded Everest11 (zadanie Z7) - R9</w:t>
      </w:r>
    </w:p>
    <w:p>
      <w:pPr>
        <w:keepNext/>
        <w:spacing w:before="160" w:after="40"/>
      </w:pPr>
      <w:r>
        <w:rPr>
          <w:b/>
          <w:sz w:val="20"/>
        </w:rPr>
        <w:t>Opis ryzyka</w:t>
      </w:r>
      <w:r>
        <w:rPr>
          <w:color w:val="666666"/>
          <w:sz w:val="17"/>
        </w:rPr>
        <w:t xml:space="preserve"> [1035 z 2000 znaków]</w:t>
      </w:r>
    </w:p>
    <w:p>
      <w:pPr>
        <w:spacing w:after="60"/>
        <w:shd w:val="clear" w:color="auto" w:fill="FBF3E6"/>
      </w:pPr>
      <w:r>
        <w:rPr>
          <w:b w:val="0"/>
        </w:rPr>
        <w:t xml:space="preserve">Ryzyko dotyczy prac rozwojowych i interfejsu konsorcjum między PRz i Everest11. Modele PRz (pozycjonowanie 3D, predykcja ryzyka, detekcja zabezpieczeń) są wejściem do optymalizacji embedded w zadaniu Z7. Opóźnienie lub niepełna gotowość modeli, wynikające z trudności algorytmicznych w osiąganiu progów, ograniczeń kadrowych albo czasowej niedostępności infrastruktury PRz, mogłoby przesunąć przekazanie do zadania Z7. Prawdopodobieństwo jest niskie do średniego. Skutkiem byłoby przesunięcie startu optymalizacji embedded, testów terenowych w zadaniu Z9 i kamieni milowych końcowych, a optymalizacja na niedojrzałych modelach obniżyłaby jakość rezultatu. Zadanie Z7 może zostać odebrane na modelach o obniżonych, lecz zmierzonych parametrach. Wartości minimalne to: AUC-ROC co najmniej </w:t>
      </w:r>
      <w:r>
        <w:rPr>
          <w:b w:val="0"/>
          <w:highlight w:val="yellow"/>
        </w:rPr>
        <w:t>0,75</w:t>
      </w:r>
      <w:r>
        <w:rPr>
          <w:b w:val="0"/>
        </w:rPr>
        <w:t xml:space="preserve"> (cel 0,85), mAP przy IoU 0,50 co najmniej </w:t>
      </w:r>
      <w:r>
        <w:rPr>
          <w:b w:val="0"/>
          <w:highlight w:val="yellow"/>
        </w:rPr>
        <w:t>0,70</w:t>
      </w:r>
      <w:r>
        <w:rPr>
          <w:b w:val="0"/>
        </w:rPr>
        <w:t xml:space="preserve"> w wersji RC (cel 0,75) oraz mediana błędu pozycji nie większa niż </w:t>
      </w:r>
      <w:r>
        <w:rPr>
          <w:b w:val="0"/>
          <w:highlight w:val="yellow"/>
        </w:rPr>
        <w:t>0,50 m</w:t>
      </w:r>
      <w:r>
        <w:rPr>
          <w:b w:val="0"/>
        </w:rPr>
        <w:t xml:space="preserve"> (cel 0,30 m). Poniżej tych wartości modele nie są przyjmowane do zadania Z7, co odpowiada warunkom no-go ryzyk R1, R2 i R3.</w:t>
      </w:r>
    </w:p>
    <w:p>
      <w:pPr>
        <w:keepNext/>
        <w:spacing w:before="160" w:after="40"/>
      </w:pPr>
      <w:r>
        <w:rPr>
          <w:b/>
          <w:sz w:val="20"/>
        </w:rPr>
        <w:t>Sposoby zapobiegania i minimalizacji skutków</w:t>
      </w:r>
      <w:r>
        <w:rPr>
          <w:color w:val="666666"/>
          <w:sz w:val="17"/>
        </w:rPr>
        <w:t xml:space="preserve"> [1317 z 2000 znaków]</w:t>
      </w:r>
    </w:p>
    <w:p>
      <w:pPr>
        <w:spacing w:after="60"/>
        <w:shd w:val="clear" w:color="auto" w:fill="FBF3E6"/>
      </w:pPr>
      <w:r>
        <w:rPr>
          <w:b w:val="0"/>
        </w:rPr>
        <w:t>Ryzyku zapobiegamy czterema działaniami. Modele są przekazywane etapowo, w wersjach release candidate o rosnącej dojrzałości, a optymalizacja embedded zaczyna się na wczesnych wersjach. Harmonogram ma bufor: wersje RC są gotowe w M26, a przekazanie następuje w M27. W umowie konsorcjum określamy format modeli, specyfikację API, kryteria odbioru, kamienie milowe integracyjne oraz zobowiązania PRz dotyczące dostępności infrastruktury laboratoryjnej i zasobów kadrowych. Odbywają się regularne spotkania koordynacyjne ze wspólnym backlogiem i wczesnym sygnalizowaniem opóźnień.</w:t>
      </w:r>
    </w:p>
    <w:p>
      <w:pPr>
        <w:spacing w:after="60"/>
        <w:shd w:val="clear" w:color="auto" w:fill="FBF3E6"/>
      </w:pPr>
      <w:r>
        <w:rPr>
          <w:b w:val="0"/>
        </w:rPr>
        <w:t>Skutki ograniczamy tak: przy opóźnieniu jednego modelu optymalizację zaczynamy od modeli gotowych (modułowa architektura zadania Z7), a brakujący model dołączamy w kolejnej iteracji. Przy ograniczeniach PRz przesuwamy zadanie w ramach rezerwy, bez zlecania prac między konsorcjantami. Zadanie Z7 może zostać odebrane na modelach o obniżonych parametrach w granicach wartości minimalnych, a zadanie Z9 waliduje wtedy model na danych terenowych i dostraja go w oknie M30. Zakres wskaźników AUC-ROC i mAP w KM-Z9 odnosi się do modelu po kompresji (co najmniej 0,82 i 0,72).</w:t>
      </w:r>
    </w:p>
    <w:p>
      <w:pPr>
        <w:spacing w:after="60"/>
        <w:shd w:val="clear" w:color="auto" w:fill="FBF3E6"/>
      </w:pPr>
      <w:r>
        <w:rPr>
          <w:b w:val="0"/>
        </w:rPr>
        <w:t>Warunek no-go: model poniżej wartości minimalnych w M27. Wtedy komitet sterujący ogranicza zakres funkcji uruchamianych na platformie embedded albo przerywa zadanie Z7.</w:t>
      </w:r>
    </w:p>
    <w:p>
      <w:pPr>
        <w:pStyle w:val="Heading2"/>
      </w:pPr>
      <w:r>
        <w:t>R10</w:t>
      </w:r>
    </w:p>
    <w:p>
      <w:r>
        <w:rPr>
          <w:color w:val="666666"/>
        </w:rPr>
        <w:t>Rodzaj ryzyka: inne (prawne)</w:t>
      </w:r>
    </w:p>
    <w:p>
      <w:pPr>
        <w:keepNext/>
        <w:spacing w:before="160" w:after="40"/>
      </w:pPr>
      <w:r>
        <w:rPr>
          <w:b/>
          <w:sz w:val="20"/>
        </w:rPr>
        <w:t>Nazwa ryzyka</w:t>
      </w:r>
      <w:r>
        <w:rPr>
          <w:color w:val="666666"/>
          <w:sz w:val="17"/>
        </w:rPr>
        <w:t xml:space="preserve"> [178 z 200 znaków]</w:t>
      </w:r>
    </w:p>
    <w:p>
      <w:pPr>
        <w:spacing w:after="60"/>
        <w:shd w:val="clear" w:color="auto" w:fill="FBF3E6"/>
      </w:pPr>
      <w:r>
        <w:rPr>
          <w:b w:val="0"/>
        </w:rPr>
        <w:t>Ryzyko prawne i regulacyjne: swoboda wdrożenia (FTO), przeniesienie praw PRz-Everest11, RODO i obraz w pojeździe, zmiany eFTI w CEE oraz odpowiedzialność za treść PoL i PoC - R10</w:t>
      </w:r>
    </w:p>
    <w:p>
      <w:pPr>
        <w:keepNext/>
        <w:spacing w:before="160" w:after="40"/>
      </w:pPr>
      <w:r>
        <w:rPr>
          <w:b/>
          <w:sz w:val="20"/>
        </w:rPr>
        <w:t>Opis ryzyka</w:t>
      </w:r>
      <w:r>
        <w:rPr>
          <w:color w:val="666666"/>
          <w:sz w:val="17"/>
        </w:rPr>
        <w:t xml:space="preserve"> [1060 z 2000 znaków]</w:t>
      </w:r>
    </w:p>
    <w:p>
      <w:pPr>
        <w:spacing w:after="60"/>
        <w:shd w:val="clear" w:color="auto" w:fill="FBF3E6"/>
      </w:pPr>
      <w:r>
        <w:rPr>
          <w:b w:val="0"/>
        </w:rPr>
        <w:t>Ryzyko dotyczy całego projektu i wdrożenia. Składa się z pięciu zagrożeń. Pierwsze to swoboda wdrożenia (FTO): analiza może nie wykryć blokującego patentu albo osoba trzecia zgłosi roszczenie w trakcie komercjalizacji; prawdopodobieństwo jest niskie, wpływ na wdrożenie wysoki. Drugie to prawa majątkowe: przeniesienie praw z PRz do Everest11 może nastąpić do 12 miesięcy po zakończeniu projektu, więc istnieje ryzyko opóźnienia lub sporu; prawdopodobieństwo jest niskie do średniego. Trzecie to RODO: kamery w przestrzeni ładunkowej mogą rejestrować wizerunek osób podczas załadunku i rozładunku oraz dane lokalizacyjne kierowcy; prawdopodobieństwo jest średnie, wpływ wysoki (zgodność, kary). Czwarte to eFTI: zmiana aktów wykonawczych albo różnice w transpozycji w krajach CEE wpływają na ważność generowanych dokumentów; prawdopodobieństwo jest średnie. Piąte to odpowiedzialność za treść dokumentów PoL i PoC użytych w sporze (błąd systemu, wynik fałszywie ujemny); prawdopodobieństwo jest niskie, wpływ średni na komercjalizację, bez wpływu na prace B+R.</w:t>
      </w:r>
    </w:p>
    <w:p>
      <w:pPr>
        <w:keepNext/>
        <w:spacing w:before="160" w:after="40"/>
      </w:pPr>
      <w:r>
        <w:rPr>
          <w:b/>
          <w:sz w:val="20"/>
        </w:rPr>
        <w:t>Sposoby zapobiegania i minimalizacji skutków</w:t>
      </w:r>
      <w:r>
        <w:rPr>
          <w:color w:val="666666"/>
          <w:sz w:val="17"/>
        </w:rPr>
        <w:t xml:space="preserve"> [1143 z 2000 znaków]</w:t>
      </w:r>
    </w:p>
    <w:p>
      <w:pPr>
        <w:spacing w:after="60"/>
        <w:shd w:val="clear" w:color="auto" w:fill="FBF3E6"/>
      </w:pPr>
      <w:r>
        <w:rPr>
          <w:b w:val="0"/>
        </w:rPr>
        <w:t>Pierwsze zagrożenie ograniczamy analizą FTO według elementów rozwiązania (zakres zastrzeżeń, status prawny, terytoria wdrożenia) przed wdrożeniem i przed zgłoszeniem do EPO oraz monitoringiem nowych zgłoszeń patentowych. Drugie zagrożenie ograniczamy zapisem w umowie konsorcjum: prawa dostępu i licencja dla Everest11 od zakończenia projektu albo wcześniejsze przeniesienie, za wynagrodzeniem rynkowym. Brak przeniesienia nie wstrzymuje wdrożenia. Trzecie zagrożenie ograniczamy oceną skutków dla ochrony danych (DPIA), anonimizacją obrazu na brzegu (rozmycie osób i twarzy), minimalizacją danych, polityką przetwarzania przygotowaną przez specjalistę ds. cyberbezpieczeństwa oraz umowami z wynajmującym i partnerem testowym. Czwarte zagrożenie ograniczamy warstwą adaptacyjną i monitoringiem legislacji, a w razie zmiany aktualizujemy mapowanie bez zmiany rdzenia systemu. Piąte zagrożenie ograniczamy zastrzeżeniami w umowach licencyjnych z klientami (ograniczenie odpowiedzialności, pomocniczy charakter dokumentu, procedura odwoławcza) i rejestrem zmian wersji modeli. Zgodność produktowa urządzenia (CE, EMC) jest planowana w zadaniu Z7.</w:t>
      </w:r>
    </w:p>
    <w:p>
      <w:pPr>
        <w:pStyle w:val="Heading2"/>
      </w:pPr>
      <w:r>
        <w:t>R11</w:t>
      </w:r>
    </w:p>
    <w:p>
      <w:r>
        <w:rPr>
          <w:color w:val="666666"/>
        </w:rPr>
        <w:t>Rodzaj ryzyka: inne</w:t>
      </w:r>
    </w:p>
    <w:p>
      <w:pPr>
        <w:keepNext/>
        <w:spacing w:before="160" w:after="40"/>
      </w:pPr>
      <w:r>
        <w:rPr>
          <w:b/>
          <w:sz w:val="20"/>
        </w:rPr>
        <w:t>Nazwa ryzyka</w:t>
      </w:r>
      <w:r>
        <w:rPr>
          <w:color w:val="666666"/>
          <w:sz w:val="17"/>
        </w:rPr>
        <w:t xml:space="preserve"> [136 z 200 znaków]</w:t>
      </w:r>
    </w:p>
    <w:p>
      <w:pPr>
        <w:spacing w:after="60"/>
        <w:shd w:val="clear" w:color="auto" w:fill="FBF3E6"/>
      </w:pPr>
      <w:r>
        <w:rPr>
          <w:b w:val="0"/>
        </w:rPr>
        <w:t>Ryzyko utraty lub ograniczenia dostępu do floty testowej Natanek Logistics (zadania Z2 i Z9, zbiór in-transit, walidacja terenowa) - R11</w:t>
      </w:r>
    </w:p>
    <w:p>
      <w:pPr>
        <w:keepNext/>
        <w:spacing w:before="160" w:after="40"/>
      </w:pPr>
      <w:r>
        <w:rPr>
          <w:b/>
          <w:sz w:val="20"/>
        </w:rPr>
        <w:t>Opis ryzyka</w:t>
      </w:r>
      <w:r>
        <w:rPr>
          <w:color w:val="666666"/>
          <w:sz w:val="17"/>
        </w:rPr>
        <w:t xml:space="preserve"> [806 z 2000 znaków]</w:t>
      </w:r>
    </w:p>
    <w:p>
      <w:pPr>
        <w:spacing w:after="60"/>
        <w:shd w:val="clear" w:color="auto" w:fill="FBF3E6"/>
      </w:pPr>
      <w:r>
        <w:rPr>
          <w:b w:val="0"/>
        </w:rPr>
        <w:t xml:space="preserve">Ryzyko dotyczy zadań Z2 (akwizycja) i Z9 (walidacja terenowa). Montaż i dane z obu zadań zależą od dostępu do co najmniej 3 pojazdów partnera testowego na podstawie umowy partnerskiej. Zagrożeniem jest utrata albo ograniczenie dostępu: zmiana relacji biznesowej,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samego zbioru in-transit, walidacji terenowej w zadaniu Z9 (co najmniej 180 kursów), KPI oraz kamieni milowych KM-Z2 i KM-Z9, z opóźnieniem o czas pozyskania nowego partnera i montażu, około </w:t>
      </w:r>
      <w:r>
        <w:rPr>
          <w:b w:val="0"/>
          <w:highlight w:val="yellow"/>
        </w:rPr>
        <w:t>6-10 tygodni</w:t>
      </w:r>
      <w:r>
        <w:rPr>
          <w:b w:val="0"/>
        </w:rPr>
        <w:t>.</w:t>
      </w:r>
    </w:p>
    <w:p>
      <w:pPr>
        <w:keepNext/>
        <w:spacing w:before="160" w:after="40"/>
      </w:pPr>
      <w:r>
        <w:rPr>
          <w:b/>
          <w:sz w:val="20"/>
        </w:rPr>
        <w:t>Sposoby zapobiegania i minimalizacji skutków</w:t>
      </w:r>
      <w:r>
        <w:rPr>
          <w:color w:val="666666"/>
          <w:sz w:val="17"/>
        </w:rPr>
        <w:t xml:space="preserve"> [1164 z 2000 znaków]</w:t>
      </w:r>
    </w:p>
    <w:p>
      <w:pPr>
        <w:spacing w:after="60"/>
        <w:shd w:val="clear" w:color="auto" w:fill="FBF3E6"/>
      </w:pPr>
      <w:r>
        <w:rPr>
          <w:b w:val="0"/>
        </w:rPr>
        <w:t>Plan zastępczy składa się z czterech elementów. Pierwszym jest umowa partnerska z drugim przewoźnikiem spośród aktywnych kontrahentów Everest11, przygotowywana warunkowo przed M13 (start kampanii) i uruchamiana, gdy dostępność floty spadnie poniżej 3 pojazdów lub 2 tras. Drugim są pojazdy w najmie Everest11 (5 zestawów ciągnik z naczepą, z planowanym wzrostem do 20) jako rezerwa do montażu zestawów, przy czym ground truth i rola partnera w odbiorze pozostają rozdzielone ścieżką audytu z zadania Z9. Trzecim jest metodyka anotacji i taksonomia niezależne od źródła pojazdów, więc zmiana floty nie wymaga powtórzenia anotacji. Czwartym są gwarancje dostępu do danych o ładunkach, tras i dokumentacji inspekcyjnej w umowach. Dywersyfikacja floty wzmacnia także niezależność walidacji, bo żaden pojedynczy podmiot nie jest jednocześnie partnerem testowym i odbiorcą.</w:t>
      </w:r>
    </w:p>
    <w:p>
      <w:pPr>
        <w:spacing w:after="60"/>
        <w:shd w:val="clear" w:color="auto" w:fill="FBF3E6"/>
      </w:pPr>
      <w:r>
        <w:rPr>
          <w:b w:val="0"/>
        </w:rPr>
        <w:t>Skutki ograniczamy tak: przesuwamy kampanię w ramach rezerwy czasowej zadania Z2 (przed M18) i wydłużamy Fazę A zadania Z9. Jeżeli do M22 nie ma floty zastępczej, ograniczamy walidację w zadaniu Z9 do liczby kursów osiągalnej na pojazdach Everest11 i aktualizujemy KM-Z9 w trybie zmiany projektu.</w:t>
      </w:r>
    </w:p>
    <w:p>
      <w:pPr>
        <w:pStyle w:val="Heading2"/>
      </w:pPr>
      <w:r>
        <w:t>R12</w:t>
      </w:r>
    </w:p>
    <w:p>
      <w:r>
        <w:rPr>
          <w:color w:val="666666"/>
        </w:rPr>
        <w:t>Rodzaj ryzyka: finansowe/inne</w:t>
      </w:r>
    </w:p>
    <w:p>
      <w:pPr>
        <w:keepNext/>
        <w:spacing w:before="160" w:after="40"/>
      </w:pPr>
      <w:r>
        <w:rPr>
          <w:b/>
          <w:sz w:val="20"/>
        </w:rPr>
        <w:t>Nazwa ryzyka</w:t>
      </w:r>
      <w:r>
        <w:rPr>
          <w:color w:val="666666"/>
          <w:sz w:val="17"/>
        </w:rPr>
        <w:t xml:space="preserve"> [111 z 200 znaków]</w:t>
      </w:r>
    </w:p>
    <w:p>
      <w:pPr>
        <w:spacing w:after="60"/>
        <w:shd w:val="clear" w:color="auto" w:fill="FBF3E6"/>
      </w:pPr>
      <w:r>
        <w:rPr>
          <w:b w:val="0"/>
        </w:rPr>
        <w:t>Ryzyko cen transferowych i transakcji z podmiotami powiązanymi z przyszłym Inwestorem (Natanek Logistics) - R12</w:t>
      </w:r>
    </w:p>
    <w:p>
      <w:pPr>
        <w:keepNext/>
        <w:spacing w:before="160" w:after="40"/>
      </w:pPr>
      <w:r>
        <w:rPr>
          <w:b/>
          <w:sz w:val="20"/>
        </w:rPr>
        <w:t>Opis ryzyka</w:t>
      </w:r>
      <w:r>
        <w:rPr>
          <w:color w:val="666666"/>
          <w:sz w:val="17"/>
        </w:rPr>
        <w:t xml:space="preserve"> [739 z 2000 znaków]</w:t>
      </w:r>
    </w:p>
    <w:p>
      <w:pPr>
        <w:spacing w:after="60"/>
        <w:shd w:val="clear" w:color="auto" w:fill="FBF3E6"/>
      </w:pPr>
      <w:r>
        <w:rPr>
          <w:b w:val="0"/>
        </w:rPr>
        <w:t>Ryzyko dotyczy całego okresu realizacji i wdrożenia. Po wejściu Inwestora (Zbigniew Natanek, do 20% udziałów Everest11) transakcje Everest11 z podmiotami Inwestora, w szczególności z Natanek Logistics (udostępnienie floty testowej, kontrakty sprzedażowe CargoDT), mogą zostać zakwestionowane jako niezgodne z warunkami rynkowymi. Dotyczy to przepisów o podmiotach powiązanych (próg 25% udziałów), zasad pomocy publicznej i racjonalności wydatków. Natanek Logistics jest jednym z trzech niezależnych, potwierdzonych klientów (listy intencyjne), co ogranicza skalę zależności. Prawdopodobieństwo jest niskie. Skutkiem byłoby zakwestionowanie wydatków lub przychodów, opóźnienie rozliczeń i ryzyko reputacyjne. Ryzyko nie wpływa na prace B+R.</w:t>
      </w:r>
    </w:p>
    <w:p>
      <w:pPr>
        <w:keepNext/>
        <w:spacing w:before="160" w:after="40"/>
      </w:pPr>
      <w:r>
        <w:rPr>
          <w:b/>
          <w:sz w:val="20"/>
        </w:rPr>
        <w:t>Sposoby zapobiegania i minimalizacji skutków</w:t>
      </w:r>
      <w:r>
        <w:rPr>
          <w:color w:val="666666"/>
          <w:sz w:val="17"/>
        </w:rPr>
        <w:t xml:space="preserve"> [873 z 2000 znaków]</w:t>
      </w:r>
    </w:p>
    <w:p>
      <w:pPr>
        <w:spacing w:after="60"/>
        <w:shd w:val="clear" w:color="auto" w:fill="FBF3E6"/>
      </w:pPr>
      <w:r>
        <w:rPr>
          <w:b w:val="0"/>
        </w:rPr>
        <w:t>Ryzyko ograniczamy czterema działaniami. Wszystkie transakcje z podmiotami powiązanymi z Inwestorem zawieramy na warunkach rynkowych, weryfikowanych tą samą metodą, którą stosujemy do cen rynkowych praw majątkowych między konsorcjantami: rozeznaniem rynku, niezależną wyceną albo negocjacjami w warunkach pełnej konkurencji. Umowę partnerską dotyczącą floty testowej dokumentujemy odniesieniem do porównywalnych ofert rynkowych (koszty wynajmu floty u innych podmiotów) i wpisujemy do rejestru transakcji. Formalnie ustalamy, czy Everest11 i Natanek Logistics są powiązane w rozumieniu przepisów o podatku dochodowym (próg 25% udziałów, a Inwestor ma najwyżej 20%), a niezależnie od wyniku dokumentujemy warunki rynkowe transakcji. Niezależność walidacji zabezpiecza ścieżka audytu z zadania Z9 i dywersyfikacja floty (R11). Ocena transakcji jest prowadzona raz na kwartał.</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Budżet: 12 mc fazy PR podzielone na 3 zadania</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bez rutynowej integracji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 Dla sześciu stanowisk Everest11 budżet dzieli 12 miesięcy fazy prac rozwojowych na trzy równe części (Z6, Z7, Z9). Ekspert w uwagach 36 i 37 pyta o rzeczywisty podział. Opisy zadań podają zakres czynności bez liczby miesięcy i odsyłają do budżetu. Decyzja o rzeczywistym podziale należy do bloku budżetowego (patrz Aneks C, pozycja 6).</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wykaz prac poza zakresem B+R i poza kosztami, trzy niepewności</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61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Komitet sterujący: opisy kamieni zakładają organ w składzie kierownik zarządzający (przewodniczący), kierownik B+R i przedstawiciel PRz. Trzeba potwierdzić, że taki organ istnieje w umowie konsorcjum albo go tam wpisać. Alternatywa: decyzja kierownika zarządzającego po opinii kierownika B+R.</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obecnie koszt jest dzielony na trzy równe części, co ekspert kwestionuje w uwagach 36 i 37. Opisy podają zakres czynności bez liczb. Rzeczywisty podział miesięcy trzeba ustalić i wpisać w budżecie. Propozycja rozkładu przy zachowaniu sumy kosztów może być przygotowana w bloku budżetowym.</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3876/4000</w:t>
            </w:r>
          </w:p>
        </w:tc>
        <w:tc>
          <w:tcPr>
            <w:tcW w:type="dxa" w:w="1134"/>
          </w:tcPr>
          <w:p>
            <w:pPr>
              <w:spacing w:after="20"/>
            </w:pPr>
            <w:r/>
            <w:r>
              <w:rPr>
                <w:b w:val="0"/>
                <w:sz w:val="17"/>
              </w:rPr>
              <w:t>362/500</w:t>
            </w:r>
          </w:p>
        </w:tc>
        <w:tc>
          <w:tcPr>
            <w:tcW w:type="dxa" w:w="1191"/>
          </w:tcPr>
          <w:p>
            <w:pPr>
              <w:spacing w:after="20"/>
            </w:pPr>
            <w:r/>
            <w:r>
              <w:rPr>
                <w:b w:val="0"/>
                <w:sz w:val="17"/>
              </w:rPr>
              <w:t>923/1300</w:t>
            </w:r>
          </w:p>
        </w:tc>
        <w:tc>
          <w:tcPr>
            <w:tcW w:type="dxa" w:w="1191"/>
          </w:tcPr>
          <w:p>
            <w:pPr>
              <w:spacing w:after="20"/>
            </w:pPr>
            <w:r/>
            <w:r>
              <w:rPr>
                <w:b w:val="0"/>
                <w:sz w:val="17"/>
              </w:rPr>
              <w:t>852/1300</w:t>
            </w:r>
          </w:p>
        </w:tc>
        <w:tc>
          <w:tcPr>
            <w:tcW w:type="dxa" w:w="1191"/>
          </w:tcPr>
          <w:p>
            <w:pPr>
              <w:spacing w:after="20"/>
            </w:pPr>
            <w:r/>
            <w:r>
              <w:rPr>
                <w:b w:val="0"/>
                <w:sz w:val="17"/>
              </w:rPr>
              <w:t>876/1300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794/1300</w:t>
            </w:r>
          </w:p>
        </w:tc>
        <w:tc>
          <w:tcPr>
            <w:tcW w:type="dxa" w:w="1191"/>
          </w:tcPr>
          <w:p>
            <w:pPr>
              <w:spacing w:after="20"/>
            </w:pPr>
            <w:r/>
            <w:r>
              <w:rPr>
                <w:b w:val="0"/>
                <w:sz w:val="17"/>
              </w:rPr>
              <w:t>710/1300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837/1300</w:t>
            </w:r>
          </w:p>
        </w:tc>
        <w:tc>
          <w:tcPr>
            <w:tcW w:type="dxa" w:w="1191"/>
          </w:tcPr>
          <w:p>
            <w:pPr>
              <w:spacing w:after="20"/>
            </w:pPr>
            <w:r/>
            <w:r>
              <w:rPr>
                <w:b w:val="0"/>
                <w:sz w:val="17"/>
              </w:rPr>
              <w:t>745/1300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789/1300</w:t>
            </w:r>
          </w:p>
        </w:tc>
        <w:tc>
          <w:tcPr>
            <w:tcW w:type="dxa" w:w="1191"/>
          </w:tcPr>
          <w:p>
            <w:pPr>
              <w:spacing w:after="20"/>
            </w:pPr>
            <w:r/>
            <w:r>
              <w:rPr>
                <w:b w:val="0"/>
                <w:sz w:val="17"/>
              </w:rPr>
              <w:t>868/1300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3170/4000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805/1300</w:t>
            </w:r>
          </w:p>
        </w:tc>
        <w:tc>
          <w:tcPr>
            <w:tcW w:type="dxa" w:w="1191"/>
          </w:tcPr>
          <w:p>
            <w:pPr>
              <w:spacing w:after="20"/>
            </w:pPr>
            <w:r/>
            <w:r>
              <w:rPr>
                <w:b w:val="0"/>
                <w:sz w:val="17"/>
              </w:rPr>
              <w:t>780/1300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3275/4000</w:t>
            </w:r>
          </w:p>
        </w:tc>
        <w:tc>
          <w:tcPr>
            <w:tcW w:type="dxa" w:w="1247"/>
          </w:tcPr>
          <w:p>
            <w:pPr>
              <w:spacing w:after="20"/>
            </w:pPr>
            <w:r/>
            <w:r>
              <w:rPr>
                <w:b w:val="0"/>
                <w:sz w:val="17"/>
              </w:rPr>
              <w:t>3098/4000</w:t>
            </w:r>
          </w:p>
        </w:tc>
        <w:tc>
          <w:tcPr>
            <w:tcW w:type="dxa" w:w="1134"/>
          </w:tcPr>
          <w:p>
            <w:pPr>
              <w:spacing w:after="20"/>
            </w:pPr>
            <w:r/>
            <w:r>
              <w:rPr>
                <w:b w:val="0"/>
                <w:sz w:val="17"/>
              </w:rPr>
              <w:t>268/500</w:t>
            </w:r>
          </w:p>
        </w:tc>
        <w:tc>
          <w:tcPr>
            <w:tcW w:type="dxa" w:w="1191"/>
          </w:tcPr>
          <w:p>
            <w:pPr>
              <w:spacing w:after="20"/>
            </w:pPr>
            <w:r/>
            <w:r>
              <w:rPr>
                <w:b w:val="0"/>
                <w:sz w:val="17"/>
              </w:rPr>
              <w:t>919/1300</w:t>
            </w:r>
          </w:p>
        </w:tc>
        <w:tc>
          <w:tcPr>
            <w:tcW w:type="dxa" w:w="1191"/>
          </w:tcPr>
          <w:p>
            <w:pPr>
              <w:spacing w:after="20"/>
            </w:pPr>
            <w:r/>
            <w:r>
              <w:rPr>
                <w:b w:val="0"/>
                <w:sz w:val="17"/>
              </w:rPr>
              <w:t>692/1300</w:t>
            </w:r>
          </w:p>
        </w:tc>
        <w:tc>
          <w:tcPr>
            <w:tcW w:type="dxa" w:w="1191"/>
          </w:tcPr>
          <w:p>
            <w:pPr>
              <w:spacing w:after="20"/>
            </w:pPr>
            <w:r/>
            <w:r>
              <w:rPr>
                <w:b w:val="0"/>
                <w:sz w:val="17"/>
              </w:rPr>
              <w:t>843/1300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3297/4000</w:t>
            </w:r>
          </w:p>
        </w:tc>
        <w:tc>
          <w:tcPr>
            <w:tcW w:type="dxa" w:w="1247"/>
          </w:tcPr>
          <w:p>
            <w:pPr>
              <w:spacing w:after="20"/>
            </w:pPr>
            <w:r/>
            <w:r>
              <w:rPr>
                <w:b w:val="0"/>
                <w:sz w:val="17"/>
              </w:rPr>
              <w:t>3267/4000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739/1300</w:t>
            </w:r>
          </w:p>
        </w:tc>
        <w:tc>
          <w:tcPr>
            <w:tcW w:type="dxa" w:w="1191"/>
          </w:tcPr>
          <w:p>
            <w:pPr>
              <w:spacing w:after="20"/>
            </w:pPr>
            <w:r/>
            <w:r>
              <w:rPr>
                <w:b w:val="0"/>
                <w:sz w:val="17"/>
              </w:rPr>
              <w:t>902/1300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778/1300</w:t>
            </w:r>
          </w:p>
        </w:tc>
        <w:tc>
          <w:tcPr>
            <w:tcW w:type="dxa" w:w="1191"/>
          </w:tcPr>
          <w:p>
            <w:pPr>
              <w:spacing w:after="20"/>
            </w:pPr>
            <w:r/>
            <w:r>
              <w:rPr>
                <w:b w:val="0"/>
                <w:sz w:val="17"/>
              </w:rPr>
              <w:t>871/1300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3829/4000</w:t>
            </w:r>
          </w:p>
        </w:tc>
        <w:tc>
          <w:tcPr>
            <w:tcW w:type="dxa" w:w="1247"/>
          </w:tcPr>
          <w:p>
            <w:pPr>
              <w:spacing w:after="20"/>
            </w:pPr>
            <w:r/>
            <w:r>
              <w:rPr>
                <w:b w:val="0"/>
                <w:sz w:val="17"/>
              </w:rPr>
              <w:t>3555/4000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851/1300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D9E2F3"/>
          </w:tcPr>
          <w:p>
            <w:pPr>
              <w:spacing w:after="20"/>
            </w:pPr>
            <w:r/>
            <w:r>
              <w:rPr>
                <w:b/>
                <w:sz w:val="17"/>
              </w:rPr>
              <w:t>Ryzyko</w:t>
            </w:r>
          </w:p>
        </w:tc>
        <w:tc>
          <w:tcPr>
            <w:tcW w:type="dxa" w:w="1701"/>
            <w:shd w:val="clear" w:color="auto" w:fill="D9E2F3"/>
          </w:tcPr>
          <w:p>
            <w:pPr>
              <w:spacing w:after="20"/>
            </w:pPr>
            <w:r/>
            <w:r>
              <w:rPr>
                <w:b/>
                <w:sz w:val="17"/>
              </w:rPr>
              <w:t>Nazwa</w:t>
            </w:r>
          </w:p>
        </w:tc>
        <w:tc>
          <w:tcPr>
            <w:tcW w:type="dxa" w:w="1701"/>
            <w:shd w:val="clear" w:color="auto" w:fill="D9E2F3"/>
          </w:tcPr>
          <w:p>
            <w:pPr>
              <w:spacing w:after="20"/>
            </w:pPr>
            <w:r/>
            <w:r>
              <w:rPr>
                <w:b/>
                <w:sz w:val="17"/>
              </w:rPr>
              <w:t>Opis</w:t>
            </w:r>
          </w:p>
        </w:tc>
        <w:tc>
          <w:tcPr>
            <w:tcW w:type="dxa" w:w="1984"/>
            <w:shd w:val="clear" w:color="auto" w:fill="D9E2F3"/>
          </w:tcPr>
          <w:p>
            <w:pPr>
              <w:spacing w:after="20"/>
            </w:pPr>
            <w:r/>
            <w:r>
              <w:rPr>
                <w:b/>
                <w:sz w:val="17"/>
              </w:rPr>
              <w:t>Zapobieganie</w:t>
            </w:r>
          </w:p>
        </w:tc>
        <w:tc>
          <w:tcPr>
            <w:tcW w:type="dxa" w:w="1701"/>
            <w:shd w:val="clear" w:color="auto" w:fill="D9E2F3"/>
          </w:tcPr>
          <w:p>
            <w:pPr>
              <w:spacing w:after="20"/>
            </w:pPr>
            <w:r/>
            <w:r>
              <w:rPr>
                <w:b/>
                <w:sz w:val="17"/>
              </w:rPr>
              <w:t>Znaki specjalne</w:t>
            </w:r>
          </w:p>
        </w:tc>
      </w:tr>
      <w:tr>
        <w:tc>
          <w:tcPr>
            <w:tcW w:type="dxa" w:w="1417"/>
          </w:tcPr>
          <w:p>
            <w:pPr>
              <w:spacing w:after="20"/>
            </w:pPr>
            <w:r/>
            <w:r>
              <w:rPr>
                <w:b w:val="0"/>
                <w:sz w:val="17"/>
              </w:rPr>
              <w:t>R1</w:t>
            </w:r>
          </w:p>
        </w:tc>
        <w:tc>
          <w:tcPr>
            <w:tcW w:type="dxa" w:w="1701"/>
          </w:tcPr>
          <w:p>
            <w:pPr>
              <w:spacing w:after="20"/>
            </w:pPr>
            <w:r/>
            <w:r>
              <w:rPr>
                <w:b w:val="0"/>
                <w:sz w:val="17"/>
              </w:rPr>
              <w:t>139/200</w:t>
            </w:r>
          </w:p>
        </w:tc>
        <w:tc>
          <w:tcPr>
            <w:tcW w:type="dxa" w:w="1701"/>
          </w:tcPr>
          <w:p>
            <w:pPr>
              <w:spacing w:after="20"/>
            </w:pPr>
            <w:r/>
            <w:r>
              <w:rPr>
                <w:b w:val="0"/>
                <w:sz w:val="17"/>
              </w:rPr>
              <w:t>1238/2000</w:t>
            </w:r>
          </w:p>
        </w:tc>
        <w:tc>
          <w:tcPr>
            <w:tcW w:type="dxa" w:w="1984"/>
          </w:tcPr>
          <w:p>
            <w:pPr>
              <w:spacing w:after="20"/>
            </w:pPr>
            <w:r/>
            <w:r>
              <w:rPr>
                <w:b w:val="0"/>
                <w:sz w:val="17"/>
              </w:rPr>
              <w:t>1334/2000</w:t>
            </w:r>
          </w:p>
        </w:tc>
        <w:tc>
          <w:tcPr>
            <w:tcW w:type="dxa" w:w="1701"/>
          </w:tcPr>
          <w:p>
            <w:pPr>
              <w:spacing w:after="20"/>
            </w:pPr>
            <w:r/>
            <w:r>
              <w:rPr>
                <w:b w:val="0"/>
                <w:sz w:val="17"/>
              </w:rPr>
              <w:t>brak</w:t>
            </w:r>
          </w:p>
        </w:tc>
      </w:tr>
      <w:tr>
        <w:tc>
          <w:tcPr>
            <w:tcW w:type="dxa" w:w="1417"/>
          </w:tcPr>
          <w:p>
            <w:pPr>
              <w:spacing w:after="20"/>
            </w:pPr>
            <w:r/>
            <w:r>
              <w:rPr>
                <w:b w:val="0"/>
                <w:sz w:val="17"/>
              </w:rPr>
              <w:t>R2</w:t>
            </w:r>
          </w:p>
        </w:tc>
        <w:tc>
          <w:tcPr>
            <w:tcW w:type="dxa" w:w="1701"/>
          </w:tcPr>
          <w:p>
            <w:pPr>
              <w:spacing w:after="20"/>
            </w:pPr>
            <w:r/>
            <w:r>
              <w:rPr>
                <w:b w:val="0"/>
                <w:sz w:val="17"/>
              </w:rPr>
              <w:t>165/200</w:t>
            </w:r>
          </w:p>
        </w:tc>
        <w:tc>
          <w:tcPr>
            <w:tcW w:type="dxa" w:w="1701"/>
          </w:tcPr>
          <w:p>
            <w:pPr>
              <w:spacing w:after="20"/>
            </w:pPr>
            <w:r/>
            <w:r>
              <w:rPr>
                <w:b w:val="0"/>
                <w:sz w:val="17"/>
              </w:rPr>
              <w:t>1152/2000</w:t>
            </w:r>
          </w:p>
        </w:tc>
        <w:tc>
          <w:tcPr>
            <w:tcW w:type="dxa" w:w="1984"/>
          </w:tcPr>
          <w:p>
            <w:pPr>
              <w:spacing w:after="20"/>
            </w:pPr>
            <w:r/>
            <w:r>
              <w:rPr>
                <w:b w:val="0"/>
                <w:sz w:val="17"/>
              </w:rPr>
              <w:t>1683/2000</w:t>
            </w:r>
          </w:p>
        </w:tc>
        <w:tc>
          <w:tcPr>
            <w:tcW w:type="dxa" w:w="1701"/>
          </w:tcPr>
          <w:p>
            <w:pPr>
              <w:spacing w:after="20"/>
            </w:pPr>
            <w:r/>
            <w:r>
              <w:rPr>
                <w:b w:val="0"/>
                <w:sz w:val="17"/>
              </w:rPr>
              <w:t>brak</w:t>
            </w:r>
          </w:p>
        </w:tc>
      </w:tr>
      <w:tr>
        <w:tc>
          <w:tcPr>
            <w:tcW w:type="dxa" w:w="1417"/>
          </w:tcPr>
          <w:p>
            <w:pPr>
              <w:spacing w:after="20"/>
            </w:pPr>
            <w:r/>
            <w:r>
              <w:rPr>
                <w:b w:val="0"/>
                <w:sz w:val="17"/>
              </w:rPr>
              <w:t>R3</w:t>
            </w:r>
          </w:p>
        </w:tc>
        <w:tc>
          <w:tcPr>
            <w:tcW w:type="dxa" w:w="1701"/>
          </w:tcPr>
          <w:p>
            <w:pPr>
              <w:spacing w:after="20"/>
            </w:pPr>
            <w:r/>
            <w:r>
              <w:rPr>
                <w:b w:val="0"/>
                <w:sz w:val="17"/>
              </w:rPr>
              <w:t>160/200</w:t>
            </w:r>
          </w:p>
        </w:tc>
        <w:tc>
          <w:tcPr>
            <w:tcW w:type="dxa" w:w="1701"/>
          </w:tcPr>
          <w:p>
            <w:pPr>
              <w:spacing w:after="20"/>
            </w:pPr>
            <w:r/>
            <w:r>
              <w:rPr>
                <w:b w:val="0"/>
                <w:sz w:val="17"/>
              </w:rPr>
              <w:t>1091/2000</w:t>
            </w:r>
          </w:p>
        </w:tc>
        <w:tc>
          <w:tcPr>
            <w:tcW w:type="dxa" w:w="1984"/>
          </w:tcPr>
          <w:p>
            <w:pPr>
              <w:spacing w:after="20"/>
            </w:pPr>
            <w:r/>
            <w:r>
              <w:rPr>
                <w:b w:val="0"/>
                <w:sz w:val="17"/>
              </w:rPr>
              <w:t>1329/2000</w:t>
            </w:r>
          </w:p>
        </w:tc>
        <w:tc>
          <w:tcPr>
            <w:tcW w:type="dxa" w:w="1701"/>
          </w:tcPr>
          <w:p>
            <w:pPr>
              <w:spacing w:after="20"/>
            </w:pPr>
            <w:r/>
            <w:r>
              <w:rPr>
                <w:b w:val="0"/>
                <w:sz w:val="17"/>
              </w:rPr>
              <w:t>brak</w:t>
            </w:r>
          </w:p>
        </w:tc>
      </w:tr>
      <w:tr>
        <w:tc>
          <w:tcPr>
            <w:tcW w:type="dxa" w:w="1417"/>
          </w:tcPr>
          <w:p>
            <w:pPr>
              <w:spacing w:after="20"/>
            </w:pPr>
            <w:r/>
            <w:r>
              <w:rPr>
                <w:b w:val="0"/>
                <w:sz w:val="17"/>
              </w:rPr>
              <w:t>R4</w:t>
            </w:r>
          </w:p>
        </w:tc>
        <w:tc>
          <w:tcPr>
            <w:tcW w:type="dxa" w:w="1701"/>
          </w:tcPr>
          <w:p>
            <w:pPr>
              <w:spacing w:after="20"/>
            </w:pPr>
            <w:r/>
            <w:r>
              <w:rPr>
                <w:b w:val="0"/>
                <w:sz w:val="17"/>
              </w:rPr>
              <w:t>176/200</w:t>
            </w:r>
          </w:p>
        </w:tc>
        <w:tc>
          <w:tcPr>
            <w:tcW w:type="dxa" w:w="1701"/>
          </w:tcPr>
          <w:p>
            <w:pPr>
              <w:spacing w:after="20"/>
            </w:pPr>
            <w:r/>
            <w:r>
              <w:rPr>
                <w:b w:val="0"/>
                <w:sz w:val="17"/>
              </w:rPr>
              <w:t>1047/2000</w:t>
            </w:r>
          </w:p>
        </w:tc>
        <w:tc>
          <w:tcPr>
            <w:tcW w:type="dxa" w:w="1984"/>
          </w:tcPr>
          <w:p>
            <w:pPr>
              <w:spacing w:after="20"/>
            </w:pPr>
            <w:r/>
            <w:r>
              <w:rPr>
                <w:b w:val="0"/>
                <w:sz w:val="17"/>
              </w:rPr>
              <w:t>1424/2000</w:t>
            </w:r>
          </w:p>
        </w:tc>
        <w:tc>
          <w:tcPr>
            <w:tcW w:type="dxa" w:w="1701"/>
          </w:tcPr>
          <w:p>
            <w:pPr>
              <w:spacing w:after="20"/>
            </w:pPr>
            <w:r/>
            <w:r>
              <w:rPr>
                <w:b w:val="0"/>
                <w:sz w:val="17"/>
              </w:rPr>
              <w:t>brak</w:t>
            </w:r>
          </w:p>
        </w:tc>
      </w:tr>
      <w:tr>
        <w:tc>
          <w:tcPr>
            <w:tcW w:type="dxa" w:w="1417"/>
          </w:tcPr>
          <w:p>
            <w:pPr>
              <w:spacing w:after="20"/>
            </w:pPr>
            <w:r/>
            <w:r>
              <w:rPr>
                <w:b w:val="0"/>
                <w:sz w:val="17"/>
              </w:rPr>
              <w:t>R5</w:t>
            </w:r>
          </w:p>
        </w:tc>
        <w:tc>
          <w:tcPr>
            <w:tcW w:type="dxa" w:w="1701"/>
          </w:tcPr>
          <w:p>
            <w:pPr>
              <w:spacing w:after="20"/>
            </w:pPr>
            <w:r/>
            <w:r>
              <w:rPr>
                <w:b w:val="0"/>
                <w:sz w:val="17"/>
              </w:rPr>
              <w:t>153/200</w:t>
            </w:r>
          </w:p>
        </w:tc>
        <w:tc>
          <w:tcPr>
            <w:tcW w:type="dxa" w:w="1701"/>
          </w:tcPr>
          <w:p>
            <w:pPr>
              <w:spacing w:after="20"/>
            </w:pPr>
            <w:r/>
            <w:r>
              <w:rPr>
                <w:b w:val="0"/>
                <w:sz w:val="17"/>
              </w:rPr>
              <w:t>996/2000</w:t>
            </w:r>
          </w:p>
        </w:tc>
        <w:tc>
          <w:tcPr>
            <w:tcW w:type="dxa" w:w="1984"/>
          </w:tcPr>
          <w:p>
            <w:pPr>
              <w:spacing w:after="20"/>
            </w:pPr>
            <w:r/>
            <w:r>
              <w:rPr>
                <w:b w:val="0"/>
                <w:sz w:val="17"/>
              </w:rPr>
              <w:t>1209/2000</w:t>
            </w:r>
          </w:p>
        </w:tc>
        <w:tc>
          <w:tcPr>
            <w:tcW w:type="dxa" w:w="1701"/>
          </w:tcPr>
          <w:p>
            <w:pPr>
              <w:spacing w:after="20"/>
            </w:pPr>
            <w:r/>
            <w:r>
              <w:rPr>
                <w:b w:val="0"/>
                <w:sz w:val="17"/>
              </w:rPr>
              <w:t>brak</w:t>
            </w:r>
          </w:p>
        </w:tc>
      </w:tr>
      <w:tr>
        <w:tc>
          <w:tcPr>
            <w:tcW w:type="dxa" w:w="1417"/>
          </w:tcPr>
          <w:p>
            <w:pPr>
              <w:spacing w:after="20"/>
            </w:pPr>
            <w:r/>
            <w:r>
              <w:rPr>
                <w:b w:val="0"/>
                <w:sz w:val="17"/>
              </w:rPr>
              <w:t>R9</w:t>
            </w:r>
          </w:p>
        </w:tc>
        <w:tc>
          <w:tcPr>
            <w:tcW w:type="dxa" w:w="1701"/>
          </w:tcPr>
          <w:p>
            <w:pPr>
              <w:spacing w:after="20"/>
            </w:pPr>
            <w:r/>
            <w:r>
              <w:rPr>
                <w:b w:val="0"/>
                <w:sz w:val="17"/>
              </w:rPr>
              <w:t>134/200</w:t>
            </w:r>
          </w:p>
        </w:tc>
        <w:tc>
          <w:tcPr>
            <w:tcW w:type="dxa" w:w="1701"/>
          </w:tcPr>
          <w:p>
            <w:pPr>
              <w:spacing w:after="20"/>
            </w:pPr>
            <w:r/>
            <w:r>
              <w:rPr>
                <w:b w:val="0"/>
                <w:sz w:val="17"/>
              </w:rPr>
              <w:t>1035/2000</w:t>
            </w:r>
          </w:p>
        </w:tc>
        <w:tc>
          <w:tcPr>
            <w:tcW w:type="dxa" w:w="1984"/>
          </w:tcPr>
          <w:p>
            <w:pPr>
              <w:spacing w:after="20"/>
            </w:pPr>
            <w:r/>
            <w:r>
              <w:rPr>
                <w:b w:val="0"/>
                <w:sz w:val="17"/>
              </w:rPr>
              <w:t>1317/2000</w:t>
            </w:r>
          </w:p>
        </w:tc>
        <w:tc>
          <w:tcPr>
            <w:tcW w:type="dxa" w:w="1701"/>
          </w:tcPr>
          <w:p>
            <w:pPr>
              <w:spacing w:after="20"/>
            </w:pPr>
            <w:r/>
            <w:r>
              <w:rPr>
                <w:b w:val="0"/>
                <w:sz w:val="17"/>
              </w:rPr>
              <w:t>brak</w:t>
            </w:r>
          </w:p>
        </w:tc>
      </w:tr>
      <w:tr>
        <w:tc>
          <w:tcPr>
            <w:tcW w:type="dxa" w:w="1417"/>
          </w:tcPr>
          <w:p>
            <w:pPr>
              <w:spacing w:after="20"/>
            </w:pPr>
            <w:r/>
            <w:r>
              <w:rPr>
                <w:b w:val="0"/>
                <w:sz w:val="17"/>
              </w:rPr>
              <w:t>R10</w:t>
            </w:r>
          </w:p>
        </w:tc>
        <w:tc>
          <w:tcPr>
            <w:tcW w:type="dxa" w:w="1701"/>
          </w:tcPr>
          <w:p>
            <w:pPr>
              <w:spacing w:after="20"/>
            </w:pPr>
            <w:r/>
            <w:r>
              <w:rPr>
                <w:b w:val="0"/>
                <w:sz w:val="17"/>
              </w:rPr>
              <w:t>178/200</w:t>
            </w:r>
          </w:p>
        </w:tc>
        <w:tc>
          <w:tcPr>
            <w:tcW w:type="dxa" w:w="1701"/>
          </w:tcPr>
          <w:p>
            <w:pPr>
              <w:spacing w:after="20"/>
            </w:pPr>
            <w:r/>
            <w:r>
              <w:rPr>
                <w:b w:val="0"/>
                <w:sz w:val="17"/>
              </w:rPr>
              <w:t>1060/2000</w:t>
            </w:r>
          </w:p>
        </w:tc>
        <w:tc>
          <w:tcPr>
            <w:tcW w:type="dxa" w:w="1984"/>
          </w:tcPr>
          <w:p>
            <w:pPr>
              <w:spacing w:after="20"/>
            </w:pPr>
            <w:r/>
            <w:r>
              <w:rPr>
                <w:b w:val="0"/>
                <w:sz w:val="17"/>
              </w:rPr>
              <w:t>1143/2000</w:t>
            </w:r>
          </w:p>
        </w:tc>
        <w:tc>
          <w:tcPr>
            <w:tcW w:type="dxa" w:w="1701"/>
          </w:tcPr>
          <w:p>
            <w:pPr>
              <w:spacing w:after="20"/>
            </w:pPr>
            <w:r/>
            <w:r>
              <w:rPr>
                <w:b w:val="0"/>
                <w:sz w:val="17"/>
              </w:rPr>
              <w:t>brak</w:t>
            </w:r>
          </w:p>
        </w:tc>
      </w:tr>
      <w:tr>
        <w:tc>
          <w:tcPr>
            <w:tcW w:type="dxa" w:w="1417"/>
          </w:tcPr>
          <w:p>
            <w:pPr>
              <w:spacing w:after="20"/>
            </w:pPr>
            <w:r/>
            <w:r>
              <w:rPr>
                <w:b w:val="0"/>
                <w:sz w:val="17"/>
              </w:rPr>
              <w:t>R11</w:t>
            </w:r>
          </w:p>
        </w:tc>
        <w:tc>
          <w:tcPr>
            <w:tcW w:type="dxa" w:w="1701"/>
          </w:tcPr>
          <w:p>
            <w:pPr>
              <w:spacing w:after="20"/>
            </w:pPr>
            <w:r/>
            <w:r>
              <w:rPr>
                <w:b w:val="0"/>
                <w:sz w:val="17"/>
              </w:rPr>
              <w:t>136/200</w:t>
            </w:r>
          </w:p>
        </w:tc>
        <w:tc>
          <w:tcPr>
            <w:tcW w:type="dxa" w:w="1701"/>
          </w:tcPr>
          <w:p>
            <w:pPr>
              <w:spacing w:after="20"/>
            </w:pPr>
            <w:r/>
            <w:r>
              <w:rPr>
                <w:b w:val="0"/>
                <w:sz w:val="17"/>
              </w:rPr>
              <w:t>806/2000</w:t>
            </w:r>
          </w:p>
        </w:tc>
        <w:tc>
          <w:tcPr>
            <w:tcW w:type="dxa" w:w="1984"/>
          </w:tcPr>
          <w:p>
            <w:pPr>
              <w:spacing w:after="20"/>
            </w:pPr>
            <w:r/>
            <w:r>
              <w:rPr>
                <w:b w:val="0"/>
                <w:sz w:val="17"/>
              </w:rPr>
              <w:t>1164/2000</w:t>
            </w:r>
          </w:p>
        </w:tc>
        <w:tc>
          <w:tcPr>
            <w:tcW w:type="dxa" w:w="1701"/>
          </w:tcPr>
          <w:p>
            <w:pPr>
              <w:spacing w:after="20"/>
            </w:pPr>
            <w:r/>
            <w:r>
              <w:rPr>
                <w:b w:val="0"/>
                <w:sz w:val="17"/>
              </w:rPr>
              <w:t>brak</w:t>
            </w:r>
          </w:p>
        </w:tc>
      </w:tr>
      <w:tr>
        <w:tc>
          <w:tcPr>
            <w:tcW w:type="dxa" w:w="1417"/>
          </w:tcPr>
          <w:p>
            <w:pPr>
              <w:spacing w:after="20"/>
            </w:pPr>
            <w:r/>
            <w:r>
              <w:rPr>
                <w:b w:val="0"/>
                <w:sz w:val="17"/>
              </w:rPr>
              <w:t>R12</w:t>
            </w:r>
          </w:p>
        </w:tc>
        <w:tc>
          <w:tcPr>
            <w:tcW w:type="dxa" w:w="1701"/>
          </w:tcPr>
          <w:p>
            <w:pPr>
              <w:spacing w:after="20"/>
            </w:pPr>
            <w:r/>
            <w:r>
              <w:rPr>
                <w:b w:val="0"/>
                <w:sz w:val="17"/>
              </w:rPr>
              <w:t>111/200</w:t>
            </w:r>
          </w:p>
        </w:tc>
        <w:tc>
          <w:tcPr>
            <w:tcW w:type="dxa" w:w="1701"/>
          </w:tcPr>
          <w:p>
            <w:pPr>
              <w:spacing w:after="20"/>
            </w:pPr>
            <w:r/>
            <w:r>
              <w:rPr>
                <w:b w:val="0"/>
                <w:sz w:val="17"/>
              </w:rPr>
              <w:t>739/2000</w:t>
            </w:r>
          </w:p>
        </w:tc>
        <w:tc>
          <w:tcPr>
            <w:tcW w:type="dxa" w:w="1984"/>
          </w:tcPr>
          <w:p>
            <w:pPr>
              <w:spacing w:after="20"/>
            </w:pPr>
            <w:r/>
            <w:r>
              <w:rPr>
                <w:b w:val="0"/>
                <w:sz w:val="17"/>
              </w:rPr>
              <w:t>873/2000</w:t>
            </w:r>
          </w:p>
        </w:tc>
        <w:tc>
          <w:tcPr>
            <w:tcW w:type="dxa" w:w="1701"/>
          </w:tcPr>
          <w:p>
            <w:pPr>
              <w:spacing w:after="20"/>
            </w:pPr>
            <w:r/>
            <w:r>
              <w:rPr>
                <w:b w:val="0"/>
                <w:sz w:val="17"/>
              </w:rPr>
              <w:t>brak</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