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sprzedaży i zakupów.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niezależnych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Kanałem wzrostu w kolejnych latach jest rozszerzenie istniejącej relacji handlowej z ponad 50 aktywnymi kontrahentami spedycyjnymi Everest11, a nie akwizycja zimna.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Przed końcem komentarza zdanie „cel 50 pojazdów w 2030 r. pokrywają już 4 kontrakty, w tym zawarte listy intencyjne z konkretnymi operatorami transportowymi.” zamień na: cel 50 pojazdów w 2030 r. pokrywają listy intencyjne trzech operatorów transportowych na łącznie 50 naczep.</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według zestawienia wiekowego całość należności i zobowiązań na 30.06.2026 r. mieściła się w przedziale do 30 dni. Wyższe zobowiązania na koniec 2025 r. (193 dni) i na 31.03.2026 r. (59 dni) wynikały z przeterminowanych płatności z wcześniejszego okresu, które spółka uregulowała,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Zostaje jedno pytanie: czy „do 30 dni” oznacza „w terminie lub do 30 dni po terminie”.</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Wymaga dopasowania opisu ryzyka cen transferowych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Wymaga decyzji,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które ekspert może wykorzystać przeciwko wnioskowi, i które musisz rozstrzygnąć</w:t>
      </w:r>
    </w:p>
    <w:p>
      <w:pPr>
        <w:pStyle w:val="ListBullet"/>
      </w:pPr>
      <w:r>
        <w:rPr>
          <w:b/>
        </w:rPr>
        <w:t>Koncentracja sprzedaży.</w:t>
      </w:r>
      <w:r>
        <w:rPr>
          <w:b w:val="0"/>
        </w:rPr>
        <w:t xml:space="preserve"> W 2026 r. cała sprzedaż Everest11 to jeden odbiorca (Amazon), w 2025 r. 95%. Zdolność finansowa Lidera zależy od jednego kontraktu. Komentarze w modelu i teksty wniosku mówią natomiast o „ponad 50 aktywnych kontrahentach spedycyjnych Everest11” jako o kanale wzrostu (arkusz Przychody, Koszty, pkt 1.3 i 2.1). Jeśli to nie są odbiorcy fakturowani w 2026 r. (np. to lista przewoźników i spedytorów w bazie kontaktów), słowo „aktywnych” może wprowadzać w błąd i trzeba je zmienić albo uzasadnić. Napisz mi, co dokładnie znaczy 50+ i czy istnieje umowa ramowa z Amazon (okres, wartość).</w:t>
      </w:r>
    </w:p>
    <w:p>
      <w:pPr>
        <w:pStyle w:val="ListBullet"/>
      </w:pPr>
      <w:r>
        <w:rPr>
          <w:b/>
        </w:rPr>
        <w:t>Zakupy od podmiotu powiązanego.</w:t>
      </w:r>
      <w:r>
        <w:rPr>
          <w:b w:val="0"/>
        </w:rPr>
        <w:t xml:space="preserve"> Ok. 95% usług obcych (ok. 13,4 mln zł w 2025 r. i ok. 8,4 mln zł w I półroczu 2026 r.) to zakupy od Natanek Logistics, a Natanek Logistics jest też partnerem testowym projektu (flota w Z9). Opis ryzyka cen transferowych (K3-32) i niezależności walidacji Z9 (K3-11) powinien wprost podawać skalę tej zależności i mechanizm rozliczeń po cenach rynkowych. Do tej pory pisałam o tym ogólnie. Mogę uzupełnić opis ryzyka, gdy zdecydujesz, czy podajesz skalę (95%) wprost.</w:t>
      </w:r>
    </w:p>
    <w:p>
      <w:pPr>
        <w:pStyle w:val="ListBullet"/>
      </w:pPr>
      <w:r>
        <w:rPr>
          <w:b/>
        </w:rPr>
        <w:t>Przeterminowane płatności w przeszłości.</w:t>
      </w:r>
      <w:r>
        <w:rPr>
          <w:b w:val="0"/>
        </w:rPr>
        <w:t xml:space="preserve"> Księgowa pisze, że wyższe zobowiązania w 2025 r. wynikały z płatności przeterminowanych, a spadek to „wyjście na prostą po zmianie struktury właścicielskiej”. W komentarzu napisałam tylko, że były przeterminowane płatności z wcześniejszego okresu, które spółka uregulowała. O zmianie struktury właścicielskiej nie napisałam nic, bo nie wiem, kiedy i jaka to była zmiana, a w innych częściach wniosku Inwestor jest opisany jako przyszły udziałowiec. Jeśli to ma trafić do wniosku, napisz mi datę i opis.</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Załączyć w LSI podpisane sprawozdania za II kwartał 2026 (bilans i rachunek zysków i strat na 30.06.2026) i usunąć załączniki z I kwartałem.</w:t>
            </w:r>
          </w:p>
        </w:tc>
        <w:tc>
          <w:tcPr>
            <w:tcW w:type="dxa" w:w="4762"/>
          </w:tcPr>
          <w:p>
            <w:r/>
            <w:r>
              <w:rPr>
                <w:b w:val="0"/>
                <w:sz w:val="18"/>
              </w:rPr>
              <w:t>Uwaga K6-07 wymaga zastąpienia danych za I kwartał danymi za II kwartał także w załącznikach.</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Zapytać księgową, czy „do 30 dni” w zestawieniu wiekowym oznacza „w terminie lub do 30 dni po terminie”, oraz o kwoty (a nie tylko procenty) zakupów od Natanek Logistics w 2025 r. i w I półroczu 2026 r.</w:t>
            </w:r>
          </w:p>
        </w:tc>
        <w:tc>
          <w:tcPr>
            <w:tcW w:type="dxa" w:w="4762"/>
          </w:tcPr>
          <w:p>
            <w:r/>
            <w:r>
              <w:rPr>
                <w:b w:val="0"/>
                <w:sz w:val="18"/>
              </w:rPr>
              <w:t>Pierwsza odpowiedź mogła być skrótowa. Od niej zależy, czy napiszemy „bez przeterminowań”, czy „bez przeterminowań powyżej 30 dni”. Kwoty zastąpią moje przybliżenia.</w:t>
            </w:r>
          </w:p>
        </w:tc>
      </w:tr>
    </w:tbl>
    <w:p/>
    <w:p>
      <w:pPr>
        <w:pStyle w:val="Heading1"/>
      </w:pPr>
      <w:r>
        <w:t>7. Pytania do Ciebie</w:t>
      </w:r>
    </w:p>
    <w:p>
      <w:pPr>
        <w:spacing w:after="60"/>
      </w:pPr>
      <w:r>
        <w:rPr>
          <w:b w:val="0"/>
        </w:rPr>
        <w:t>Dane, których nie mam i których nie wolno mi zgadywać.</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Pytanie</w:t>
            </w:r>
          </w:p>
        </w:tc>
        <w:tc>
          <w:tcPr>
            <w:tcW w:type="dxa" w:w="4762"/>
          </w:tcPr>
          <w:p>
            <w:r/>
            <w:r>
              <w:rPr>
                <w:b/>
                <w:sz w:val="18"/>
              </w:rPr>
              <w:t>Po co</w:t>
            </w:r>
          </w:p>
        </w:tc>
      </w:tr>
      <w:tr>
        <w:tc>
          <w:tcPr>
            <w:tcW w:type="dxa" w:w="4989"/>
          </w:tcPr>
          <w:p>
            <w:r/>
            <w:r>
              <w:rPr>
                <w:b w:val="0"/>
                <w:sz w:val="18"/>
              </w:rPr>
              <w:t>Przy jakiej wycenie spółki wkład inwestora 1 253 358 zł odpowiada 20% udziału i kto obejmuje pozostałe 80% kapitału po podwyższeniu (obecny kapitał zakładowy 5 tys. zł)?</w:t>
            </w:r>
          </w:p>
        </w:tc>
        <w:tc>
          <w:tcPr>
            <w:tcW w:type="dxa" w:w="4762"/>
          </w:tcPr>
          <w:p>
            <w:r/>
            <w:r>
              <w:rPr>
                <w:b w:val="0"/>
                <w:sz w:val="18"/>
              </w:rPr>
              <w:t>Uwaga K6-12. Wniosek mówi o dokapitalizowaniu przez objęcie udziałów, a ekspert pyta o strukturę udziałów po transakcji. Nie mam umowy inwestycyjnej, więc nie mogę tego opisać.</w:t>
            </w:r>
          </w:p>
        </w:tc>
      </w:tr>
      <w:tr>
        <w:tc>
          <w:tcPr>
            <w:tcW w:type="dxa" w:w="4989"/>
          </w:tcPr>
          <w:p>
            <w:r/>
            <w:r>
              <w:rPr>
                <w:b w:val="0"/>
                <w:sz w:val="18"/>
              </w:rPr>
              <w:t>Z czego składa się koszt komponentów 4 875 zł za zestaw (konfiguracja, źródła cen) albo czy to założenie 65% ceny 7 500 zł?</w:t>
            </w:r>
          </w:p>
        </w:tc>
        <w:tc>
          <w:tcPr>
            <w:tcW w:type="dxa" w:w="4762"/>
          </w:tcPr>
          <w:p>
            <w:r/>
            <w:r>
              <w:rPr>
                <w:b w:val="0"/>
                <w:sz w:val="18"/>
              </w:rPr>
              <w:t>Uwagi K2-12 i K2-13. Decyzja z 02.10 zostawiła kwotę, ale ekspert pyta o podstawę. Arkusz cen publicznych daje ok. 7,6 tys. zł przy rabacie 30%, więc bez uzasadnienia różnicy to jest miejsce ryzyka.</w:t>
            </w:r>
          </w:p>
        </w:tc>
      </w:tr>
      <w:tr>
        <w:tc>
          <w:tcPr>
            <w:tcW w:type="dxa" w:w="4989"/>
          </w:tcPr>
          <w:p>
            <w:r/>
            <w:r>
              <w:rPr>
                <w:b w:val="0"/>
                <w:sz w:val="18"/>
              </w:rPr>
              <w:t>Ile etatów liczy zespół komercjalizacji (koszt 345,6 tys. zł w 2030 r., 460,8; 576; 806,4 i 1 036,8 tys. zł w 2034 r.) i ile kosztuje jeden etat?</w:t>
            </w:r>
          </w:p>
        </w:tc>
        <w:tc>
          <w:tcPr>
            <w:tcW w:type="dxa" w:w="4762"/>
          </w:tcPr>
          <w:p>
            <w:r/>
            <w:r>
              <w:rPr>
                <w:b w:val="0"/>
                <w:sz w:val="18"/>
              </w:rPr>
              <w:t>Lista N58: komentarz w Kosztach powinien podawać liczbę etatów. Z kwot wynika stosunek 0,6 : 0,8 : 1,0 : 1,4 : 1,8, ale nie znam kosztu etatu.</w:t>
            </w:r>
          </w:p>
        </w:tc>
      </w:tr>
      <w:tr>
        <w:tc>
          <w:tcPr>
            <w:tcW w:type="dxa" w:w="4989"/>
          </w:tcPr>
          <w:p>
            <w:r/>
            <w:r>
              <w:rPr>
                <w:b w:val="0"/>
                <w:sz w:val="18"/>
              </w:rPr>
              <w:t>Deklaracja PIT Inwestora za ostatni rok i aktualne zaświadczenie bankowe (z nazwą wystawcy, KRS, adresem), na dzień podpisania umowy inwestorskiej.</w:t>
            </w:r>
          </w:p>
        </w:tc>
        <w:tc>
          <w:tcPr>
            <w:tcW w:type="dxa" w:w="4762"/>
          </w:tcPr>
          <w:p>
            <w:r/>
            <w:r>
              <w:rPr>
                <w:b w:val="0"/>
                <w:sz w:val="18"/>
              </w:rPr>
              <w:t>Uwagi K6-10 i K6-11. To dokumenty do załączenia w LSI, nie da się ich zastąpić tekstem.</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