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03.2027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badania eksperckie w formie wywiadów pogłębionych (100 osób) oraz określenie dodatkowych parametrów obrazów (miara sentymentu),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Nadzór psychometryczny nad rozbudową środowiska badawczego i opracowaniem algorytmów analizy sentymentu,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Współpraca z ekspertami AI przy dopracowaniu modeli AI dla reprezentatywnego modelu systemu,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walidację reprezentatywnego modelu systemu poprzez porównanie z wynikami wywiadów eksperckich.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01.04.2027</w:t>
        <w:tab/>
        <w:tab/>
        <w:tab/>
        <w:tab/>
        <w:tab/>
        <w:tab/>
        <w:tab/>
        <w:tab/>
        <w:tab/>
        <w:tab/>
        <w:tab/>
        <w:t xml:space="preserve">01.04.2027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