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[802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[3900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stałych udziałów w trzech okresach, wynosi w miesiącach pracy w przeliczeniu na pełny etat: AI Lead 2,625, AI Senior Engineer 2,625, specjalista ds. cyberbezpieczeństwa 0,875, IT Specialist 3,50, IoT Specialist 1,75, specjalista ds. logistyki TSL 1,75.</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[3529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stałych udziałów w trzech okresach, wynosi w miesiącach pracy w przeliczeniu na pełny etat: AI Lead 2,625, AI Senior Engineer 2,625, specjalista ds. cyberbezpieczeństwa 0,875, IT Specialist 3,50, IoT Specialist 1,75, specjalista ds. logistyki TSL 1,75.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[964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[3962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stałych udziałów w trzech okresach, wynosi w miesiącach pracy w przeliczeniu na pełny etat: AI Lead 3,75, AI Senior Engineer 3,75, specjalista ds. cyberbezpieczeństwa 1,25, IT Specialist 5,00, IoT Specialist 2,50, specjalista ds. logistyki TSL 2,50.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[1334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Decyzję podejmuje komitet sterujący w M9 (zadanie Z1) lub w M27 (zadanie Z5): zmienia architekturę sensoryczną, na przykład na kamery EO ze światłem strukturalnym, albo przerywa zadanie.</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[1683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Decyzję podejmuje komitet sterujący w M18 (zadanie Z2) lub w M27 (zadanie Z4): ogranicza zakres funkcji albo przerywa zadanie modelowe.</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[1329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Decyzję podejmuje komitet sterujący w M26 (wersja RC) i w M30 (końcowa): ogranicza zakres funkcji CV albo wydziela je do prac po projekcie.</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[1424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Decyzję podejmuje komitet sterujący w M27: zmienia platformę sprzętową lub zakres funkcji offline albo przerywa zadanie.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[1317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komitet sterujący ogranicza zakres funkcji uruchamianych na platformie embedded albo przerywa zadanie Z7.</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[844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[802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Przyjęty wariant, uzgodniony z właścicielem, ma trzy okresy ze stałymi udziałami czasu pracy: w M19-M21 działają tylko zadania Z6 i Z7 (po 50% czasu pracy w projekcie), w M22-M27 równolegle trzy zadania (po jednej trzeciej), w M28-M30 tylko zadanie Z9 (100%). Udziały są takie same dla wszystkich sześciu stanowisk, więc w zakresie czynności każdej osoby wpisuje się trzy stałe proporcje. Suma nakładów w każdym miesiącu równa się etatowi stanowiska, a koszt łączny każdego stanowiska nie zmienia się. Wszystkie trzy zadania są pracami rozwojowymi o tej samej intensywności pomocy (60%), więc kwota dofinansowania nie zmienia się.</w:t>
      </w:r>
    </w:p>
    <w:p>
      <w:pPr>
        <w:pStyle w:val="Heading2"/>
      </w:pPr>
      <w:r>
        <w:t>Tabela 1. Udział czasu pracy w projekcie w okresach (Z6 / Z7 / Z9)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814"/>
            <w:shd w:val="clear" w:color="auto" w:fill="D9E2F3"/>
          </w:tcPr>
          <w:p>
            <w:pPr>
              <w:spacing w:after="20"/>
            </w:pPr>
            <w:r/>
            <w:r>
              <w:rPr>
                <w:b/>
                <w:sz w:val="17"/>
              </w:rPr>
              <w:t>Okres</w:t>
            </w:r>
          </w:p>
        </w:tc>
        <w:tc>
          <w:tcPr>
            <w:tcW w:type="dxa" w:w="1474"/>
            <w:shd w:val="clear" w:color="auto" w:fill="D9E2F3"/>
          </w:tcPr>
          <w:p>
            <w:pPr>
              <w:spacing w:after="20"/>
            </w:pPr>
            <w:r/>
            <w:r>
              <w:rPr>
                <w:b/>
                <w:sz w:val="17"/>
              </w:rPr>
              <w:t>Zadania</w:t>
            </w:r>
          </w:p>
        </w:tc>
        <w:tc>
          <w:tcPr>
            <w:tcW w:type="dxa" w:w="2381"/>
            <w:shd w:val="clear" w:color="auto" w:fill="D9E2F3"/>
          </w:tcPr>
          <w:p>
            <w:pPr>
              <w:spacing w:after="20"/>
            </w:pPr>
            <w:r/>
            <w:r>
              <w:rPr>
                <w:b/>
                <w:sz w:val="17"/>
              </w:rPr>
              <w:t>Udział Z6 / Z7 / Z9</w:t>
            </w:r>
          </w:p>
        </w:tc>
        <w:tc>
          <w:tcPr>
            <w:tcW w:type="dxa" w:w="2835"/>
            <w:shd w:val="clear" w:color="auto" w:fill="D9E2F3"/>
          </w:tcPr>
          <w:p>
            <w:pPr>
              <w:spacing w:after="20"/>
            </w:pPr>
            <w:r/>
            <w:r>
              <w:rPr>
                <w:b/>
                <w:sz w:val="17"/>
              </w:rPr>
              <w:t>Uwagi</w:t>
            </w:r>
          </w:p>
        </w:tc>
      </w:tr>
      <w:tr>
        <w:tc>
          <w:tcPr>
            <w:tcW w:type="dxa" w:w="1814"/>
          </w:tcPr>
          <w:p>
            <w:pPr>
              <w:spacing w:after="20"/>
            </w:pPr>
            <w:r/>
            <w:r>
              <w:rPr>
                <w:b w:val="0"/>
                <w:sz w:val="17"/>
              </w:rPr>
              <w:t>M19-M21 (3 mc)</w:t>
            </w:r>
          </w:p>
        </w:tc>
        <w:tc>
          <w:tcPr>
            <w:tcW w:type="dxa" w:w="1474"/>
          </w:tcPr>
          <w:p>
            <w:pPr>
              <w:spacing w:after="20"/>
            </w:pPr>
            <w:r/>
            <w:r>
              <w:rPr>
                <w:b w:val="0"/>
                <w:sz w:val="17"/>
              </w:rPr>
              <w:t>Z6, Z7</w:t>
            </w:r>
          </w:p>
        </w:tc>
        <w:tc>
          <w:tcPr>
            <w:tcW w:type="dxa" w:w="2381"/>
          </w:tcPr>
          <w:p>
            <w:pPr>
              <w:spacing w:after="20"/>
            </w:pPr>
            <w:r/>
            <w:r>
              <w:rPr>
                <w:b w:val="0"/>
                <w:sz w:val="17"/>
              </w:rPr>
              <w:t>50% / 50% / 0%</w:t>
            </w:r>
          </w:p>
        </w:tc>
        <w:tc>
          <w:tcPr>
            <w:tcW w:type="dxa" w:w="2835"/>
          </w:tcPr>
          <w:p>
            <w:pPr>
              <w:spacing w:after="20"/>
            </w:pPr>
            <w:r/>
            <w:r>
              <w:rPr>
                <w:b w:val="0"/>
                <w:sz w:val="17"/>
              </w:rPr>
              <w:t>Z9 jeszcze się nie zaczęło</w:t>
            </w:r>
          </w:p>
        </w:tc>
      </w:tr>
      <w:tr>
        <w:tc>
          <w:tcPr>
            <w:tcW w:type="dxa" w:w="1814"/>
          </w:tcPr>
          <w:p>
            <w:pPr>
              <w:spacing w:after="20"/>
            </w:pPr>
            <w:r/>
            <w:r>
              <w:rPr>
                <w:b w:val="0"/>
                <w:sz w:val="17"/>
              </w:rPr>
              <w:t>M22-M27 (6 mc)</w:t>
            </w:r>
          </w:p>
        </w:tc>
        <w:tc>
          <w:tcPr>
            <w:tcW w:type="dxa" w:w="1474"/>
          </w:tcPr>
          <w:p>
            <w:pPr>
              <w:spacing w:after="20"/>
            </w:pPr>
            <w:r/>
            <w:r>
              <w:rPr>
                <w:b w:val="0"/>
                <w:sz w:val="17"/>
              </w:rPr>
              <w:t>Z6, Z7, Z9</w:t>
            </w:r>
          </w:p>
        </w:tc>
        <w:tc>
          <w:tcPr>
            <w:tcW w:type="dxa" w:w="2381"/>
          </w:tcPr>
          <w:p>
            <w:pPr>
              <w:spacing w:after="20"/>
            </w:pPr>
            <w:r/>
            <w:r>
              <w:rPr>
                <w:b w:val="0"/>
                <w:sz w:val="17"/>
              </w:rPr>
              <w:t>33,3% / 33,3% / 33,3%</w:t>
            </w:r>
          </w:p>
        </w:tc>
        <w:tc>
          <w:tcPr>
            <w:tcW w:type="dxa" w:w="2835"/>
          </w:tcPr>
          <w:p>
            <w:pPr>
              <w:spacing w:after="20"/>
            </w:pPr>
            <w:r/>
            <w:r>
              <w:rPr>
                <w:b w:val="0"/>
                <w:sz w:val="17"/>
              </w:rPr>
              <w:t>trzy zadania równolegle</w:t>
            </w:r>
          </w:p>
        </w:tc>
      </w:tr>
      <w:tr>
        <w:tc>
          <w:tcPr>
            <w:tcW w:type="dxa" w:w="1814"/>
          </w:tcPr>
          <w:p>
            <w:pPr>
              <w:spacing w:after="20"/>
            </w:pPr>
            <w:r/>
            <w:r>
              <w:rPr>
                <w:b w:val="0"/>
                <w:sz w:val="17"/>
              </w:rPr>
              <w:t>M28-M30 (3 mc)</w:t>
            </w:r>
          </w:p>
        </w:tc>
        <w:tc>
          <w:tcPr>
            <w:tcW w:type="dxa" w:w="1474"/>
          </w:tcPr>
          <w:p>
            <w:pPr>
              <w:spacing w:after="20"/>
            </w:pPr>
            <w:r/>
            <w:r>
              <w:rPr>
                <w:b w:val="0"/>
                <w:sz w:val="17"/>
              </w:rPr>
              <w:t>Z9</w:t>
            </w:r>
          </w:p>
        </w:tc>
        <w:tc>
          <w:tcPr>
            <w:tcW w:type="dxa" w:w="2381"/>
          </w:tcPr>
          <w:p>
            <w:pPr>
              <w:spacing w:after="20"/>
            </w:pPr>
            <w:r/>
            <w:r>
              <w:rPr>
                <w:b w:val="0"/>
                <w:sz w:val="17"/>
              </w:rPr>
              <w:t>0% / 0% / 100%</w:t>
            </w:r>
          </w:p>
        </w:tc>
        <w:tc>
          <w:tcPr>
            <w:tcW w:type="dxa" w:w="2835"/>
          </w:tcPr>
          <w:p>
            <w:pPr>
              <w:spacing w:after="20"/>
            </w:pPr>
            <w:r/>
            <w:r>
              <w:rPr>
                <w:b w:val="0"/>
                <w:sz w:val="17"/>
              </w:rPr>
              <w:t>Z6 i Z7 zakończone</w:t>
            </w:r>
          </w:p>
        </w:tc>
      </w:tr>
    </w:tbl>
    <w:p/>
    <w:p>
      <w:pPr>
        <w:spacing w:after="60"/>
      </w:pPr>
      <w:r>
        <w:rPr>
          <w:b w:val="0"/>
        </w:rPr>
        <w:t>Backend/Full-Stack Developer (1,0 etatu): Z6 w M19-M27 (9 miesięcy), Z9 w M28-M30 (3 miesiące). Słabsze punkty wariantu: w M22-M27 równy udział trzech zadań jest mniej dopasowany do pracy stanowisk, których zakres w Z6 jest wąski (IoT Specialist, specjalista ds. cyberbezpieczeństwa, specjalista TSL). Jeżeli ekspert zapyta o te pozycje, uzasadnieniem jest równoległa praca nad trzema zadaniami w tym okresie i stałe proporcje wpisane w zakres czynności.</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2,625</w:t>
            </w:r>
          </w:p>
        </w:tc>
        <w:tc>
          <w:tcPr>
            <w:tcW w:type="dxa" w:w="680"/>
          </w:tcPr>
          <w:p>
            <w:pPr>
              <w:spacing w:after="20"/>
            </w:pPr>
            <w:r/>
            <w:r>
              <w:rPr>
                <w:b w:val="0"/>
                <w:sz w:val="16"/>
              </w:rPr>
              <w:t>2,625</w:t>
            </w:r>
          </w:p>
        </w:tc>
        <w:tc>
          <w:tcPr>
            <w:tcW w:type="dxa" w:w="680"/>
          </w:tcPr>
          <w:p>
            <w:pPr>
              <w:spacing w:after="20"/>
            </w:pPr>
            <w:r/>
            <w:r>
              <w:rPr>
                <w:b w:val="0"/>
                <w:sz w:val="16"/>
              </w:rPr>
              <w:t>3,75</w:t>
            </w:r>
          </w:p>
        </w:tc>
        <w:tc>
          <w:tcPr>
            <w:tcW w:type="dxa" w:w="1134"/>
          </w:tcPr>
          <w:p>
            <w:pPr>
              <w:spacing w:after="20"/>
            </w:pPr>
            <w:r/>
            <w:r>
              <w:rPr>
                <w:b w:val="0"/>
                <w:sz w:val="16"/>
              </w:rPr>
              <w:t>72 751,88</w:t>
            </w:r>
          </w:p>
        </w:tc>
        <w:tc>
          <w:tcPr>
            <w:tcW w:type="dxa" w:w="1134"/>
          </w:tcPr>
          <w:p>
            <w:pPr>
              <w:spacing w:after="20"/>
            </w:pPr>
            <w:r/>
            <w:r>
              <w:rPr>
                <w:b w:val="0"/>
                <w:sz w:val="16"/>
              </w:rPr>
              <w:t>72 751,88</w:t>
            </w:r>
          </w:p>
        </w:tc>
        <w:tc>
          <w:tcPr>
            <w:tcW w:type="dxa" w:w="1134"/>
          </w:tcPr>
          <w:p>
            <w:pPr>
              <w:spacing w:after="20"/>
            </w:pPr>
            <w:r/>
            <w:r>
              <w:rPr>
                <w:b w:val="0"/>
                <w:sz w:val="16"/>
              </w:rPr>
              <w:t>103 931,24</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2,625</w:t>
            </w:r>
          </w:p>
        </w:tc>
        <w:tc>
          <w:tcPr>
            <w:tcW w:type="dxa" w:w="680"/>
          </w:tcPr>
          <w:p>
            <w:pPr>
              <w:spacing w:after="20"/>
            </w:pPr>
            <w:r/>
            <w:r>
              <w:rPr>
                <w:b w:val="0"/>
                <w:sz w:val="16"/>
              </w:rPr>
              <w:t>2,625</w:t>
            </w:r>
          </w:p>
        </w:tc>
        <w:tc>
          <w:tcPr>
            <w:tcW w:type="dxa" w:w="680"/>
          </w:tcPr>
          <w:p>
            <w:pPr>
              <w:spacing w:after="20"/>
            </w:pPr>
            <w:r/>
            <w:r>
              <w:rPr>
                <w:b w:val="0"/>
                <w:sz w:val="16"/>
              </w:rPr>
              <w:t>3,75</w:t>
            </w:r>
          </w:p>
        </w:tc>
        <w:tc>
          <w:tcPr>
            <w:tcW w:type="dxa" w:w="1134"/>
          </w:tcPr>
          <w:p>
            <w:pPr>
              <w:spacing w:after="20"/>
            </w:pPr>
            <w:r/>
            <w:r>
              <w:rPr>
                <w:b w:val="0"/>
                <w:sz w:val="16"/>
              </w:rPr>
              <w:t>52 191,56</w:t>
            </w:r>
          </w:p>
        </w:tc>
        <w:tc>
          <w:tcPr>
            <w:tcW w:type="dxa" w:w="1134"/>
          </w:tcPr>
          <w:p>
            <w:pPr>
              <w:spacing w:after="20"/>
            </w:pPr>
            <w:r/>
            <w:r>
              <w:rPr>
                <w:b w:val="0"/>
                <w:sz w:val="16"/>
              </w:rPr>
              <w:t>52 191,56</w:t>
            </w:r>
          </w:p>
        </w:tc>
        <w:tc>
          <w:tcPr>
            <w:tcW w:type="dxa" w:w="1134"/>
          </w:tcPr>
          <w:p>
            <w:pPr>
              <w:spacing w:after="20"/>
            </w:pPr>
            <w:r/>
            <w:r>
              <w:rPr>
                <w:b w:val="0"/>
                <w:sz w:val="16"/>
              </w:rPr>
              <w:t>74 559,38</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0,875</w:t>
            </w:r>
          </w:p>
        </w:tc>
        <w:tc>
          <w:tcPr>
            <w:tcW w:type="dxa" w:w="680"/>
          </w:tcPr>
          <w:p>
            <w:pPr>
              <w:spacing w:after="20"/>
            </w:pPr>
            <w:r/>
            <w:r>
              <w:rPr>
                <w:b w:val="0"/>
                <w:sz w:val="16"/>
              </w:rPr>
              <w:t>0,875</w:t>
            </w:r>
          </w:p>
        </w:tc>
        <w:tc>
          <w:tcPr>
            <w:tcW w:type="dxa" w:w="680"/>
          </w:tcPr>
          <w:p>
            <w:pPr>
              <w:spacing w:after="20"/>
            </w:pPr>
            <w:r/>
            <w:r>
              <w:rPr>
                <w:b w:val="0"/>
                <w:sz w:val="16"/>
              </w:rPr>
              <w:t>1,25</w:t>
            </w:r>
          </w:p>
        </w:tc>
        <w:tc>
          <w:tcPr>
            <w:tcW w:type="dxa" w:w="1134"/>
          </w:tcPr>
          <w:p>
            <w:pPr>
              <w:spacing w:after="20"/>
            </w:pPr>
            <w:r/>
            <w:r>
              <w:rPr>
                <w:b w:val="0"/>
                <w:sz w:val="16"/>
              </w:rPr>
              <w:t>22 141,88</w:t>
            </w:r>
          </w:p>
        </w:tc>
        <w:tc>
          <w:tcPr>
            <w:tcW w:type="dxa" w:w="1134"/>
          </w:tcPr>
          <w:p>
            <w:pPr>
              <w:spacing w:after="20"/>
            </w:pPr>
            <w:r/>
            <w:r>
              <w:rPr>
                <w:b w:val="0"/>
                <w:sz w:val="16"/>
              </w:rPr>
              <w:t>22 141,88</w:t>
            </w:r>
          </w:p>
        </w:tc>
        <w:tc>
          <w:tcPr>
            <w:tcW w:type="dxa" w:w="1134"/>
          </w:tcPr>
          <w:p>
            <w:pPr>
              <w:spacing w:after="20"/>
            </w:pPr>
            <w:r/>
            <w:r>
              <w:rPr>
                <w:b w:val="0"/>
                <w:sz w:val="16"/>
              </w:rPr>
              <w:t>31 631,24</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3,50</w:t>
            </w:r>
          </w:p>
        </w:tc>
        <w:tc>
          <w:tcPr>
            <w:tcW w:type="dxa" w:w="680"/>
          </w:tcPr>
          <w:p>
            <w:pPr>
              <w:spacing w:after="20"/>
            </w:pPr>
            <w:r/>
            <w:r>
              <w:rPr>
                <w:b w:val="0"/>
                <w:sz w:val="16"/>
              </w:rPr>
              <w:t>3,50</w:t>
            </w:r>
          </w:p>
        </w:tc>
        <w:tc>
          <w:tcPr>
            <w:tcW w:type="dxa" w:w="680"/>
          </w:tcPr>
          <w:p>
            <w:pPr>
              <w:spacing w:after="20"/>
            </w:pPr>
            <w:r/>
            <w:r>
              <w:rPr>
                <w:b w:val="0"/>
                <w:sz w:val="16"/>
              </w:rPr>
              <w:t>5,00</w:t>
            </w:r>
          </w:p>
        </w:tc>
        <w:tc>
          <w:tcPr>
            <w:tcW w:type="dxa" w:w="1134"/>
          </w:tcPr>
          <w:p>
            <w:pPr>
              <w:spacing w:after="20"/>
            </w:pPr>
            <w:r/>
            <w:r>
              <w:rPr>
                <w:b w:val="0"/>
                <w:sz w:val="16"/>
              </w:rPr>
              <w:t>80 132,50</w:t>
            </w:r>
          </w:p>
        </w:tc>
        <w:tc>
          <w:tcPr>
            <w:tcW w:type="dxa" w:w="1134"/>
          </w:tcPr>
          <w:p>
            <w:pPr>
              <w:spacing w:after="20"/>
            </w:pPr>
            <w:r/>
            <w:r>
              <w:rPr>
                <w:b w:val="0"/>
                <w:sz w:val="16"/>
              </w:rPr>
              <w:t>80 132,50</w:t>
            </w:r>
          </w:p>
        </w:tc>
        <w:tc>
          <w:tcPr>
            <w:tcW w:type="dxa" w:w="1134"/>
          </w:tcPr>
          <w:p>
            <w:pPr>
              <w:spacing w:after="20"/>
            </w:pPr>
            <w:r/>
            <w:r>
              <w:rPr>
                <w:b w:val="0"/>
                <w:sz w:val="16"/>
              </w:rPr>
              <w:t>114 475,00</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1,75</w:t>
            </w:r>
          </w:p>
        </w:tc>
        <w:tc>
          <w:tcPr>
            <w:tcW w:type="dxa" w:w="680"/>
          </w:tcPr>
          <w:p>
            <w:pPr>
              <w:spacing w:after="20"/>
            </w:pPr>
            <w:r/>
            <w:r>
              <w:rPr>
                <w:b w:val="0"/>
                <w:sz w:val="16"/>
              </w:rPr>
              <w:t>1,75</w:t>
            </w:r>
          </w:p>
        </w:tc>
        <w:tc>
          <w:tcPr>
            <w:tcW w:type="dxa" w:w="680"/>
          </w:tcPr>
          <w:p>
            <w:pPr>
              <w:spacing w:after="20"/>
            </w:pPr>
            <w:r/>
            <w:r>
              <w:rPr>
                <w:b w:val="0"/>
                <w:sz w:val="16"/>
              </w:rPr>
              <w:t>2,50</w:t>
            </w:r>
          </w:p>
        </w:tc>
        <w:tc>
          <w:tcPr>
            <w:tcW w:type="dxa" w:w="1134"/>
          </w:tcPr>
          <w:p>
            <w:pPr>
              <w:spacing w:after="20"/>
            </w:pPr>
            <w:r/>
            <w:r>
              <w:rPr>
                <w:b w:val="0"/>
                <w:sz w:val="16"/>
              </w:rPr>
              <w:t>31 631,25</w:t>
            </w:r>
          </w:p>
        </w:tc>
        <w:tc>
          <w:tcPr>
            <w:tcW w:type="dxa" w:w="1134"/>
          </w:tcPr>
          <w:p>
            <w:pPr>
              <w:spacing w:after="20"/>
            </w:pPr>
            <w:r/>
            <w:r>
              <w:rPr>
                <w:b w:val="0"/>
                <w:sz w:val="16"/>
              </w:rPr>
              <w:t>31 631,25</w:t>
            </w:r>
          </w:p>
        </w:tc>
        <w:tc>
          <w:tcPr>
            <w:tcW w:type="dxa" w:w="1134"/>
          </w:tcPr>
          <w:p>
            <w:pPr>
              <w:spacing w:after="20"/>
            </w:pPr>
            <w:r/>
            <w:r>
              <w:rPr>
                <w:b w:val="0"/>
                <w:sz w:val="16"/>
              </w:rPr>
              <w:t>45 187,50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1,75</w:t>
            </w:r>
          </w:p>
        </w:tc>
        <w:tc>
          <w:tcPr>
            <w:tcW w:type="dxa" w:w="680"/>
          </w:tcPr>
          <w:p>
            <w:pPr>
              <w:spacing w:after="20"/>
            </w:pPr>
            <w:r/>
            <w:r>
              <w:rPr>
                <w:b w:val="0"/>
                <w:sz w:val="16"/>
              </w:rPr>
              <w:t>1,75</w:t>
            </w:r>
          </w:p>
        </w:tc>
        <w:tc>
          <w:tcPr>
            <w:tcW w:type="dxa" w:w="680"/>
          </w:tcPr>
          <w:p>
            <w:pPr>
              <w:spacing w:after="20"/>
            </w:pPr>
            <w:r/>
            <w:r>
              <w:rPr>
                <w:b w:val="0"/>
                <w:sz w:val="16"/>
              </w:rPr>
              <w:t>2,50</w:t>
            </w:r>
          </w:p>
        </w:tc>
        <w:tc>
          <w:tcPr>
            <w:tcW w:type="dxa" w:w="1134"/>
          </w:tcPr>
          <w:p>
            <w:pPr>
              <w:spacing w:after="20"/>
            </w:pPr>
            <w:r/>
            <w:r>
              <w:rPr>
                <w:b w:val="0"/>
                <w:sz w:val="16"/>
              </w:rPr>
              <w:t>21 087,50</w:t>
            </w:r>
          </w:p>
        </w:tc>
        <w:tc>
          <w:tcPr>
            <w:tcW w:type="dxa" w:w="1134"/>
          </w:tcPr>
          <w:p>
            <w:pPr>
              <w:spacing w:after="20"/>
            </w:pPr>
            <w:r/>
            <w:r>
              <w:rPr>
                <w:b w:val="0"/>
                <w:sz w:val="16"/>
              </w:rPr>
              <w:t>21 087,50</w:t>
            </w:r>
          </w:p>
        </w:tc>
        <w:tc>
          <w:tcPr>
            <w:tcW w:type="dxa" w:w="1134"/>
          </w:tcPr>
          <w:p>
            <w:pPr>
              <w:spacing w:after="20"/>
            </w:pPr>
            <w:r/>
            <w:r>
              <w:rPr>
                <w:b w:val="0"/>
                <w:sz w:val="16"/>
              </w:rPr>
              <w:t>30 125,00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475 146,57</w:t>
            </w:r>
          </w:p>
        </w:tc>
        <w:tc>
          <w:tcPr>
            <w:tcW w:type="dxa" w:w="1134"/>
          </w:tcPr>
          <w:p>
            <w:pPr>
              <w:spacing w:after="20"/>
            </w:pPr>
            <w:r/>
            <w:r>
              <w:rPr>
                <w:b w:val="0"/>
                <w:sz w:val="16"/>
              </w:rPr>
              <w:t>279 936,57</w:t>
            </w:r>
          </w:p>
        </w:tc>
        <w:tc>
          <w:tcPr>
            <w:tcW w:type="dxa" w:w="1134"/>
          </w:tcPr>
          <w:p>
            <w:pPr>
              <w:spacing w:after="20"/>
            </w:pPr>
            <w:r/>
            <w:r>
              <w:rPr>
                <w:b w:val="0"/>
                <w:sz w:val="16"/>
              </w:rPr>
              <w:t>464 979,36</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6</w:t>
      </w:r>
    </w:p>
    <w:p>
      <w:pPr>
        <w:keepNext/>
        <w:spacing w:before="160" w:after="40"/>
      </w:pPr>
      <w:r>
        <w:rPr>
          <w:b/>
          <w:sz w:val="20"/>
        </w:rPr>
        <w:t>AI Lead - wynagrodzenie (Z6)</w:t>
      </w:r>
      <w:r>
        <w:rPr>
          <w:color w:val="666666"/>
          <w:sz w:val="17"/>
        </w:rPr>
        <w:t xml:space="preserve"> [924 z 1500 znaków]</w:t>
      </w:r>
    </w:p>
    <w:p>
      <w:pPr>
        <w:spacing w:after="60"/>
        <w:shd w:val="clear" w:color="auto" w:fill="F3F3F3"/>
      </w:pPr>
      <w:r>
        <w:rPr>
          <w:b w:val="0"/>
        </w:rPr>
        <w:t>Koszt = 23 000,00 zł brutto/mc x narzut pracodawcy 1,205 = 27 715,00 zł/mc x 2,625 etatomiesiąca (miesięcy pracy w przeliczeniu na pełny etat) = 72 751,88 zł. Nakład w zadaniu Z6 wynosi 3 mc (M19-M21) x 50% x 0,75 etatu + 6 mc (M22-M27) x 1/3 x 0,75 etatu = 2,625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(Z6)</w:t>
      </w:r>
      <w:r>
        <w:rPr>
          <w:color w:val="666666"/>
          <w:sz w:val="17"/>
        </w:rPr>
        <w:t xml:space="preserve"> [937 z 1500 znaków]</w:t>
      </w:r>
    </w:p>
    <w:p>
      <w:pPr>
        <w:spacing w:after="60"/>
        <w:shd w:val="clear" w:color="auto" w:fill="F3F3F3"/>
      </w:pPr>
      <w:r>
        <w:rPr>
          <w:b w:val="0"/>
        </w:rPr>
        <w:t>Koszt = 16 500,00 zł brutto/mc x narzut pracodawcy 1,205 = 19 882,50 zł/mc x 2,625 etatomiesiąca (miesięcy pracy w przeliczeniu na pełny etat) = 52 191,56 zł. Nakład w zadaniu Z6 wynosi 3 mc (M19-M21) x 50% x 0,75 etatu + 6 mc (M22-M27) x 1/3 x 0,75 etatu = 2,625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[922 z 1500 znaków]</w:t>
      </w:r>
    </w:p>
    <w:p>
      <w:pPr>
        <w:spacing w:after="60"/>
        <w:shd w:val="clear" w:color="auto" w:fill="F3F3F3"/>
      </w:pPr>
      <w:r>
        <w:rPr>
          <w:b w:val="0"/>
        </w:rPr>
        <w:t>Koszt = 21 000,00 zł brutto/mc x narzut pracodawcy 1,205 = 25 305,00 zł/mc x 0,875 etatomiesiąca (miesięcy pracy w przeliczeniu na pełny etat) = 22 141,88 zł. Nakład w zadaniu Z6 wynosi 3 mc (M19-M21) x 50% x 0,25 etatu + 6 mc (M22-M27) x 1/3 x 0,25 etatu = 0,875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(Z6)</w:t>
      </w:r>
      <w:r>
        <w:rPr>
          <w:color w:val="666666"/>
          <w:sz w:val="17"/>
        </w:rPr>
        <w:t xml:space="preserve"> [904 z 1500 znaków]</w:t>
      </w:r>
    </w:p>
    <w:p>
      <w:pPr>
        <w:spacing w:after="60"/>
        <w:shd w:val="clear" w:color="auto" w:fill="F3F3F3"/>
      </w:pPr>
      <w:r>
        <w:rPr>
          <w:b w:val="0"/>
        </w:rPr>
        <w:t>Koszt = 19 000,00 zł brutto/mc x narzut pracodawcy 1,205 = 22 895,00 zł/mc x 3,50 etatomiesiąca (miesięcy pracy w przeliczeniu na pełny etat) = 80 132,50 zł. Nakład w zadaniu Z6 wynosi 3 mc (M19-M21) x 50% x 1,00 etatu + 6 mc (M22-M27) x 1/3 x 1,00 etatu = 3,50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(Z6)</w:t>
      </w:r>
      <w:r>
        <w:rPr>
          <w:color w:val="666666"/>
          <w:sz w:val="17"/>
        </w:rPr>
        <w:t xml:space="preserve"> [968 z 1500 znaków]</w:t>
      </w:r>
    </w:p>
    <w:p>
      <w:pPr>
        <w:spacing w:after="60"/>
        <w:shd w:val="clear" w:color="auto" w:fill="F3F3F3"/>
      </w:pPr>
      <w:r>
        <w:rPr>
          <w:b w:val="0"/>
        </w:rPr>
        <w:t>Koszt = 15 000,00 zł brutto/mc x narzut pracodawcy 1,205 = 18 075,00 zł/mc x 1,75 etatomiesiąca (miesięcy pracy w przeliczeniu na pełny etat) = 31 631,25 zł. Nakład w zadaniu Z6 wynosi 3 mc (M19-M21) x 50% x 0,50 etatu + 6 mc (M22-M27) x 1/3 x 0,50 etatu = 1,75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[916 z 1500 znaków]</w:t>
      </w:r>
    </w:p>
    <w:p>
      <w:pPr>
        <w:spacing w:after="60"/>
        <w:shd w:val="clear" w:color="auto" w:fill="F3F3F3"/>
      </w:pPr>
      <w:r>
        <w:rPr>
          <w:b w:val="0"/>
        </w:rPr>
        <w:t>Koszt = 10 000,00 zł brutto/mc x narzut pracodawcy 1,205 = 12 050,00 zł/mc x 1,75 etatomiesiąca (miesięcy pracy w przeliczeniu na pełny etat) = 21 087,50 zł. Nakład w zadaniu Z6 wynosi 3 mc (M19-M21) x 50% x 0,50 etatu + 6 mc (M22-M27) x 1/3 x 0,50 etatu = 1,75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0,50 etatu, a w całym okresie M19-M30 6,00 etatomiesiąca. Stawkę brutto zweryfikowano na podstawie Hays „Raport płacowy 2026”, sekcja Logistyka i zakupy,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[557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Stawkę brutto zweryfikowano na podstawie No Fluff Jobs „Rynek pracy IT 2025/2026”, kat. Backend/Fullstack (s. 30): Mid maks. 18000, Senior 18500-25000, 18000 na granicy Mid/Senior (założenie konserwatywne).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[924 z 1500 znaków]</w:t>
      </w:r>
    </w:p>
    <w:p>
      <w:pPr>
        <w:spacing w:after="60"/>
        <w:shd w:val="clear" w:color="auto" w:fill="F3F3F3"/>
      </w:pPr>
      <w:r>
        <w:rPr>
          <w:b w:val="0"/>
        </w:rPr>
        <w:t>Koszt = 23 000,00 zł brutto/mc x narzut pracodawcy 1,205 = 27 715,00 zł/mc x 2,625 etatomiesiąca (miesięcy pracy w przeliczeniu na pełny etat) = 72 751,88 zł. Nakład w zadaniu Z7 wynosi 3 mc (M19-M21) x 50% x 0,75 etatu + 6 mc (M22-M27) x 1/3 x 0,75 etatu = 2,625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(Z7)</w:t>
      </w:r>
      <w:r>
        <w:rPr>
          <w:color w:val="666666"/>
          <w:sz w:val="17"/>
        </w:rPr>
        <w:t xml:space="preserve"> [937 z 1500 znaków]</w:t>
      </w:r>
    </w:p>
    <w:p>
      <w:pPr>
        <w:spacing w:after="60"/>
        <w:shd w:val="clear" w:color="auto" w:fill="F3F3F3"/>
      </w:pPr>
      <w:r>
        <w:rPr>
          <w:b w:val="0"/>
        </w:rPr>
        <w:t>Koszt = 16 500,00 zł brutto/mc x narzut pracodawcy 1,205 = 19 882,50 zł/mc x 2,625 etatomiesiąca (miesięcy pracy w przeliczeniu na pełny etat) = 52 191,56 zł. Nakład w zadaniu Z7 wynosi 3 mc (M19-M21) x 50% x 0,75 etatu + 6 mc (M22-M27) x 1/3 x 0,75 etatu = 2,625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[922 z 1500 znaków]</w:t>
      </w:r>
    </w:p>
    <w:p>
      <w:pPr>
        <w:spacing w:after="60"/>
        <w:shd w:val="clear" w:color="auto" w:fill="F3F3F3"/>
      </w:pPr>
      <w:r>
        <w:rPr>
          <w:b w:val="0"/>
        </w:rPr>
        <w:t>Koszt = 21 000,00 zł brutto/mc x narzut pracodawcy 1,205 = 25 305,00 zł/mc x 0,875 etatomiesiąca (miesięcy pracy w przeliczeniu na pełny etat) = 22 141,88 zł. Nakład w zadaniu Z7 wynosi 3 mc (M19-M21) x 50% x 0,25 etatu + 6 mc (M22-M27) x 1/3 x 0,25 etatu = 0,875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(Z7)</w:t>
      </w:r>
      <w:r>
        <w:rPr>
          <w:color w:val="666666"/>
          <w:sz w:val="17"/>
        </w:rPr>
        <w:t xml:space="preserve"> [904 z 1500 znaków]</w:t>
      </w:r>
    </w:p>
    <w:p>
      <w:pPr>
        <w:spacing w:after="60"/>
        <w:shd w:val="clear" w:color="auto" w:fill="F3F3F3"/>
      </w:pPr>
      <w:r>
        <w:rPr>
          <w:b w:val="0"/>
        </w:rPr>
        <w:t>Koszt = 19 000,00 zł brutto/mc x narzut pracodawcy 1,205 = 22 895,00 zł/mc x 3,50 etatomiesiąca (miesięcy pracy w przeliczeniu na pełny etat) = 80 132,50 zł. Nakład w zadaniu Z7 wynosi 3 mc (M19-M21) x 50% x 1,00 etatu + 6 mc (M22-M27) x 1/3 x 1,00 etatu = 3,50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(Z7)</w:t>
      </w:r>
      <w:r>
        <w:rPr>
          <w:color w:val="666666"/>
          <w:sz w:val="17"/>
        </w:rPr>
        <w:t xml:space="preserve"> [968 z 1500 znaków]</w:t>
      </w:r>
    </w:p>
    <w:p>
      <w:pPr>
        <w:spacing w:after="60"/>
        <w:shd w:val="clear" w:color="auto" w:fill="F3F3F3"/>
      </w:pPr>
      <w:r>
        <w:rPr>
          <w:b w:val="0"/>
        </w:rPr>
        <w:t>Koszt = 15 000,00 zł brutto/mc x narzut pracodawcy 1,205 = 18 075,00 zł/mc x 1,75 etatomiesiąca (miesięcy pracy w przeliczeniu na pełny etat) = 31 631,25 zł. Nakład w zadaniu Z7 wynosi 3 mc (M19-M21) x 50% x 0,50 etatu + 6 mc (M22-M27) x 1/3 x 0,50 etatu = 1,75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[916 z 1500 znaków]</w:t>
      </w:r>
    </w:p>
    <w:p>
      <w:pPr>
        <w:spacing w:after="60"/>
        <w:shd w:val="clear" w:color="auto" w:fill="F3F3F3"/>
      </w:pPr>
      <w:r>
        <w:rPr>
          <w:b w:val="0"/>
        </w:rPr>
        <w:t>Koszt = 10 000,00 zł brutto/mc x narzut pracodawcy 1,205 = 12 050,00 zł/mc x 1,75 etatomiesiąca (miesięcy pracy w przeliczeniu na pełny etat) = 21 087,50 zł. Nakład w zadaniu Z7 wynosi 3 mc (M19-M21) x 50% x 0,50 etatu + 6 mc (M22-M27) x 1/3 x 0,50 etatu = 1,75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0,50 etatu, a w całym okresie M19-M30 6,00 etatomiesiąca. Stawkę brutto zweryfikowano na podstawie Hays „Raport płacowy 2026”, sekcja Logistyka i zakupy, tabela Logistyka, „Specjalista ds. Logistyki” 8000/10000/13000 (s. 40), 10000 = wartość optymalna.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[924 z 1500 znaków]</w:t>
      </w:r>
    </w:p>
    <w:p>
      <w:pPr>
        <w:spacing w:after="60"/>
        <w:shd w:val="clear" w:color="auto" w:fill="F3F3F3"/>
      </w:pPr>
      <w:r>
        <w:rPr>
          <w:b w:val="0"/>
        </w:rPr>
        <w:t>Koszt = 23 000,00 zł brutto/mc x narzut pracodawcy 1,205 = 27 715,00 zł/mc x 3,75 etatomiesiąca (miesięcy pracy w przeliczeniu na pełny etat) = 103 931,24 zł. Nakład w zadaniu Z9 wynosi 6 mc (M22-M27) x 1/3 x 0,75 etatu + 3 mc (M28-M30) x 100% x 0,75 etatu = 3,75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(Z9)</w:t>
      </w:r>
      <w:r>
        <w:rPr>
          <w:color w:val="666666"/>
          <w:sz w:val="17"/>
        </w:rPr>
        <w:t xml:space="preserve"> [936 z 1500 znaków]</w:t>
      </w:r>
    </w:p>
    <w:p>
      <w:pPr>
        <w:spacing w:after="60"/>
        <w:shd w:val="clear" w:color="auto" w:fill="F3F3F3"/>
      </w:pPr>
      <w:r>
        <w:rPr>
          <w:b w:val="0"/>
        </w:rPr>
        <w:t>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[921 z 1500 znaków]</w:t>
      </w:r>
    </w:p>
    <w:p>
      <w:pPr>
        <w:spacing w:after="60"/>
        <w:shd w:val="clear" w:color="auto" w:fill="F3F3F3"/>
      </w:pPr>
      <w:r>
        <w:rPr>
          <w:b w:val="0"/>
        </w:rPr>
        <w:t>Koszt = 21 000,00 zł brutto/mc x narzut pracodawcy 1,205 = 25 305,00 zł/mc x 1,25 etatomiesiąca (miesięcy pracy w przeliczeniu na pełny etat) = 31 631,24 zł. Nakład w zadaniu Z9 wynosi 6 mc (M22-M27) x 1/3 x 0,25 etatu + 3 mc (M28-M30) x 100% x 0,25 etatu = 1,25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(Z9)</w:t>
      </w:r>
      <w:r>
        <w:rPr>
          <w:color w:val="666666"/>
          <w:sz w:val="17"/>
        </w:rPr>
        <w:t xml:space="preserve"> [906 z 1500 znaków]</w:t>
      </w:r>
    </w:p>
    <w:p>
      <w:pPr>
        <w:spacing w:after="60"/>
        <w:shd w:val="clear" w:color="auto" w:fill="F3F3F3"/>
      </w:pPr>
      <w:r>
        <w:rPr>
          <w:b w:val="0"/>
        </w:rPr>
        <w:t>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(Z9)</w:t>
      </w:r>
      <w:r>
        <w:rPr>
          <w:color w:val="666666"/>
          <w:sz w:val="17"/>
        </w:rPr>
        <w:t xml:space="preserve"> [969 z 1500 znaków]</w:t>
      </w:r>
    </w:p>
    <w:p>
      <w:pPr>
        <w:spacing w:after="60"/>
        <w:shd w:val="clear" w:color="auto" w:fill="F3F3F3"/>
      </w:pPr>
      <w:r>
        <w:rPr>
          <w:b w:val="0"/>
        </w:rPr>
        <w:t>Koszt = 15 000,00 zł brutto/mc x narzut pracodawcy 1,205 = 18 075,00 zł/mc x 2,50 etatomiesiąca (miesięcy pracy w przeliczeniu na pełny etat) = 45 187,50 zł. Nakład w zadaniu Z9 wynosi 6 mc (M22-M27) x 1/3 x 0,50 etatu + 3 mc (M28-M30) x 100% x 0,50 etatu = 2,50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[917 z 1500 znaków]</w:t>
      </w:r>
    </w:p>
    <w:p>
      <w:pPr>
        <w:spacing w:after="60"/>
        <w:shd w:val="clear" w:color="auto" w:fill="F3F3F3"/>
      </w:pPr>
      <w:r>
        <w:rPr>
          <w:b w:val="0"/>
        </w:rPr>
        <w:t>Koszt = 10 000,00 zł brutto/mc x narzut pracodawcy 1,205 = 12 050,00 zł/mc x 2,50 etatomiesiąca (miesięcy pracy w przeliczeniu na pełny etat) = 30 125,00 zł. Nakład w zadaniu Z9 wynosi 6 mc (M22-M27) x 1/3 x 0,50 etatu + 3 mc (M28-M30) x 100% x 0,50 etatu = 2,50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0,50 etatu, a w całym okresie M19-M30 6,00 etatomiesiąca. Stawkę brutto zweryfikowano na podstawie Hays „Raport płacowy 2026”, sekcja Logistyka i zakupy,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[542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Stawkę brutto zweryfikowano na podstawie No Fluff Jobs „Rynek pracy IT 2025/2026”, kat. Backend/Fullstack (s. 30): Mid maks. 18000, Senior 18500-25000, 18000 na granicy Mid/Senior (założenie konserwatywne).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2,625</w:t>
            </w:r>
          </w:p>
        </w:tc>
        <w:tc>
          <w:tcPr>
            <w:tcW w:type="dxa" w:w="1077"/>
          </w:tcPr>
          <w:p>
            <w:pPr>
              <w:spacing w:after="20"/>
            </w:pPr>
            <w:r/>
            <w:r>
              <w:rPr>
                <w:b w:val="0"/>
                <w:sz w:val="16"/>
              </w:rPr>
              <w:t>2,625</w:t>
            </w:r>
          </w:p>
        </w:tc>
        <w:tc>
          <w:tcPr>
            <w:tcW w:type="dxa" w:w="1247"/>
          </w:tcPr>
          <w:p>
            <w:pPr>
              <w:spacing w:after="20"/>
            </w:pPr>
            <w:r/>
            <w:r>
              <w:rPr>
                <w:b w:val="0"/>
                <w:sz w:val="16"/>
              </w:rPr>
              <w:t>3,75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2,625</w:t>
            </w:r>
          </w:p>
        </w:tc>
        <w:tc>
          <w:tcPr>
            <w:tcW w:type="dxa" w:w="1077"/>
          </w:tcPr>
          <w:p>
            <w:pPr>
              <w:spacing w:after="20"/>
            </w:pPr>
            <w:r/>
            <w:r>
              <w:rPr>
                <w:b w:val="0"/>
                <w:sz w:val="16"/>
              </w:rPr>
              <w:t>2,625</w:t>
            </w:r>
          </w:p>
        </w:tc>
        <w:tc>
          <w:tcPr>
            <w:tcW w:type="dxa" w:w="1247"/>
          </w:tcPr>
          <w:p>
            <w:pPr>
              <w:spacing w:after="20"/>
            </w:pPr>
            <w:r/>
            <w:r>
              <w:rPr>
                <w:b w:val="0"/>
                <w:sz w:val="16"/>
              </w:rPr>
              <w:t>3,75</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0,875</w:t>
            </w:r>
          </w:p>
        </w:tc>
        <w:tc>
          <w:tcPr>
            <w:tcW w:type="dxa" w:w="1077"/>
          </w:tcPr>
          <w:p>
            <w:pPr>
              <w:spacing w:after="20"/>
            </w:pPr>
            <w:r/>
            <w:r>
              <w:rPr>
                <w:b w:val="0"/>
                <w:sz w:val="16"/>
              </w:rPr>
              <w:t>0,875</w:t>
            </w:r>
          </w:p>
        </w:tc>
        <w:tc>
          <w:tcPr>
            <w:tcW w:type="dxa" w:w="1247"/>
          </w:tcPr>
          <w:p>
            <w:pPr>
              <w:spacing w:after="20"/>
            </w:pPr>
            <w:r/>
            <w:r>
              <w:rPr>
                <w:b w:val="0"/>
                <w:sz w:val="16"/>
              </w:rPr>
              <w:t>1,25</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3,50</w:t>
            </w:r>
          </w:p>
        </w:tc>
        <w:tc>
          <w:tcPr>
            <w:tcW w:type="dxa" w:w="1077"/>
          </w:tcPr>
          <w:p>
            <w:pPr>
              <w:spacing w:after="20"/>
            </w:pPr>
            <w:r/>
            <w:r>
              <w:rPr>
                <w:b w:val="0"/>
                <w:sz w:val="16"/>
              </w:rPr>
              <w:t>3,50</w:t>
            </w:r>
          </w:p>
        </w:tc>
        <w:tc>
          <w:tcPr>
            <w:tcW w:type="dxa" w:w="1247"/>
          </w:tcPr>
          <w:p>
            <w:pPr>
              <w:spacing w:after="20"/>
            </w:pPr>
            <w:r/>
            <w:r>
              <w:rPr>
                <w:b w:val="0"/>
                <w:sz w:val="16"/>
              </w:rPr>
              <w:t>5,00</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1,75</w:t>
            </w:r>
          </w:p>
        </w:tc>
        <w:tc>
          <w:tcPr>
            <w:tcW w:type="dxa" w:w="1077"/>
          </w:tcPr>
          <w:p>
            <w:pPr>
              <w:spacing w:after="20"/>
            </w:pPr>
            <w:r/>
            <w:r>
              <w:rPr>
                <w:b w:val="0"/>
                <w:sz w:val="16"/>
              </w:rPr>
              <w:t>1,75</w:t>
            </w:r>
          </w:p>
        </w:tc>
        <w:tc>
          <w:tcPr>
            <w:tcW w:type="dxa" w:w="1247"/>
          </w:tcPr>
          <w:p>
            <w:pPr>
              <w:spacing w:after="20"/>
            </w:pPr>
            <w:r/>
            <w:r>
              <w:rPr>
                <w:b w:val="0"/>
                <w:sz w:val="16"/>
              </w:rPr>
              <w:t>2,50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1,75</w:t>
            </w:r>
          </w:p>
        </w:tc>
        <w:tc>
          <w:tcPr>
            <w:tcW w:type="dxa" w:w="1077"/>
          </w:tcPr>
          <w:p>
            <w:pPr>
              <w:spacing w:after="20"/>
            </w:pPr>
            <w:r/>
            <w:r>
              <w:rPr>
                <w:b w:val="0"/>
                <w:sz w:val="16"/>
              </w:rPr>
              <w:t>1,75</w:t>
            </w:r>
          </w:p>
        </w:tc>
        <w:tc>
          <w:tcPr>
            <w:tcW w:type="dxa" w:w="1247"/>
          </w:tcPr>
          <w:p>
            <w:pPr>
              <w:spacing w:after="20"/>
            </w:pPr>
            <w:r/>
            <w:r>
              <w:rPr>
                <w:b w:val="0"/>
                <w:sz w:val="16"/>
              </w:rPr>
              <w:t>2,50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komitetu sterującego i niezależnego nadzoru nad zadaniami PRz.</w:t>
            </w:r>
          </w:p>
        </w:tc>
        <w:tc>
          <w:tcPr>
            <w:tcW w:type="dxa" w:w="3175"/>
          </w:tcPr>
          <w:p>
            <w:pPr>
              <w:spacing w:after="20"/>
            </w:pPr>
            <w:r/>
            <w:r>
              <w:rPr>
                <w:b w:val="0"/>
                <w:sz w:val="15"/>
              </w:rPr>
              <w:t>Dopisać skład i rolę komitetu (kierownik zarządzający, kierownik B+R, przedstawiciel PRz),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802/1300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3900/4000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3529/4000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964/1300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3962/4000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1334/2000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1683/2000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1329/2000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1424/2000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1317/2000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