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2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SPECYFIKACJA PRZEDMIOTU OFERTY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</w:rPr>
        <w:t xml:space="preserve">Dostawa i uruchomienie ogólnodostępnych stacji ładowania DC dla pojazdów ciężarowych (6 szt.) wraz z oprogramowaniem i systemem monitorowania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Wykonawca: </w:t>
      </w:r>
      <w:r>
        <w:rPr>
          <w:rFonts w:ascii="Calibri" w:cs="Calibri" w:eastAsia="Calibri" w:hAnsi="Calibri"/>
          <w:highlight w:val="yellow"/>
        </w:rPr>
        <w:t xml:space="preserve">[nazwa Wykonawcy]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</w:rPr>
        <w:t xml:space="preserve">Sposób wypełnienia.</w:t>
      </w:r>
      <w:r>
        <w:rPr>
          <w:rFonts w:ascii="Calibri" w:cs="Calibri" w:eastAsia="Calibri" w:hAnsi="Calibri"/>
        </w:rPr>
        <w:t xml:space="preserve"> W kolumnie 4 Wykonawca wpisuje konkretne wartości oferowanych parametrów (liczby, jednostki, nazwy, normy). Wpisanie samego „zgodnie" lub „tak" jest wystarczające wyłącznie tam, gdzie wymaganie ma charakter opisowy (tak/nie); tam, gdzie wymagana jest wartość lub opis, należy ją podać. W kolumnie 5 Wykonawca wskazuje dokument potwierdzający (nazwa, numer strony w ofercie). Kolumna 3 zawiera wymagania minimalne wynikające z zapytania ofertowego; zaoferowanie wartości gorszych niż wymagane skutkuje odrzuceniem oferty, chyba że Wykonawca wykaże równoważność rozwiązania (wiersz F).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5100"/>
        <w:gridCol w:w="3700"/>
        <w:gridCol w:w="247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Lp.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Parametr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Wymaganie Zamawiającego (minimalne)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Oferowane parametry (wypełnia Wykonawca)</w:t>
            </w: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Dokument potwierdzający (nazwa, strona oferty)</w:t>
            </w: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A. Dane ogólne i architektura (pkt 2, 3.1, 3.2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Producent i modele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producenta i modele: terminali ładowania, jednostek przekształtnikowych, systemu OCPP/billing, systemu monitorowania.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Producent ładowarek – warunek z pkt 12 ppkt 2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Ładowarki pochodzą od producenta, który w okresie 3 lat poprzedzających upływ terminu składania ofert dostarczył i uruchomił łącznie co najmniej 100 stacjonarnych punktów ładowania DC o mocy ≥ 360 kW, co najmniej 5 niezależnym odbiorcom (w tym co najmniej jedna dostawa dla producenta pojazdów). Wykonawca dołącza oświadczenie producenta wraz z wykazem dostaw.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 fabryczny i data produkcji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Urządzenia fabrycznie nowe, nieużywane, wyprodukowane nie wcześniej niż 24 miesiące przed montażem. Wykonawca podaje datę produkcji.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Architektura systemu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 architektury technologicznej wraz ze schematem technologicznym. Preferowane: 3 jednostki przekształtnikowe 720 kW + 6 terminali 360 kW (każda jednostka współpracuje z dwoma terminalami); dopuszczone rozwiązania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stacji ładowania (terminali)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szt., każda przypisana do odrębnego miejsca postojowego.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ładowania na stację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punkt ładowania na każdą stację (łącznie 6 niezależnych punktów).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 znamionowa punktu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360 kW, prąd stały (DC).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Złącza i obsługiwane pojazdy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CCS2 / Combo 2 zgodne z normą EN 62196-3:2014; rozwiązania odpowiednie do obsługi pojazdów kat. N2/N3.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przewodów ładowania na terminal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1; preferowane 2 (drugi jako rezerwowy). W danej chwili ładować może wyłącznie jeden przewód z mocą wymaganą dla punktu; drugi przewód nie zwiększa liczby punktów.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Długość użytkowa przewodów ładowania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5 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Jednostki przekształtnikowe – liczba i moc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Wg oferowanej architektury (preferowane: 3 × 720 kW). Wykonawca podaje liczbę, moc i sposób współpracy z terminalami.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niezależnego rozmieszczenia jednostek przekształtnikowych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Preferowana. Wykonawca podaje TAK/NIE oraz maksymalną odległość jednostki od terminala.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i przechowywania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Temperatura pracy od −30°C do +50°C; temperatura przechowywania od −40°C do +70°C (parametry wg wniosku o dofinansowanie).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normami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61851-1, IEC 61851-23, IEC 61851-24, oznakowanie CE oraz inne wynikające z przepisów. Wykonawca podaje wykaz zastosowanych norm.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B. Parametry elektryczne i zarządzanie mocą (pkt 3.3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zasilania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Zasilanie z sieci nN (400 V AC, 50 Hz). Wykonawca podaje dopuszczalny zakres.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Zakres napięcia wyjściowego DC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prąd wyjściowy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Sprawność urządzeń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(przy mocy znamionowej).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Współczynnik mocy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pobór mocy AC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(dla pojedynczego terminala i dla całego układu 6 punktów), z uwzględnieniem poboru mocy na potrzeby własne.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Chłodzenie, zabezpieczenia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wymagania dotyczące chłodzenia i zabezpieczeń.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Warunki pracy przy obciążeniu maksymalnym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Zarządzanie mocą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ograniczania mocy przy ograniczeniu mocy dostępnej po stronie AC oraz współpracę z infrastrukturą zasilającą (Zamówienie nr 3). Każdy punkt, w którym ładowany jest pojazd, musi być zdolny do pracy z mocą co najmniej 360 kW.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Liczba punktów mogących pracować jednocześnie z mocą ≥ 360 kW przy mocy przyłączeniowej 2,2 MW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liczbę. Do oferty dołącza bilans mocy dla pełnego obciążenia 6 × 360 kW DC.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C. OCPP, billing i płatności (pkt 5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Komunikacja OCPP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OCPP 1.6-J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operatorski, zdalne zarządzanie i raportowanie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umożliwiający monitoring i zarządzanie punktami, zdalne zarządzanie oraz raportowanie.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Billing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Wymagany. Wykonawca opisuje.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Obsługa płatności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Płatność doraźna kartą debetową lub kredytową (w tym zbliżeniowo), bez konieczności wcześniejszej rejestracji użytkownika; prezentacja ceny za kWh przed rozpoczęciem sesji.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Dane o dostępności, stanie i cenie punktów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Przekazywanie danych w formacie umożliwiającym ich udostępnianie zgodnie z obowiązującymi przepisami (w tym do krajowego punktu dostępowego).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Integracja z systemami zewnętrznymi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integracji; otwarte interfejsy (np. OCPP, API). Wykonanie integracji z nadrzędnym systemem zarządzania energią Zamawiającego nie jest przedmiotem zamówienia.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Zmiana platformy operatorskiej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Możliwość zmiany platformy operatorskiej przez Zamawiającego bez konieczności wymiany urządzeń.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 System monitorowania i zarządzania danymi dla obwodów zasilających punkty ładowania (pkt 4 zapytania – opis przedmiotu zamówienia; dopuszczone rozwiązania równoważne)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Miejsce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Strona nN transformatora SN/nN, wspólny punkt zasilania rozdzielnicy ładowarek.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Tory pomiarowe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Jednoczesny pomiar napięć i prądów trzech faz oraz przewodu neutralnego.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Mierzone wielkości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Wartości skuteczne napięć i prądów, częstotliwość, moc czynna, bierna i pozorna, współczynnik mocy, energia czynna i bierna, asymetria, wskaźniki wahań napięcia.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pomiarowa i normy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IEC 61000-4-30 klasa A (lub równoważna); harmoniczne wg IEC 61000-4-7, wahania napięcia wg IEC 61000-4-15. Wykonawca wskazuje zastosowane wydania norm i zakres zgodności.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Harmoniczne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Rzędy od 2. do co najmniej 50., osobno dla każdej fazy i przewodu neutralnego: wartości bezwzględne, udziały procentowe względem składowej podstawowej, kąty fazowe, wskaźniki łącznego odkształcenia.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Kierunek przepływu mocy składowych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Wartość i znak mocy czynnej składowych z rozróżnieniem kierunku (od transformatora do ładowarek i przeciwnie); widma i zmiany w czasie.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Zaburzenia wysokoczęstotliwościowe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Pomiar i rejestracja w zakresie od 2 kHz do co najmniej 148 kHz; widmo, zmiany w czasie, przekroczenia konfigurowalnych progów; pasmo obejmuje cały tor pomiarowy; analogowe filtry antyaliasingowe. Wykonawca dokumentuje metodę pomiaru, podział na pasma, sposób agregacji i niepewność.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Przepięcia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Osobny tor pomiarowy; wyzwalanie poziomem chwilowym napięcia oraz gwałtowną zmianą napięcia; rozdzielczość czasowa: tryb szybki – 200 µs lub lepsza, tryb ultra-szybki – 40 µs lub lepsza.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Rejestracja zdarzeń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Zapady, wzrosty i przerwy napięcia, szybkie zmiany napięcia, krótkotrwałe przepięcia; zapis przebiegów napięć i prądów przed zdarzeniem, w jego trakcie i po nim.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Wejścia binarne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 wejść do rejestracji stanów łączników i sygnałów zadziałania zabezpieczeń, ze znacznikami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znaczników czasu i synchronizacja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Dokładność znakowania zdarzeń nie gorsza niż 3 ms; synchronizacja czasu.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Alarmowanie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Indywidualne alarmy dla wszystkich parametrów EN 50160; powiadomienie personelu e-mailem generowanym w warstwie centralnej.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Ciągłość pomiaru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Ciągły monitoring oraz okresowy zapis wartości agregowanych niezależnie od alarmów; rejestracja zdarzeń nie przerywa pomiaru; zasilanie umożliwiające rejestrację zaniku napięcia i zachowanie danych zdarzenia.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i uzupełnianie danych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Lokalne buforowanie danych podczas utraty łączności i automatyczne uzupełnianie archiwum centralnego po jej przywróceniu. Wykonawca podaje pojemność bufora (czas buforowania).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centralny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Automatyczne pobieranie i archiwizacja wyników, widm, zdarzeń i stanów wejść binarnych; przeglądanie na wspólnej osi czasu; definiowanie progów alarmowych; wyszukiwanie przekroczeń; raporty; eksport danych; kierunkowa analiza mocy składowych; pasmo do co najmniej 148 kHz. Wykonawca podaje okres archiwizacji danych.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Cyberbezpieczeństwo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 do elementu pomiarowego wyłącznie przez warstwę centralną; ochrona warstwy centralnej przed atakami DDoS; adresy infrastruktury warstwy centralnej niedostępne bezpośrednio z Internetu; pośrednicząca platforma bezpieczeństwa dostępowego (np. Secure Access Edge / Reverse Proxy lub rozwiązanie równoważne).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klasy 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Certyfikat badania typu potwierdzający zgodność z IEC 61000-4-30 klasa A wg IEC 62586-2:2017 (wyd. 2.0), wydany przez laboratorium akredytowane zrzeszone w BIPM/CIPM MRA, lub równoważny dokument (np. raport z badań niezależnego laboratorium akredytowanego).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Klasa FI1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Zgodność z klasą FI1 wg IEC 62586-1:2017 (wyd. 2.0) lub rozwiązanie równoważne.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Kompletność dostawy i odpowiedzialność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Element pomiarowy i system centralny stanowią kompletny, wzajemnie kompatybilny system; odpowiedzialność Wykonawcy za dostawę i działanie całości; dostawa wszystkich modułów, czujników, interfejsów i licencji; dokumentacja potwierdzająca wymagane pasmo i parametry kompletnego toru pomiarowego.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E. Gwarancja i serwis (pkt 10 zapytania)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Gwarancja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najmniej 60 miesięcy na pełen zakres przedmiotu zamówienia, w tym: stacje ładowania, jednostki przekształtnikowe, przewody i złącza CCS2, systemy sterowania, elementy komunikacyjne, System monitorowania i zarządzania danymi, oprogramowanie niezbędne do funkcjonowania systemu.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reakcji zdalnej i serwisowej na miejscu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Maksymalny czas usunięcia awarii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(w godzinach / dniach roboczych).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Dostępność części zamiennych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podaje okres dostępności.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Przeglądy i aktualizacje oprogramowania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sposób realizacji przeglądów i zasady aktualizacji oprogramowania.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Utrzymanie systemu po zakończeniu gwarancji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Wykonawca opisuje warunki.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  <w:tr>
        <w:tc>
          <w:tcPr>
            <w:tcW w:type="dxa" w:w="1457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F. Rozwiązania równoważne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Rozwiązania równoważne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Zamawiający dopuszcza rozwiązania równoważne pod względem funkcjonalnym i technicznym. W razie zaoferowania rozwiązania równoważnego Wykonawca wskazuje, którego wymagania dotyczy, opisuje rozwiązanie i wykazuje równoważność (karty katalogowe, certyfikaty, raporty z badań).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  <w:tc>
          <w:tcPr>
            <w:tcW w:type="dxa" w:w="24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</w:p>
        </w:tc>
      </w:tr>
    </w:tbl>
    <w:p>
      <w:pPr>
        <w:spacing w:after="120" w:before="160" w:line="276"/>
        <w:jc w:val="left"/>
      </w:pPr>
      <w:r>
        <w:rPr>
          <w:rFonts w:ascii="Calibri" w:cs="Calibri" w:eastAsia="Calibri" w:hAnsi="Calibri"/>
        </w:rPr>
        <w:t xml:space="preserve">Wykonawca oświadcza, że powyższe dane są zgodne ze stanem faktycznym.</w:t>
      </w:r>
    </w:p>
    <w:p>
      <w:pPr>
        <w:spacing w:after="0" w:before="24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               podpis osoby uprawnionej do reprezentacji Wykonawcy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2 – Specyfikacja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2026-10-20T15:14:17.659Z</dcterms:created>
  <dcterms:modified xsi:type="dcterms:W3CDTF">2026-10-20T15:14:17.659Z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