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Wniosek mówi o przeniesieniu „nie później niż 12 miesięcy po zakończeniu projektu” (04.2030), a sprzedaż rusza w 01.2030. Do czasu przeniesienia Everest11 nie ma 100% praw.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Umowa konsorcjum (§ 11 ust. 7-11) już daje mechanizm bez zmian w umowie: prawo pierwszeństwa Lidera (oświadczenie do 120 dni, czyli do 28.08.2029), wycena eksperta, 7 dni na zastrzeżenia. Wniosek podaje plan: przeniesienie do 30.11.2029, przed sprzedażą, i zapis, że do tego czasu Everest11 nie sprzedaje produktu opartego na wynikach PRz.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Dokumenty wskazane przez wyszukiwarkę: do sprawdzenia, niezweryfikowane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[2254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Zgodnie z § 11 umowy konsorcjum prawa przysługują stronom proporcjonalnie do wkładu, a Everest11 jako lider ma prawo pierwszeństwa do przeniesienia na siebie praw PRz za wynagrodzeniem rynkowym, ustalonym przez niezależnego eksperta w postępowaniu nadzorowanym przez Radę Konsorcjum. Prawa autorskie pracowników PRz przechodzą na PRz z mocy art. 12 ustawy o prawie autorskim, a prawa podwykonawców przenosimy umowami na zlecającego. Oświadczenie o skorzystaniu z prawa pierwszeństwa Lider składa w ciągu 120 dni od odbioru wyników, najpóźniej do 28.08.2029, a przeniesienie planujemy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Everest11 nie sprzedaje produktu opartego na wynikach PRz.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(07.05.2026) i oceniliśmy patenty osobno dla każdego elementu systemu: model 3D z kamer głębi w naczepie, predykcja ryzyka uszkodzenia ładunku, wizyjna ocena zabezpieczeń i dokument eFTI. Żaden ze zidentyfikowanych patentów nie obejmuje kombinacji funkcji CargoDT ani żadnego z tych elementów w zakresie, który blokowałby wdrożenie.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rodziny: status i państwa</w:t>
      </w:r>
      <w:r>
        <w:rPr>
          <w:b w:val="0"/>
        </w:rPr>
        <w:t xml:space="preserve">. Najbliższy patent (US 11,151,506 B2) różni się czujnikami (LiDAR zamiast kamer głębi), środowiskiem i funkcją, co opisujemy poniżej </w:t>
      </w:r>
      <w:r>
        <w:rPr>
          <w:b w:val="0"/>
          <w:highlight w:val="yellow"/>
        </w:rPr>
        <w:t>status prawny i terytorium</w:t>
      </w:r>
      <w:r>
        <w:rPr>
          <w:b w:val="0"/>
        </w:rPr>
        <w:t>. Ewentualną kolizję, którą wykazałby późniejszy przegląd patentowy, usuniemy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[2221 znaków]</w:t>
      </w:r>
    </w:p>
    <w:p>
      <w:pPr>
        <w:spacing w:after="60"/>
      </w:pPr>
      <w:r>
        <w:rPr>
          <w:b w:val="0"/>
        </w:rPr>
        <w:t xml:space="preserve"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Status prawny i terytorium podano według </w:t>
      </w:r>
      <w:r>
        <w:rPr>
          <w:b w:val="0"/>
          <w:highlight w:val="yellow"/>
        </w:rPr>
        <w:t>Espacenet i Google Patents, data odczytu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 xml:space="preserve">US 11,151,506 B2 (Amazon Technologies, 2021): monitorowanie wnętrza kontenera czujnikami LiDAR 3D i kamerami wideo </w:t>
      </w:r>
      <w:r>
        <w:rPr>
          <w:b w:val="0"/>
          <w:highlight w:val="yellow"/>
        </w:rPr>
        <w:t>status prawny; rodzina EP i PL</w:t>
      </w:r>
      <w:r>
        <w:rPr>
          <w:b w:val="0"/>
        </w:rPr>
        <w:t>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 xml:space="preserve">US 20130342653 A1 (Honeywell, 2013) i US 7,468,660 B2: detekcja ładunku czujnikami w kontenerze lub przy bramach logistycznych </w:t>
      </w:r>
      <w:r>
        <w:rPr>
          <w:b w:val="0"/>
          <w:highlight w:val="yellow"/>
        </w:rPr>
        <w:t>status prawny i terytorium obu dokumentów</w:t>
      </w:r>
      <w:r>
        <w:rPr>
          <w:b w:val="0"/>
        </w:rPr>
        <w:t>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 xml:space="preserve">US 9,965,939 B1 (Sensitech): monitorowanie drgań metodą progową, bez modelu ML, bez klas ładunku i kumulacji narażenia </w:t>
      </w:r>
      <w:r>
        <w:rPr>
          <w:b w:val="0"/>
          <w:highlight w:val="yellow"/>
        </w:rPr>
        <w:t>status prawny i terytorium</w:t>
      </w:r>
      <w:r>
        <w:rPr>
          <w:b w:val="0"/>
        </w:rPr>
        <w:t xml:space="preserve">. US 11,685,400 B2 (Mobileye): predykcja wypadnięcia ładunku z innego pojazdu na podstawie zewnętrznej kamery, bez monitoringu wnętrza naczepy i predykcji z sygnałów in-transit </w:t>
      </w:r>
      <w:r>
        <w:rPr>
          <w:b w:val="0"/>
          <w:highlight w:val="yellow"/>
        </w:rPr>
        <w:t>status prawny i terytorium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[2793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Przeniesienie praw PRz przebiega według § 11 umowy konsorcjum. Lider ma prawo pierwszeństwa do zawarcia umowy przeniesienia praw majątkowych PRz do wyników i składa oświadczenie o skorzystaniu z niego w ciągu 120 dni od otrzymania wyników i zakończenia projektu (04/2029), czyli najpóźniej do 28.08.2029. PRz ma 7 dni na zastrzeżenia do wyceny, a przy sporze Rada Konsorcjum może powołać drugiego eksperta i wtedy przyjmuje się średnią obu wycen. Plan Lidera: oświadczenie po odbiorze wyników zadania Z8 (04/2029), wybór eksperta w trakcie Z8, wycena do 10/2029 i umowa przeniesienia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strony wykonują wspólne prawa na podstawie umowy o wykonywaniu wspólnych praw (§ 11 ust. 5), a Everest11 nie sprzedaje produktu opartego na wynikach PRz.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Harmonogram wynika z § 11 umowy konsorcjum: oświadczenie Lidera w ciągu 120 dni od otrzymania wyników i zakończenia projektu (najpóźniej 28.08.2029), wycena niezależnego eksperta, 7 dni na zastrzeżenia PRz, ewentualnie drugi ekspert i średnia wycen. W najgorszym wariancie (druga wycena) przeniesienie mieści się w 12.2029. Sprzedaż od 01.2030 jest bezpieczna, jeśli Lider składa oświadczenie wcześniej niż w ostatnim dniu terminu.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[1475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 xml:space="preserve">Skalowanie 2030-2034. Liczba instalacji zestawów wynika z modelu finansowego: 50 (2030), 79 (2031), 135 (2032), 270 (2033), 540 (2034). Przy </w:t>
      </w:r>
      <w:r>
        <w:rPr>
          <w:b w:val="0"/>
          <w:highlight w:val="yellow"/>
        </w:rPr>
        <w:t>3 h</w:t>
      </w:r>
      <w:r>
        <w:rPr>
          <w:b w:val="0"/>
        </w:rPr>
        <w:t xml:space="preserve"> na montaż i uruchomienie jednej naczepy daje to od 150 h w 2030 r. do 1 620 h w 2034 r., czyli </w:t>
      </w:r>
      <w:r>
        <w:rPr>
          <w:b w:val="0"/>
          <w:highlight w:val="yellow"/>
        </w:rPr>
        <w:t>0,1 etatu</w:t>
      </w:r>
      <w:r>
        <w:rPr>
          <w:b w:val="0"/>
        </w:rPr>
        <w:t xml:space="preserve"> w 2030 r. i </w:t>
      </w:r>
      <w:r>
        <w:rPr>
          <w:b w:val="0"/>
          <w:highlight w:val="yellow"/>
        </w:rPr>
        <w:t>1,0 etatu</w:t>
      </w:r>
      <w:r>
        <w:rPr>
          <w:b w:val="0"/>
        </w:rPr>
        <w:t xml:space="preserve"> w 2034 r. Montaż prowadzi Stanisław Kozioł, a drugiego technika instalatora zatrudnimy w 2033 r. (810 h), przed wzrostem do 540 instalacji. Wsparcie techniczne: przy </w:t>
      </w:r>
      <w:r>
        <w:rPr>
          <w:b w:val="0"/>
          <w:highlight w:val="yellow"/>
        </w:rPr>
        <w:t>0,3 h</w:t>
      </w:r>
      <w:r>
        <w:rPr>
          <w:b w:val="0"/>
        </w:rPr>
        <w:t xml:space="preserve"> na pojazd miesięcznie obsługa 125 pojazdów w 2031 r. wymaga </w:t>
      </w:r>
      <w:r>
        <w:rPr>
          <w:b w:val="0"/>
          <w:highlight w:val="yellow"/>
        </w:rPr>
        <w:t>450 h</w:t>
      </w:r>
      <w:r>
        <w:rPr>
          <w:b w:val="0"/>
        </w:rPr>
        <w:t xml:space="preserve"> rocznie, a 1 000 pojazdów w 2034 r. </w:t>
      </w:r>
      <w:r>
        <w:rPr>
          <w:b w:val="0"/>
          <w:highlight w:val="yellow"/>
        </w:rPr>
        <w:t>3 600 h</w:t>
      </w:r>
      <w:r>
        <w:rPr>
          <w:b w:val="0"/>
        </w:rPr>
        <w:t xml:space="preserve">, czyli </w:t>
      </w:r>
      <w:r>
        <w:rPr>
          <w:b w:val="0"/>
          <w:highlight w:val="yellow"/>
        </w:rPr>
        <w:t>2,3 etatu</w:t>
      </w:r>
      <w:r>
        <w:rPr>
          <w:b w:val="0"/>
        </w:rPr>
        <w:t xml:space="preserve">. Zespół wsparcia rośnie wraz z liczbą pojazdów: pierwszy etat w 2031 r., drugi w 2033 r. i trzeci w 2034 r. </w:t>
      </w:r>
      <w:r>
        <w:rPr>
          <w:b w:val="0"/>
          <w:highlight w:val="yellow"/>
        </w:rPr>
        <w:t>potwierdzić z modelem kosztów</w:t>
      </w:r>
      <w:r>
        <w:rPr>
          <w:b w:val="0"/>
        </w:rPr>
        <w:t>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[1438 znaków]</w:t>
      </w:r>
    </w:p>
    <w:p>
      <w:pPr>
        <w:spacing w:after="60"/>
      </w:pPr>
      <w:r>
        <w:rPr>
          <w:b w:val="0"/>
        </w:rPr>
        <w:t xml:space="preserve">Infrastruktura IT. Everest11 posiada własny system TMS jako platformę integracji CargoDT oraz środowisko chmurowe (AWS lub Azure) dla platformy SaaS i API. Szacunek zasobów dla 1 000 pojazdów w 2034 r.: </w:t>
      </w:r>
      <w:r>
        <w:rPr>
          <w:b w:val="0"/>
          <w:highlight w:val="yellow"/>
        </w:rPr>
        <w:t>2 dokumenty PoL i PoC na dobę po 20 MB, razem 40 MB na pojazd na dobę, czyli 40 GB na dobę i ok. 15 TB rocznie, przechowywanie 24 miesiące, ok. 29 TB</w:t>
      </w:r>
      <w:r>
        <w:rPr>
          <w:b w:val="0"/>
        </w:rPr>
        <w:t xml:space="preserve">, baza zdarzeń i telemetrii </w:t>
      </w:r>
      <w:r>
        <w:rPr>
          <w:b w:val="0"/>
          <w:highlight w:val="yellow"/>
        </w:rPr>
        <w:t>ok. 2 TB rocznie</w:t>
      </w:r>
      <w:r>
        <w:rPr>
          <w:b w:val="0"/>
        </w:rPr>
        <w:t xml:space="preserve">, dwie instancje aplikacyjne i jedna rezerwowa o parametrach </w:t>
      </w:r>
      <w:r>
        <w:rPr>
          <w:b w:val="0"/>
          <w:highlight w:val="yellow"/>
        </w:rPr>
        <w:t>8 vCPU, 32 GB RAM</w:t>
      </w:r>
      <w:r>
        <w:rPr>
          <w:b w:val="0"/>
        </w:rPr>
        <w:t xml:space="preserve">. Zasoby rosną automatycznie z liczbą pojazdów, a koszt jest ujęty w kosztach operacyjnych modelu finansowego </w:t>
      </w:r>
      <w:r>
        <w:rPr>
          <w:b w:val="0"/>
          <w:highlight w:val="yellow"/>
        </w:rPr>
        <w:t>sprawdzić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Produkcja i serwis zestawów. Zestawy retrofit kompletuje i testuje </w:t>
      </w:r>
      <w:r>
        <w:rPr>
          <w:b w:val="0"/>
          <w:highlight w:val="yellow"/>
        </w:rPr>
        <w:t>podmiot, miejscowość, na podstawie oferty lub umowy</w:t>
      </w:r>
      <w:r>
        <w:rPr>
          <w:b w:val="0"/>
        </w:rPr>
        <w:t xml:space="preserve">; Everest11 prowadzi nadzór jakości, montaż u klienta i serwis. Stanowisko testowe i magazyn zestawów znajdują się w biurze w Warszawie </w:t>
      </w:r>
      <w:r>
        <w:rPr>
          <w:b w:val="0"/>
          <w:highlight w:val="yellow"/>
        </w:rPr>
        <w:t>powierzchnia</w:t>
      </w:r>
      <w:r>
        <w:rPr>
          <w:b w:val="0"/>
        </w:rPr>
        <w:t>. Seria pierwszych zestawów dla 50 pojazdów powstaje w 2029 r. po certyfikacji CE.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[1363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 okresie 05-10/2029, a koszt </w:t>
      </w:r>
      <w:r>
        <w:rPr>
          <w:b w:val="0"/>
          <w:highlight w:val="yellow"/>
        </w:rPr>
        <w:t>kwota</w:t>
      </w:r>
      <w:r>
        <w:rPr>
          <w:b w:val="0"/>
        </w:rPr>
        <w:t xml:space="preserve"> i pierwszej serii zestawów </w:t>
      </w:r>
      <w:r>
        <w:rPr>
          <w:b w:val="0"/>
          <w:highlight w:val="yellow"/>
        </w:rPr>
        <w:t>kwota</w:t>
      </w:r>
      <w:r>
        <w:rPr>
          <w:b w:val="0"/>
        </w:rPr>
        <w:t xml:space="preserve"> pokrywa kapitał własny Lidera (wkład inwestora potwierdzony zobowiązaniem).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30.11.2029 (§ 11 umowy konsorcjum).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Prawa PRz (D36):</w:t>
      </w:r>
      <w:r>
        <w:rPr>
          <w:b w:val="0"/>
        </w:rPr>
        <w:t xml:space="preserve"> rozstrzygnięte na podstawie § 11 umowy konsorcjum, bez zmian w umowie. Zostaje potwierdzenie z PRz harmonogramu: oświadczenie po odbiorze Z8, wycena do 10/2029, przeniesienie do 30.11.2029.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nie będzie zlecana. W tekście 3.1 nie ma już zdania o jej wykonaniu.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