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CargoDT, FENG SMART: opisy zadań B+R z kamieniami milowymi</w:t>
      </w:r>
    </w:p>
    <w:p>
      <w:r>
        <w:rPr>
          <w:color w:val="666666"/>
          <w:sz w:val="20"/>
        </w:rPr>
        <w:t>Wersja do wklejenia do wniosku w LSI (korekta po panelu, termin 06.10.2026)</w:t>
      </w:r>
    </w:p>
    <w:p>
      <w:pPr>
        <w:pStyle w:val="Heading2"/>
      </w:pPr>
      <w:r>
        <w:t>Jak korzystać z dokumentu</w:t>
      </w:r>
    </w:p>
    <w:p>
      <w:pPr>
        <w:spacing w:after="60"/>
      </w:pPr>
      <w:r>
        <w:rPr>
          <w:b w:val="0"/>
        </w:rPr>
        <w:t>Dla każdego z dziewięciu zadań B+R podano pola wniosku w kolejności z Instrukcji: zakres planowanych prac, szczegółowy opis wraz z uzasadnieniem i metodą, a bezpośrednio pod nimi kamień milowy tego zadania (nazwa, parametry, sposób weryfikacji, wpływ nieosiągnięcia). Tekst każdego pola jest gotowy do wklejenia. Przy nazwie pola podano liczbę znaków i limit z Instrukcji.</w:t>
      </w:r>
    </w:p>
    <w:p>
      <w:pPr>
        <w:spacing w:after="60"/>
      </w:pPr>
      <w:r>
        <w:rPr>
          <w:b w:val="0"/>
        </w:rPr>
        <w:t>Żółte tło oznacza wartość liczbową albo termin, które zespół techniczny musi potwierdzić przed wklejeniem (w LSI podświetlenie trzeba usunąć). Gwiazdka przy kamerach oznacza otwartą kwestię konfiguracji kamer (typ i liczba), do rozstrzygnięcia z działem technicznym. Nazwy zadań są takie jak w obecnym wniosku, bo muszą zgadzać się z nazwami w budżecie.</w:t>
      </w:r>
    </w:p>
    <w:p>
      <w:pPr>
        <w:spacing w:after="60"/>
      </w:pPr>
      <w:r>
        <w:rPr>
          <w:b w:val="0"/>
        </w:rPr>
        <w:t>Parametry kamieni milowych podano w jednostkach SI (m, s, Hz, m/s2, °C, lx, m3). Wielkości bez jednostki SI (AUC-ROC, mAP, F1, współczynnik kappa, udziały procentowe) opisano jako bezwymiarowe i dla każdej podano wartość odniesienia 100% albo 1,0, zgodnie z Instrukcją, która dopuszcza taki zapis wyjątkowo. Wydajność w operacjach na sekundę podano w SI, a skrót branżowy TOPS tylko w nawiasie.</w:t>
      </w:r>
    </w:p>
    <w:p>
      <w:r>
        <w:br w:type="page"/>
      </w:r>
    </w:p>
    <w:p>
      <w:pPr>
        <w:pStyle w:val="Heading1"/>
      </w:pPr>
      <w:r>
        <w:t>Zadanie 1</w:t>
      </w:r>
    </w:p>
    <w:p>
      <w:r>
        <w:rPr>
          <w:b/>
        </w:rPr>
        <w:t>1. Badania przemysłowe: SOTA i architektura systemu percepcji 3D (Z1)</w:t>
      </w:r>
    </w:p>
    <w:p>
      <w:r>
        <w:rPr>
          <w:color w:val="666666"/>
        </w:rPr>
        <w:t>Politechnika Rzeszowska, badania przemysłowe, od 01.11.2026 do 31.07.2027 (M1-M9)</w:t>
      </w:r>
    </w:p>
    <w:p>
      <w:pPr>
        <w:keepNext/>
        <w:spacing w:before="160" w:after="40"/>
      </w:pPr>
      <w:r>
        <w:rPr>
          <w:b/>
          <w:sz w:val="20"/>
        </w:rPr>
        <w:t>Zakres planowanych prac B+R</w:t>
      </w:r>
      <w:r>
        <w:rPr>
          <w:color w:val="666666"/>
          <w:sz w:val="17"/>
        </w:rPr>
        <w:t xml:space="preserve"> [3924 z 4000 znaków]</w:t>
      </w:r>
    </w:p>
    <w:p>
      <w:pPr>
        <w:spacing w:after="60"/>
      </w:pPr>
      <w:r>
        <w:rPr>
          <w:b w:val="0"/>
        </w:rPr>
        <w:t>Omawiane zadanie stanowi odpowiedź na pierwszy problem badawczy zdefiniowany w celach projektu, polegający na określeniu czynników wpływających na błąd pomiaru głębi w kamerach ToF*. Obecnie brakuje wiedzy o tym, jak na ww. błąd oddziałuje liczba równocześnie działających kamer, geometria zamkniętej i metalowej naczepy (o wymiarach 13,6 m, 2,4 m, 2,7 m) oraz współczynnik odbicia światła przez przewożony ładunek. Dotychczasowe publikacje naukowe dotyczące interferencji wielokamerowych (MCI) oraz wielościeżkowych (MPI) koncentrują się głównie na przestrzeniach otwartych lub warunkach laboratoryjnych i wykorzystują zazwyczaj układ maksymalnie trzech kamer (Volak i in., 2020; Li i in., 2015; Pribanic i in., 2020; Naik i in., 2015).</w:t>
      </w:r>
    </w:p>
    <w:p>
      <w:pPr>
        <w:spacing w:after="60"/>
      </w:pPr>
      <w:r>
        <w:rPr>
          <w:b w:val="0"/>
        </w:rPr>
        <w:t>W wyniku realizacji zadania powstanie nowa wiedza w trzech obszarach:</w:t>
      </w:r>
    </w:p>
    <w:p>
      <w:pPr>
        <w:spacing w:after="60"/>
      </w:pPr>
      <w:r>
        <w:rPr>
          <w:b w:val="0"/>
        </w:rPr>
        <w:t>1. ilościowy model spadku dokładności głębi (błąd średniokwadratowy RMSE) w zależności od liczby kamer od 1 do 4, odległości od metalowej ściany, trybu pracy kamery i rodzaju optycznego ładunku;</w:t>
      </w:r>
    </w:p>
    <w:p>
      <w:pPr>
        <w:spacing w:after="60"/>
      </w:pPr>
      <w:r>
        <w:rPr>
          <w:b w:val="0"/>
        </w:rPr>
        <w:t>2. rozstrzygnięcie, czy znane metody ograniczania MCI wystarczą w tym środowisku, czy potrzebny jest algorytm adaptacyjny, który powstanie w zadaniu Z5;</w:t>
      </w:r>
    </w:p>
    <w:p>
      <w:pPr>
        <w:spacing w:after="60"/>
      </w:pPr>
      <w:r>
        <w:rPr>
          <w:b w:val="0"/>
        </w:rPr>
        <w:t>3. konfiguracja sensorów, która jednocześnie spełnia cztery wymagania: zasięg od 0,3 do 5 m, pracę bez oświetlenia, drgania zgodne z ISO 8608 klasy D oraz temperaturę od -25 do +70 °C. Zgodność zostanie potwierdzona pomiarem, a nie kartą katalogową.</w:t>
      </w:r>
    </w:p>
    <w:p>
      <w:pPr>
        <w:spacing w:after="60"/>
      </w:pPr>
      <w:r>
        <w:rPr>
          <w:b w:val="0"/>
        </w:rPr>
        <w:t>W ramach zadania zrealizowane zostaną badania przemysłowe obejmujące:</w:t>
      </w:r>
    </w:p>
    <w:p>
      <w:pPr>
        <w:spacing w:after="60"/>
      </w:pPr>
      <w:r>
        <w:rPr>
          <w:b w:val="0"/>
        </w:rPr>
        <w:t>1. Badania eksperymentalne wpływu liczby kamer (od 1 do 4), odległości od metalowej ściany, trybu pracy kamery i rodzaju ładunku (folia stretch, karton, stal, drewno) na błąd MCI i MPI, wykonane na stanowisku z panelami metalowymi. Hipotezy badawcze zostaną sformułowane na podstawie analizy literatury i patentów. Badania zostaną wykonane w celu wyznaczenia ilościowego modelu błędu głębi i rozstrzygnięcia tych hipotez.</w:t>
      </w:r>
    </w:p>
    <w:p>
      <w:pPr>
        <w:spacing w:after="60"/>
      </w:pPr>
      <w:r>
        <w:rPr>
          <w:b w:val="0"/>
        </w:rPr>
        <w:t>2. Badania porównawcze modalności w tych samych warunkach: kamer ToF dwóch klas, kamer EO z oświetleniem podczerwonym i światłem strukturalnym oraz radaru mmWave FMCW, w celu wyboru modalności najlepszej w przestrzeni naczepy.</w:t>
      </w:r>
    </w:p>
    <w:p>
      <w:pPr>
        <w:spacing w:after="60"/>
      </w:pPr>
      <w:r>
        <w:rPr>
          <w:b w:val="0"/>
        </w:rPr>
        <w:t>3. Symulacja geometryczna pokrycia kubatury naczepy dla konfiguracji do 4 kamer, w celu wyznaczenia rozmieszczenia kamer o pokryciu co najmniej 95% objętości.</w:t>
      </w:r>
    </w:p>
    <w:p>
      <w:pPr>
        <w:spacing w:after="60"/>
      </w:pPr>
      <w:r>
        <w:rPr>
          <w:b w:val="0"/>
        </w:rPr>
        <w:t>4. Opracowanie specyfikacji architektury wielokamerowej (liczba i rozmieszczenie kamer, interfejsy, wymagania termiczne i wibracyjne) na podstawie wyników badań.</w:t>
      </w:r>
    </w:p>
    <w:p>
      <w:pPr>
        <w:spacing w:after="60"/>
      </w:pPr>
      <w:r>
        <w:rPr>
          <w:b w:val="0"/>
        </w:rPr>
        <w:t>Zadanie będzie realizowane przez zespół PRz: główny specjalista ds. systemów wizyjnych, percepcji 3D i integracji algorytmicznej, w wymiarze 455 godzin, zaprojektuje architekturę i plan eksperymentu oraz przeanalizuje ograniczenia kamer ToF, radaru mmWave i wpływ drgań. Główny specjalista ds. computer vision, rekonstrukcji 3D, kalibracji i analizy sygnałów, w wymiarze 455 godzin, wykona kalibrację kamer i pomiary. Specjalista ds. uczenia maszynowego, selekcji cech i predykcji ryzyka, w wymiarze 124 godzin, wesprze dobór metod analizy, a specjalista ds. modelowania matematycznego, statystyki i walidacji ilościowej, w wymiarze 120 godzin, opracuje plan statystyczny. Młodszy specjalista ds. uczenia maszynowego, przygotowania danych eksperymentalnych i analizy wyników, w wymiarze 80 godzin, wykona przegląd metod i zestawienia. Specjalista ds. danych AI/CV, anotacji i analizy wyników modeli (60 godzin), specjalista ds. przetwarzania danych wielomodalnych i organizacji datasetu (60 godzin) oraz specjalista ds. implementacji AI/CV, automatyzacji eksperymentów i edge AI (84 godziny) zajmą się odpowiednio kontrolą jakości danych, strukturyzacją danych pomiarowych i automatyzacją eksperymentów. Zakres ich prac ma wyłącznie charakter badawczo-rozwojowy i nie obejmuje czynności nadzorczych, kierowniczych ani organizacyjnych.</w:t>
      </w:r>
    </w:p>
    <w:p>
      <w:pPr>
        <w:spacing w:after="60"/>
      </w:pPr>
      <w:r>
        <w:rPr>
          <w:b w:val="0"/>
        </w:rPr>
        <w:t>Wyniki zadania zostaną przekazane do zadania Z2 (specyfikacja sensorów do M6) oraz do zadań Z3 i Z5 (wartość bazowa błędu głębi bez mitygacji).</w:t>
      </w:r>
    </w:p>
    <w:p>
      <w:pPr>
        <w:keepNext/>
        <w:spacing w:before="160" w:after="40"/>
      </w:pPr>
      <w:r>
        <w:rPr>
          <w:b/>
          <w:sz w:val="20"/>
        </w:rPr>
        <w:t>Szczegółowy opis planowanych prac wraz z uzasadnieniem (w tym opis metody badawczej)</w:t>
      </w:r>
      <w:r>
        <w:rPr>
          <w:color w:val="666666"/>
          <w:sz w:val="17"/>
        </w:rPr>
        <w:t xml:space="preserve"> [3876 z 4000 znaków]</w:t>
      </w:r>
    </w:p>
    <w:p>
      <w:pPr>
        <w:spacing w:after="60"/>
      </w:pPr>
      <w:r>
        <w:rPr>
          <w:b w:val="0"/>
        </w:rPr>
        <w:t>Problem badawczy rozwiązywany w zadaniu został zdefiniowany w sekcji Cel projektu i dotyczy braku wiedzy o tym, jak w zamkniętej, metalowej przestrzeni naczepy kamery ToF* wzajemnie zakłócają swoją pracę. Kamery odbierają impulsy podczerwone innych kamer (MCI), a wielokrotne odbicia od metalowych ścian powodują błędy wielościeżkowe (MPI). Opublikowane metody ograniczania tych zakłóceń, takie jak multipleksowanie czasowe, rozdzielenie częstotliwości modulacji czy filtracja obwiedni amplitudy, były sprawdzane w laboratoriach lub w otwartych scenach, przy znanej i stałej geometrii. Nie wiadomo, czy ich wyniki można przenieść na przestrzeń z ładunkami o zmiennym kształcie i refleksyjności. Danych katalogowych producentów nie można w tym celu wykorzystać, ponieważ nie opisują one pracy kilku kamer w metalowej bryle, dlatego rozwiązanie problemu wymaga badań własnych.</w:t>
      </w:r>
    </w:p>
    <w:p>
      <w:pPr>
        <w:spacing w:after="60"/>
      </w:pPr>
      <w:r>
        <w:rPr>
          <w:b w:val="0"/>
        </w:rPr>
        <w:t>W zadaniu zostaną zweryfikowane dwie hipotezy badawcze. Pierwsza (H1) zakłada, że RMSE głębi rośnie wraz z liczbą równocześnie pracujących kamer i maleje wraz z odległością od ściany, a efekt jest większy niż opisywany dla scen otwartych. Druga (H2) zakłada, że istnieje konfiguracja do 4 kamer, w której błąd pozycji ładunku nie przekracza 0,30 m bez osobnego algorytmu mitygacji. Odrzucenie H2 uzasadni prace nad algorytmem adaptacyjnym w zadaniu Z5.</w:t>
      </w:r>
    </w:p>
    <w:p>
      <w:pPr>
        <w:spacing w:after="60"/>
      </w:pPr>
      <w:r>
        <w:rPr>
          <w:b w:val="0"/>
        </w:rPr>
        <w:t xml:space="preserve">Metoda badawcza została dobrana wprost do tak zdefiniowanego problemu. Badania przemysłowe zostaną przeprowadzone w formie eksperymentu kontrolowanego, w którym zmienianymi czynnikami będą: liczba kamer od 1 do 4, trzy odległości od ściany z zakresu od 0,3 do 5 m, co najmniej dwa tryby pracy kamery, cztery klasy optyczne ładunku (folia, karton, stal, drewno) oraz co najmniej pięć powtórzeń w każdym punkcie planu częściowo czynnikowego, łącznie </w:t>
      </w:r>
      <w:r>
        <w:rPr>
          <w:b w:val="0"/>
          <w:highlight w:val="yellow"/>
        </w:rPr>
        <w:t>co najmniej 200 serii</w:t>
      </w:r>
      <w:r>
        <w:rPr>
          <w:b w:val="0"/>
        </w:rPr>
        <w:t>. Zmiennymi wynikowymi będą RMSE głębi względem referencji (płaski cel pomiarowy i dalmierz laserowy), udział pikseli odrzuconych oraz błąd MCI jako różnica względem pracy jednej kamery. Wyniki zostaną opracowane regresją i analizą wariancji z przedziałami ufności 95%, przy czym brak wykrytego efektu również rozstrzyga niepewność badawczą. Ponadto zostaną wykonane badania porównawcze modalności w tych samych warunkach (RMSE, wrażliwość na refleksy w podczerwieni, praca przy 0 lx) oraz symulacja geometryczna, z której wynikną udział pokrytej kubatury i stref martwych dla konfiguracji do 4 kamer.</w:t>
      </w:r>
    </w:p>
    <w:p>
      <w:pPr>
        <w:spacing w:after="60"/>
      </w:pPr>
      <w:r>
        <w:rPr>
          <w:b w:val="0"/>
        </w:rPr>
        <w:t>Zasoby zaplanowane w zadaniu wynikają z planu badań. Cztery kamery ToF pierwszego typu* odtworzą konfigurację czterokamerową, trzy kamery drugiego typu* (klasa przemysłowa) pozwolą powtórzyć pomiary dla od 1 do 3 kamer, a po 3 egzemplarze kamer EO i radarów pozwolą ocenić rozrzut między egzemplarzami.</w:t>
      </w:r>
    </w:p>
    <w:p>
      <w:pPr>
        <w:spacing w:after="60"/>
      </w:pPr>
      <w:r>
        <w:rPr>
          <w:b w:val="0"/>
        </w:rPr>
        <w:t>Wybór metody jest uzasadniony czterema względami. Eksperyment kontrolowany z referencją i powtórzeniami jest jedynym sposobem rozdzielenia wpływu MCI, MPI i cech ładunku, dlatego metoda jest celowa i skuteczna. Przedziały ufności i powtórzenia pozwalają odtworzyć wynik, co zapewnia niezawodność. To samo stanowisko zostanie wykorzystane w zadaniach Z3 i Z5, a sprzęt jest kupowany w liczbie wynikającej z planu pomiarów, co zapewnia ekonomiczność.</w:t>
      </w:r>
    </w:p>
    <w:p>
      <w:pPr>
        <w:spacing w:after="60"/>
      </w:pPr>
      <w:r>
        <w:rPr>
          <w:b w:val="0"/>
        </w:rPr>
        <w:t>Zadanie ma charakter badań przemysłowych, ponieważ dostarcza nowej wiedzy potrzebnej do opracowania produktu, czyli modelu degradacji dokładności oraz rozstrzygnięcia hipotez H1 i H2. Stanowisko pomiarowe jest prototypem laboratoryjnym w rozumieniu art. 2 pkt 85 rozporządzenia 651/2014.</w:t>
      </w:r>
    </w:p>
    <w:p>
      <w:pPr>
        <w:spacing w:after="60"/>
      </w:pPr>
      <w:r>
        <w:rPr>
          <w:b w:val="0"/>
        </w:rPr>
        <w:t xml:space="preserve">Kolejność prac wynika z zależności między zadaniami. W miesiącach </w:t>
      </w:r>
      <w:r>
        <w:rPr>
          <w:b w:val="0"/>
          <w:highlight w:val="yellow"/>
        </w:rPr>
        <w:t>M1-M3</w:t>
      </w:r>
      <w:r>
        <w:rPr>
          <w:b w:val="0"/>
        </w:rPr>
        <w:t xml:space="preserve"> zostanie opracowany plan badań, w </w:t>
      </w:r>
      <w:r>
        <w:rPr>
          <w:b w:val="0"/>
          <w:highlight w:val="yellow"/>
        </w:rPr>
        <w:t>M4-M6</w:t>
      </w:r>
      <w:r>
        <w:rPr>
          <w:b w:val="0"/>
        </w:rPr>
        <w:t xml:space="preserve"> wykonana seria pomiarów i wstępna specyfikacja sensorów dla zadania Z2, a w </w:t>
      </w:r>
      <w:r>
        <w:rPr>
          <w:b w:val="0"/>
          <w:highlight w:val="yellow"/>
        </w:rPr>
        <w:t>M7-M9</w:t>
      </w:r>
      <w:r>
        <w:rPr>
          <w:b w:val="0"/>
        </w:rPr>
        <w:t xml:space="preserve"> pomiary uzupełniające, symulacja pokrycia i raport końcowy. Zadanie Z2 potrzebuje specyfikacji sensorów do M6, a pełny model degradacji jest potrzebny dopiero w zadaniu Z5, gdzie posłuży jako wartość bazowa dla redukcji RMSE o co najmniej 50%.</w:t>
      </w:r>
    </w:p>
    <w:p>
      <w:pPr>
        <w:pStyle w:val="Heading3"/>
      </w:pPr>
      <w:r>
        <w:t>Kamień milowy zadania 1</w:t>
      </w:r>
    </w:p>
    <w:p>
      <w:pPr>
        <w:keepNext/>
        <w:spacing w:before="160" w:after="40"/>
      </w:pPr>
      <w:r>
        <w:rPr>
          <w:b/>
          <w:sz w:val="20"/>
        </w:rPr>
        <w:t>Nazwa kamienia milowego</w:t>
      </w:r>
      <w:r>
        <w:rPr>
          <w:color w:val="666666"/>
          <w:sz w:val="17"/>
        </w:rPr>
        <w:t xml:space="preserve"> [362 z 500 znaków]</w:t>
      </w:r>
    </w:p>
    <w:p>
      <w:pPr>
        <w:spacing w:after="60"/>
        <w:shd w:val="clear" w:color="auto" w:fill="EEF3FA"/>
      </w:pPr>
      <w:r>
        <w:rPr>
          <w:b w:val="0"/>
        </w:rPr>
        <w:t>Zwalidowana eksperymentalnie i symulacyjnie specyfikacja wielokamerowej architektury percepcji 3D dla przestrzeni ładunkowej naczepy TIR, obejmująca przegląd literatury i benchmarking modalności z pomiarów własnych, symulację pokrycia, ilościowy model degradacji dokładności głębi (MCI i MPI) w środowisku metalowym oraz wskazanie luk badawczych w mitygacji MCI.</w:t>
      </w:r>
    </w:p>
    <w:p>
      <w:pPr>
        <w:keepNext/>
        <w:spacing w:before="160" w:after="40"/>
      </w:pPr>
      <w:r>
        <w:rPr>
          <w:b/>
          <w:sz w:val="20"/>
        </w:rPr>
        <w:t>Parametry</w:t>
      </w:r>
      <w:r>
        <w:rPr>
          <w:color w:val="666666"/>
          <w:sz w:val="17"/>
        </w:rPr>
        <w:t xml:space="preserve"> [923 z 1300 znaków]</w:t>
      </w:r>
    </w:p>
    <w:p>
      <w:pPr>
        <w:spacing w:after="60"/>
        <w:shd w:val="clear" w:color="auto" w:fill="EEF3FA"/>
      </w:pPr>
      <w:r>
        <w:rPr>
          <w:b w:val="0"/>
        </w:rPr>
        <w:t>1. Objętość przestrzeni ładunkowej widziana przez co najmniej jedną kamerę w konfiguracji do 4 kamer: nie mniej niż 83,7 m3. Wartość odniesienia 100% to 88,1 m3 (13,6 m x 2,4 m x 2,7 m), czyli nie mniej niż 95%. Strefy martwe nie więcej niż 4,4 m3, przy zasięgu sensora od 0,3 m do 5 m (symulacja geometryczna).</w:t>
      </w:r>
    </w:p>
    <w:p>
      <w:pPr>
        <w:spacing w:after="60"/>
        <w:shd w:val="clear" w:color="auto" w:fill="EEF3FA"/>
      </w:pPr>
      <w:r>
        <w:rPr>
          <w:b w:val="0"/>
        </w:rPr>
        <w:t xml:space="preserve">2. RMSE głębi w metrach dla konfiguracji od 1 do 4 kamer, z niepewnością rozszerzoną na poziomie ufności 95% nie większą niż </w:t>
      </w:r>
      <w:r>
        <w:rPr>
          <w:b w:val="0"/>
          <w:highlight w:val="yellow"/>
        </w:rPr>
        <w:t>10%</w:t>
      </w:r>
      <w:r>
        <w:rPr>
          <w:b w:val="0"/>
        </w:rPr>
        <w:t xml:space="preserve"> wartości RMSE tej konfiguracji (100% to wartość RMSE tej konfiguracji). Wynik rozstrzyga hipotezy H1 i H2 niezależnie od kierunku rozstrzygnięcia.</w:t>
      </w:r>
    </w:p>
    <w:p>
      <w:pPr>
        <w:spacing w:after="60"/>
        <w:shd w:val="clear" w:color="auto" w:fill="EEF3FA"/>
      </w:pPr>
      <w:r>
        <w:rPr>
          <w:b w:val="0"/>
        </w:rPr>
        <w:t>3. Istnienie jednej konfiguracji spełniającej jednocześnie: zasięg od 0,3 m do 5 m, pracę przy 0 lx, drgania od 5 Hz do 150 Hz z przyspieszeniem do 4,9 m/s2 oraz temperaturę od -25 °C do +70 °C, potwierdzone pomiarem.</w:t>
      </w:r>
    </w:p>
    <w:p>
      <w:pPr>
        <w:spacing w:after="60"/>
        <w:shd w:val="clear" w:color="auto" w:fill="EEF3FA"/>
      </w:pPr>
      <w:r>
        <w:rPr>
          <w:b w:val="0"/>
        </w:rPr>
        <w:t>Udział objętości i niepewność względna nie mają jednostki SI, dlatego podano je względem zdefiniowanej wartości 100%.</w:t>
      </w:r>
    </w:p>
    <w:p>
      <w:pPr>
        <w:keepNext/>
        <w:spacing w:before="160" w:after="40"/>
      </w:pPr>
      <w:r>
        <w:rPr>
          <w:b/>
          <w:sz w:val="20"/>
        </w:rPr>
        <w:t>Opis sposobu weryfikacji osiągnięcia kamienia milowego</w:t>
      </w:r>
      <w:r>
        <w:rPr>
          <w:color w:val="666666"/>
          <w:sz w:val="17"/>
        </w:rPr>
        <w:t xml:space="preserve"> [852 z 1300 znaków]</w:t>
      </w:r>
    </w:p>
    <w:p>
      <w:pPr>
        <w:spacing w:after="60"/>
        <w:shd w:val="clear" w:color="auto" w:fill="EEF3FA"/>
      </w:pPr>
      <w:r>
        <w:rPr>
          <w:b w:val="0"/>
        </w:rPr>
        <w:t xml:space="preserve">Odpowiada Politechnika Rzeszowska. Merytorycznej weryfikacji i odbioru dokonuje kierownik B+R Damian Kordos na podstawie protokołu odbioru. Specyfikację sprawdza też AI Lead Everest11 Jakub Kosterna jako jej odbiorca w Z2. Weryfikacja: 1) pokrycie i strefy martwe z raportu symulacji (model bryły naczepy, mapy pokrycia wariantów); 2) RMSE z raportu z </w:t>
      </w:r>
      <w:r>
        <w:rPr>
          <w:b w:val="0"/>
          <w:highlight w:val="yellow"/>
        </w:rPr>
        <w:t>co najmniej 200</w:t>
      </w:r>
      <w:r>
        <w:rPr>
          <w:b w:val="0"/>
        </w:rPr>
        <w:t xml:space="preserve"> serii pomiarowych, z surowymi danymi i skryptami analizy; 3) konfiguracja z tabeli zgodności z czterema wymaganiami środowiskowymi; 4) luki w mitygacji MCI z zestawienia zapytań do baz IEEE Xplore, Scopus, Google Scholar i Google Patents z datami. Raport trafia do Everest11 jako specyfikacja sensorów dla Z2 do M6 i do PRz dla Z5. Decyzję o dalszym przebiegu podejmuje komitet sterujący: kierownik zarządzający Maciej Chrzanowski (przewodniczący), kierownik B+R i przedstawiciel PRz.</w:t>
      </w:r>
    </w:p>
    <w:p>
      <w:pPr>
        <w:keepNext/>
        <w:spacing w:before="160" w:after="40"/>
      </w:pPr>
      <w:r>
        <w:rPr>
          <w:b/>
          <w:sz w:val="20"/>
        </w:rPr>
        <w:t>Opis wpływu nieosiągnięcia kamienia milowego na realizację projektu</w:t>
      </w:r>
      <w:r>
        <w:rPr>
          <w:color w:val="666666"/>
          <w:sz w:val="17"/>
        </w:rPr>
        <w:t xml:space="preserve"> [876 z 1300 znaków]</w:t>
      </w:r>
    </w:p>
    <w:p>
      <w:pPr>
        <w:spacing w:after="60"/>
        <w:shd w:val="clear" w:color="auto" w:fill="EEF3FA"/>
      </w:pPr>
      <w:r>
        <w:rPr>
          <w:b w:val="0"/>
        </w:rPr>
        <w:t xml:space="preserve">Brak kamienia blokuje specyfikację sprzętu dla Z2 i algorytmy Z5. Gdy pokrycie jest mniejsze niż 95%, wykonujemy do dwóch iteracji (rozmieszczenie kamer, optyka), każda w oknie od 4 do 6 tygodni przed M9. Pokrycie od 85% do 95% przyjmujemy w wariancie zawężonym, z jawnym wyłączeniem stref niekrytycznych, takich jak narożniki o ograniczonym polu widzenia. Wariant zachowuje cechę innowacyjną, czyli model 3D z wielu kamer w czasie rzeczywistym, a wskaźnik pokrycia aktualizujemy w trybie zmiany projektu. Wartość graniczna no-go: pokrycie mniejsze niż </w:t>
      </w:r>
      <w:r>
        <w:rPr>
          <w:b w:val="0"/>
          <w:highlight w:val="yellow"/>
        </w:rPr>
        <w:t>85%</w:t>
      </w:r>
      <w:r>
        <w:rPr>
          <w:b w:val="0"/>
        </w:rPr>
        <w:t xml:space="preserve"> po dwóch iteracjach albo brak konfiguracji spełniającej cztery wymagania środowiskowe. O zmianie architektury sensorycznej (na przykład kamery EO ze światłem strukturalnym) albo o przerwaniu zadania decyduje komitet sterujący w M9. Odrzucenie hipotezy H2 nie jest niepowodzeniem, bo uzasadnia algorytm adaptacyjny w Z5.</w:t>
      </w:r>
    </w:p>
    <w:p>
      <w:r>
        <w:br w:type="page"/>
      </w:r>
    </w:p>
    <w:p>
      <w:pPr>
        <w:pStyle w:val="Heading1"/>
      </w:pPr>
      <w:r>
        <w:t>Zadanie 2</w:t>
      </w:r>
    </w:p>
    <w:p>
      <w:r>
        <w:rPr>
          <w:b/>
        </w:rPr>
        <w:t>2. Badania przemysłowe: Opracowanie metodologii wielomodalnej akwizycji danych i budowa datasetu środowiskowego przestrzeni ładunkowej naczepy TIR (Z2)</w:t>
      </w:r>
    </w:p>
    <w:p>
      <w:r>
        <w:rPr>
          <w:color w:val="666666"/>
        </w:rPr>
        <w:t>Everest11, badania przemysłowe, M1-M18</w:t>
      </w:r>
    </w:p>
    <w:p>
      <w:pPr>
        <w:keepNext/>
        <w:spacing w:before="160" w:after="40"/>
      </w:pPr>
      <w:r>
        <w:rPr>
          <w:b/>
          <w:sz w:val="20"/>
        </w:rPr>
        <w:t>Zakres planowanych prac B+R</w:t>
      </w:r>
      <w:r>
        <w:rPr>
          <w:color w:val="666666"/>
          <w:sz w:val="17"/>
        </w:rPr>
        <w:t xml:space="preserve"> [3770 z 4000 znaków]</w:t>
      </w:r>
    </w:p>
    <w:p>
      <w:pPr>
        <w:spacing w:after="60"/>
      </w:pPr>
      <w:r>
        <w:rPr>
          <w:b w:val="0"/>
        </w:rPr>
        <w:t>Omawiane zadanie stanowi odpowiedź na problem badawczy braku wielomodalnego zbioru danych zebranych w czasie jazdy w przestrzeni ładunkowej naczepy TIR oraz braku metody synchronizacji i potwierdzania zdarzeń ryzyka w tych warunkach. Wynikiem zadania będzie pierwszy taki zbiór danych, niezbędny do wytrenowania modeli w zadaniach Z4 i Z8 oraz do sprawdzenia algorytmów 3D z zadania Z5 w środowisku docelowym.</w:t>
      </w:r>
    </w:p>
    <w:p>
      <w:pPr>
        <w:spacing w:after="60"/>
      </w:pPr>
      <w:r>
        <w:rPr>
          <w:b w:val="0"/>
        </w:rPr>
        <w:t>W wyniku realizacji zadania powstanie nowa wiedza w trzech obszarach: metoda wielomodalnej akwizycji z synchronizacją strumieni o bardzo różnych częstotliwościach, sposób pozyskiwania i potwierdzania rzadkich zdarzeń ryzyka oraz struktura zbioru umożliwiająca niezależną walidację modeli.</w:t>
      </w:r>
    </w:p>
    <w:p>
      <w:pPr>
        <w:spacing w:after="60"/>
      </w:pPr>
      <w:r>
        <w:rPr>
          <w:b w:val="0"/>
        </w:rPr>
        <w:t>W ramach zadania zrealizowane zostaną badania przemysłowe obejmujące:</w:t>
      </w:r>
    </w:p>
    <w:p>
      <w:pPr>
        <w:spacing w:after="60"/>
      </w:pPr>
      <w:r>
        <w:rPr>
          <w:b w:val="0"/>
        </w:rPr>
        <w:t>1. Opracowanie i zbadanie metody akwizycji: ujednolicenia znaczników czasu z dokładnością do 0,001 s dla strumieni o częstotliwościach od około 0,017 Hz (temperatura) przez 10 Hz (radar) i 30 Hz (kamery) do 1000 Hz (akcelerometr) oraz algorytmu wykrywania i korekcji utraty synchronizacji przy drganiach od 5 do 150 Hz i przyspieszeniach do 4,9 m/s2, w celu zapewnienia spójności czasowej danych używanych do trenowania modeli.</w:t>
      </w:r>
    </w:p>
    <w:p>
      <w:pPr>
        <w:spacing w:after="60"/>
      </w:pPr>
      <w:r>
        <w:rPr>
          <w:b w:val="0"/>
        </w:rPr>
        <w:t>2. Opracowanie frameworku kontroli jakości i integralności strumieni (kompletność, ciągłość, spójność czasowa, sumy kontrolne) oraz kalibracji kamer z automatyczną weryfikacją, w celu wykluczenia z modeli danych uszkodzonych.</w:t>
      </w:r>
    </w:p>
    <w:p>
      <w:pPr>
        <w:spacing w:after="60"/>
      </w:pPr>
      <w:r>
        <w:rPr>
          <w:b w:val="0"/>
        </w:rPr>
        <w:t>3. Opracowanie i zbadanie metody pozyskiwania i potwierdzania zdarzeń ryzyka (ZR). ZR to uszkodzenie ładunku stwierdzone po dostawie albo przemieszczenie ładunku o co najmniej 0,10 m lub poluzowanie zabezpieczenia. Etykietę zdarzenia nadaje wyłącznie inspekcja fizyczna wykonana według protokołu z zadania Z3, bez wglądu w sygnały modelu, w celu uzyskania wiarygodnego ground truth.</w:t>
      </w:r>
    </w:p>
    <w:p>
      <w:pPr>
        <w:spacing w:after="60"/>
      </w:pPr>
      <w:r>
        <w:rPr>
          <w:b w:val="0"/>
        </w:rPr>
        <w:t>4. Zaprojektowanie struktury zbioru do niezależnej walidacji w zadaniach Z4, Z8 i Z9, w celu uniknięcia przecieku danych. Dane ze scenariuszy kontrolowanych i dane syntetyczne będą służyć wyłącznie do treningu, a test naturalny i walidacja w zadaniu Z9 wykorzystają wyłącznie dane naturalne.</w:t>
      </w:r>
    </w:p>
    <w:p>
      <w:pPr>
        <w:spacing w:after="60"/>
      </w:pPr>
      <w:r>
        <w:rPr>
          <w:b w:val="0"/>
        </w:rPr>
        <w:t>Parametry zbioru: co najmniej 500 godzin danych, 50 kursów, 3 pojazdy, 15 000 klatek RGB, 5 klas ładunku i 5 klas zabezpieczeń, 500 rekordów na klasę ładunku oraz 50 ZR na klasę, łącznie co najmniej 250.</w:t>
      </w:r>
    </w:p>
    <w:p>
      <w:pPr>
        <w:spacing w:after="60"/>
      </w:pPr>
      <w:r>
        <w:rPr>
          <w:b w:val="0"/>
        </w:rPr>
        <w:t>Montaż i demontaż sensorów wykona podwykonawca. Projekt techniczny toru, konfigurację, kalibrację i odbiór techniczny wykona personel Everest11. Organizacja przejazdów należy do zwykłej działalności przewozowej i nie jest pracą B+R.</w:t>
      </w:r>
    </w:p>
    <w:p>
      <w:pPr>
        <w:spacing w:after="60"/>
      </w:pPr>
      <w:r>
        <w:rPr>
          <w:b w:val="0"/>
        </w:rPr>
        <w:t xml:space="preserve">Zadanie będzie realizowane przez zespół Everest11. AI Lead, w wymiarze 0,75 etatu przez 18 miesięcy, zaprojektuje architekturę akwizycji i algorytm korekcji synchronizacji, przygotuje schemat anotacji i oceni zgodność anotatorów. AI Senior Engineer, w wymiarze 0,75 etatu, zaprogramuje unifikację znaczników czasu, monitoring integralności i kalibrację oraz opracuje specyfikację anotacji. Cybersecurity / AI Act Specialist, w wymiarze 0,25 etatu, zaprojektuje szyfrowanie, klucze dostępu i pseudonimizację danych wizyjnych i lokalizacyjnych. IT Specialist, w wymiarze 1,0 etatu, zbuduje zapis danych na dysku NVMe oraz strukturyzację i wersjonowanie zbioru. IoT Specialist, w wymiarze 0,5 etatu, zaprojektuje warstwę sprzętową toru, zasilanie i ekranowanie EMC oraz wykona testy kalibracyjne. Specjalista ds. logistyki TSL, w wymiarze 0,5 etatu, będzie prowadził inspekcje ładunku i przekaże PRz uwagi domenowe do protokołu z zadania Z3. Backend/Full-Stack Developer, w wymiarze 1,0 etatu przez 6 miesięcy od M13 do M18, wykona warstwę programową potoku danych. Trzech anotatorów, każdy w wymiarze 1,0 etatu przez 10 miesięcy </w:t>
      </w:r>
      <w:r>
        <w:rPr>
          <w:b w:val="0"/>
          <w:highlight w:val="yellow"/>
        </w:rPr>
        <w:t>od M9 do M18</w:t>
      </w:r>
      <w:r>
        <w:rPr>
          <w:b w:val="0"/>
        </w:rPr>
        <w:t>, wykona anotację klatek, zgłosi przypadki niejednoznaczne i weźmie udział w pomiarze zgodności.</w:t>
      </w:r>
    </w:p>
    <w:p>
      <w:pPr>
        <w:keepNext/>
        <w:spacing w:before="160" w:after="40"/>
      </w:pPr>
      <w:r>
        <w:rPr>
          <w:b/>
          <w:sz w:val="20"/>
        </w:rPr>
        <w:t>Szczegółowy opis planowanych prac wraz z uzasadnieniem (w tym opis metody badawczej)</w:t>
      </w:r>
      <w:r>
        <w:rPr>
          <w:color w:val="666666"/>
          <w:sz w:val="17"/>
        </w:rPr>
        <w:t xml:space="preserve"> [3883 z 4000 znaków]</w:t>
      </w:r>
    </w:p>
    <w:p>
      <w:pPr>
        <w:spacing w:after="60"/>
      </w:pPr>
      <w:r>
        <w:rPr>
          <w:b w:val="0"/>
        </w:rPr>
        <w:t>Problem badawczy rozwiązywany w zadaniu został zdefiniowany w sekcji Cel projektu i dotyczy braku danych oraz metod niezbędnych do trenowania i walidacji modeli w warunkach jazdy. Nie istnieje publiczny zbiór danych łączący sygnały środowiskowe z jazdy z potwierdzonymi inspekcją zdarzeniami ryzyka. Brakuje także metod synchronizacji strumieni o tak różnych częstotliwościach w drganiach naczepy oraz sposobu zebrania dostatecznej liczby rzadkich zdarzeń (1-3% przesyłek) bez utraty niezależności walidacji.</w:t>
      </w:r>
    </w:p>
    <w:p>
      <w:pPr>
        <w:spacing w:after="60"/>
      </w:pPr>
      <w:r>
        <w:rPr>
          <w:b w:val="0"/>
        </w:rPr>
        <w:t>Metoda akwizycji zostanie opracowana i zbadana eksperymentalnie. Tor pomiarowy powstanie według specyfikacji z zadania Z1, a jakość synchronizacji zostanie sprawdzona w teście stacjonarnym trwającym co najmniej 24 h i w teście drogowym na dystansie co najmniej 500 km. Mierzone będą odchylenie znaczników czasu (cel: nie więcej niż 0,001 s) i udział poprawnie zarejestrowanych danych (cel: co najmniej 95% czasu rejestracji). Algorytm korekcji synchronizacji i metryki jakości zostaną opracowane iteracyjnie na danych z tych testów.</w:t>
      </w:r>
    </w:p>
    <w:p>
      <w:pPr>
        <w:spacing w:after="60"/>
      </w:pPr>
      <w:r>
        <w:rPr>
          <w:b w:val="0"/>
        </w:rPr>
        <w:t xml:space="preserve">Struktura zbioru została zaprojektowana tak, aby umożliwić niezależną walidację modeli. Jednostką analizy jest przesyłka, czyli ładunek jednego zlecenia na naczepie, a liczba zdarzeń wynika z liczby kursów, liczby przesyłek na kurs i częstości ZR. Przy 50 kursach, około </w:t>
      </w:r>
      <w:r>
        <w:rPr>
          <w:b w:val="0"/>
          <w:highlight w:val="yellow"/>
        </w:rPr>
        <w:t>8</w:t>
      </w:r>
      <w:r>
        <w:rPr>
          <w:b w:val="0"/>
        </w:rPr>
        <w:t xml:space="preserve"> przesyłkach na kurs i częstości ZR </w:t>
      </w:r>
      <w:r>
        <w:rPr>
          <w:b w:val="0"/>
          <w:highlight w:val="yellow"/>
        </w:rPr>
        <w:t>5-10%</w:t>
      </w:r>
      <w:r>
        <w:rPr>
          <w:b w:val="0"/>
        </w:rPr>
        <w:t xml:space="preserve"> spodziewamy się </w:t>
      </w:r>
      <w:r>
        <w:rPr>
          <w:b w:val="0"/>
          <w:highlight w:val="yellow"/>
        </w:rPr>
        <w:t>20-40</w:t>
      </w:r>
      <w:r>
        <w:rPr>
          <w:b w:val="0"/>
        </w:rPr>
        <w:t xml:space="preserve"> ZR naturalnych. Pozostałe zdarzenia do progu 50 na klasę, czyli 250 łącznie, zostaną uzyskane ze scenariuszy kontrolowanych: celowego poluzowania zabezpieczeń, kontrolowanego przesunięcia i ekspozycji poniżej progu. Kursy zostaną podzielone na trening (co najmniej 80%) i test naturalny (co najmniej 20%, rozszerzany do 30 ZR naturalnych, w tym 10 w każdej z trzech klas). Dane kontrolowane i syntetyczne trafią wyłącznie do treningu i do osobnego testu kontrolowanego, a walidacja w zadaniu Z9 wykorzysta nowe kursy naturalne, co wyklucza przeciek danych.</w:t>
      </w:r>
    </w:p>
    <w:p>
      <w:pPr>
        <w:spacing w:after="60"/>
      </w:pPr>
      <w:r>
        <w:rPr>
          <w:b w:val="0"/>
        </w:rPr>
        <w:t>Etykietowanie i kontrola zgodności anotacji zostały zaplanowane tak, aby ground truth było wiarygodne. Specjalista ds. logistyki TSL będzie prowadził inspekcję ładunku przy załadunku i rozładunku według protokołu z zadania Z3, w trybie ślepym względem modelu, ze zdjęciami ze znacznikiem czasu. Trzech anotatorów niezależnie zaanotuje losową próbę co najmniej 10% klatek, wylosowaną warstwowo po klasach, z ziarnem losowania zapisanym w protokole. Rozbieżności rozstrzygnie konsensus anotatorów z udziałem specjalisty TSL, który zatwierdzi etykietę referencyjną. Jeżeli zgodność, mierzona współczynnikiem Cohena, będzie niższa niż 0,80, cała próba oraz klasy o skupionych rozbieżnościach zostaną zaanotowane ponownie, a kryteria klas doprecyzowane z PRz. Zgodność zostanie obliczona dwukrotnie: na próbie pilotażowej w M10 (wejście do kamienia milowego zadania Z3) i na pełnym zbiorze. Zgłoszenia przypadków niejednoznacznych od anotatorów będą materiałem do walidacji taksonomii w zadaniu Z3, dlatego ich praca stanowi element badań.</w:t>
      </w:r>
    </w:p>
    <w:p>
      <w:pPr>
        <w:spacing w:after="60"/>
      </w:pPr>
      <w:r>
        <w:rPr>
          <w:b w:val="0"/>
        </w:rPr>
        <w:t>Wybór metody jest uzasadniony czterema względami. Test drogowy i inspekcja ślepa dają wiarygodny pomiar, dlatego metoda jest celowa i skuteczna. Podział po kursach i sumy kontrolne zapewniają niezawodność. Liczba anotatorów wynika z wolumenu: około 15 000 klatek przy 11-12 minutach na klatkę w scenach gęstych oznacza 2750-3000 godzin pracy, do czego dochodzą próba zgodności i reanotacja, co zapewnia ekonomiczność.</w:t>
      </w:r>
    </w:p>
    <w:p>
      <w:pPr>
        <w:spacing w:after="60"/>
      </w:pPr>
      <w:r>
        <w:rPr>
          <w:b w:val="0"/>
        </w:rPr>
        <w:t>Zadanie ma charakter badań przemysłowych, ponieważ tworzy nową metodę akwizycji i zbiór referencyjny niezbędne do rozwiązania problemów badawczych od 1 do 3. Montaż sensorów wykona podwykonawca, a projekt techniczny, konfigurację, kalibrację i odbiór techniczny personel Everest11.</w:t>
      </w:r>
    </w:p>
    <w:p>
      <w:pPr>
        <w:spacing w:after="60"/>
      </w:pPr>
      <w:r>
        <w:rPr>
          <w:b w:val="0"/>
        </w:rPr>
        <w:t>Kolejność prac wynika z zależności od zadań Z1 i Z3. W miesiącach M1-M6 zostanie przygotowana infrastruktura i protokół bezpieczeństwa danych, w M7-M8 wykonany montaż, a w M9-M18 przeprowadzona kampania pomiarowa.</w:t>
      </w:r>
    </w:p>
    <w:p>
      <w:pPr>
        <w:pStyle w:val="Heading3"/>
      </w:pPr>
      <w:r>
        <w:t>Kamień milowy zadania 2</w:t>
      </w:r>
    </w:p>
    <w:p>
      <w:pPr>
        <w:keepNext/>
        <w:spacing w:before="160" w:after="40"/>
      </w:pPr>
      <w:r>
        <w:rPr>
          <w:b/>
          <w:sz w:val="20"/>
        </w:rPr>
        <w:t>Nazwa kamienia milowego</w:t>
      </w:r>
      <w:r>
        <w:rPr>
          <w:color w:val="666666"/>
          <w:sz w:val="17"/>
        </w:rPr>
        <w:t xml:space="preserve"> [286 z 500 znaków]</w:t>
      </w:r>
    </w:p>
    <w:p>
      <w:pPr>
        <w:spacing w:after="60"/>
        <w:shd w:val="clear" w:color="auto" w:fill="EEF3FA"/>
      </w:pPr>
      <w:r>
        <w:rPr>
          <w:b w:val="0"/>
        </w:rPr>
        <w:t>Zatwierdzony zbiór danych in-transit, gotowy do trenowania i niezależnej walidacji modeli z Z4, Z5 i Z8, o wymaganej liczności zdarzeń i jakości anotacji, wraz ze skalibrowanym torem pomiarowym na co najmniej 3 pojazdach oraz zwalidowaną metodą akwizycji i potwierdzania zdarzeń ryzyka.</w:t>
      </w:r>
    </w:p>
    <w:p>
      <w:pPr>
        <w:keepNext/>
        <w:spacing w:before="160" w:after="40"/>
      </w:pPr>
      <w:r>
        <w:rPr>
          <w:b/>
          <w:sz w:val="20"/>
        </w:rPr>
        <w:t>Parametry</w:t>
      </w:r>
      <w:r>
        <w:rPr>
          <w:color w:val="666666"/>
          <w:sz w:val="17"/>
        </w:rPr>
        <w:t xml:space="preserve"> [962 z 1300 znaków]</w:t>
      </w:r>
    </w:p>
    <w:p>
      <w:pPr>
        <w:spacing w:after="60"/>
        <w:shd w:val="clear" w:color="auto" w:fill="EEF3FA"/>
      </w:pPr>
      <w:r>
        <w:rPr>
          <w:b w:val="0"/>
        </w:rPr>
        <w:t>1. Liczba zdarzeń ryzyka (ZR: uszkodzenie po dostawie albo przemieszczenie ładunku o co najmniej 0,10 m lub poluzowanie zabezpieczenia, potwierdzone inspekcją): co najmniej 50 na każdą z 5 klas ładunku, razem co najmniej 250, raportowane osobno jako naturalne i kontrolowane. Przy częstości 1-3% przesyłek osiągnięcie jest niepewne.</w:t>
      </w:r>
    </w:p>
    <w:p>
      <w:pPr>
        <w:spacing w:after="60"/>
        <w:shd w:val="clear" w:color="auto" w:fill="EEF3FA"/>
      </w:pPr>
      <w:r>
        <w:rPr>
          <w:b w:val="0"/>
        </w:rPr>
        <w:t>2. Zgodność anotacji, współczynnik Cohena kappa, na próbie co najmniej 10% klatek, na pełnym zbiorze: nie mniej niż 0,80 (wielkość bezwymiarowa, 1,0 oznacza pełną zgodność; brak jednostki SI).</w:t>
      </w:r>
    </w:p>
    <w:p>
      <w:pPr>
        <w:spacing w:after="60"/>
        <w:shd w:val="clear" w:color="auto" w:fill="EEF3FA"/>
      </w:pPr>
      <w:r>
        <w:rPr>
          <w:b w:val="0"/>
        </w:rPr>
        <w:t>3. Odchylenie znaczników czasu między strumieniami: nie więcej niż 0,001 s, przy udziale poprawnie zarejestrowanych danych co najmniej 95% czasu rejestracji (100% to całkowity czas rejestracji).</w:t>
      </w:r>
    </w:p>
    <w:p>
      <w:pPr>
        <w:spacing w:after="60"/>
        <w:shd w:val="clear" w:color="auto" w:fill="EEF3FA"/>
      </w:pPr>
      <w:r>
        <w:rPr>
          <w:b w:val="0"/>
        </w:rPr>
        <w:t>Kompletność zbioru: co najmniej 500 h, 50 kursów, 3 pojazdy, 15 000 klatek RGB, 5 klas ładunku i zabezpieczeń, 500 rekordów na klasę, dwa sezony. Podział: trening co najmniej 80% kursów, test naturalny co najmniej 20% (do 30 ZR naturalnych).</w:t>
      </w:r>
    </w:p>
    <w:p>
      <w:pPr>
        <w:keepNext/>
        <w:spacing w:before="160" w:after="40"/>
      </w:pPr>
      <w:r>
        <w:rPr>
          <w:b/>
          <w:sz w:val="20"/>
        </w:rPr>
        <w:t>Opis sposobu weryfikacji osiągnięcia kamienia milowego</w:t>
      </w:r>
      <w:r>
        <w:rPr>
          <w:color w:val="666666"/>
          <w:sz w:val="17"/>
        </w:rPr>
        <w:t xml:space="preserve"> [794 z 1300 znaków]</w:t>
      </w:r>
    </w:p>
    <w:p>
      <w:pPr>
        <w:spacing w:after="60"/>
        <w:shd w:val="clear" w:color="auto" w:fill="EEF3FA"/>
      </w:pPr>
      <w:r>
        <w:rPr>
          <w:b w:val="0"/>
        </w:rPr>
        <w:t>Odpowiada Everest11. Odbioru dokonuje kierownik B+R Damian Kordos na podstawie protokołu odbioru zbioru. PRz jako odbiorca potwierdza zgodność ze specyfikacją z Z3. Weryfikacja: 1) ZR z zestawienia zdarzeń z dokumentacją inspekcji i zdjęciami; 2) kappa z raportu zgodności trzech anotatorów (próba losowa warstwowa, ziarno w protokole) po rozstrzygnięciu rozbieżności konsensusem ze specjalistą TSL; 3) tor pomiarowy z logów rejestracji i raportu kalibracji (testy: stacjonarny co najmniej 24 h, drogowy co najmniej 500 km); 4) podział z wykazu kursów w zbiorach treningowym, test naturalny i test kontrolowany, z sumami kontrolnymi, zamrożony przed startem Z4; 5) kompletność z raportu liczności klas, sezonów i typów nawierzchni. Decyzję o dalszym przebiegu podejmuje komitet sterujący w M18.</w:t>
      </w:r>
    </w:p>
    <w:p>
      <w:pPr>
        <w:keepNext/>
        <w:spacing w:before="160" w:after="40"/>
      </w:pPr>
      <w:r>
        <w:rPr>
          <w:b/>
          <w:sz w:val="20"/>
        </w:rPr>
        <w:t>Opis wpływu nieosiągnięcia kamienia milowego na realizację projektu</w:t>
      </w:r>
      <w:r>
        <w:rPr>
          <w:color w:val="666666"/>
          <w:sz w:val="17"/>
        </w:rPr>
        <w:t xml:space="preserve"> [710 z 1300 znaków]</w:t>
      </w:r>
    </w:p>
    <w:p>
      <w:pPr>
        <w:spacing w:after="60"/>
        <w:shd w:val="clear" w:color="auto" w:fill="EEF3FA"/>
      </w:pPr>
      <w:r>
        <w:rPr>
          <w:b w:val="0"/>
        </w:rPr>
        <w:t xml:space="preserve">Brak kamienia uniemożliwia trening i walidację w Z4 i Z8. Gdy ZR naturalnych jest za mało, uzupełniamy je scenariuszami kontrolowanymi (do dwóch kampanii po około 4 tygodnie) i wydłużamy rejestrację w ramach okresu Z2. Wariant zawężony: modelowanie ML ograniczone do 3 klas, co zachowuje wskaźnik AUC-ROC dla co najmniej 3 klas i funkcję predykcji ryzyka z klasą ładunku, a pominięte klasy opisujemy w planie wdrożenia. Wartość graniczna no-go: co najmniej </w:t>
      </w:r>
      <w:r>
        <w:rPr>
          <w:b w:val="0"/>
          <w:highlight w:val="yellow"/>
        </w:rPr>
        <w:t>30</w:t>
      </w:r>
      <w:r>
        <w:rPr>
          <w:b w:val="0"/>
        </w:rPr>
        <w:t xml:space="preserve"> ZR łącznie w co najmniej 3 klasach oraz kappa co najmniej </w:t>
      </w:r>
      <w:r>
        <w:rPr>
          <w:b w:val="0"/>
          <w:highlight w:val="yellow"/>
        </w:rPr>
        <w:t>0,70</w:t>
      </w:r>
      <w:r>
        <w:rPr>
          <w:b w:val="0"/>
        </w:rPr>
        <w:t xml:space="preserve"> po dwóch iteracjach reanotacji. Poniżej tych wartości komitet sterujący w M18 wstrzymuje zadanie Z4 i modyfikuje zakres. Zadanie jest krytyczne, bo bez zbioru nie powstaną modele Z4 i Z8.</w:t>
      </w:r>
    </w:p>
    <w:p>
      <w:r>
        <w:br w:type="page"/>
      </w:r>
    </w:p>
    <w:p>
      <w:pPr>
        <w:pStyle w:val="Heading1"/>
      </w:pPr>
      <w:r>
        <w:t>Zadanie 3</w:t>
      </w:r>
    </w:p>
    <w:p>
      <w:r>
        <w:rPr>
          <w:b/>
        </w:rPr>
        <w:t>3. Badania przemysłowe: Opracowanie metodologii: protokół datasetu, taksonomia TSL, spec. architektur ML/CV (Z3)</w:t>
      </w:r>
    </w:p>
    <w:p>
      <w:r>
        <w:rPr>
          <w:color w:val="666666"/>
        </w:rPr>
        <w:t>Politechnika Rzeszowska, badania przemysłowe, M6-M18</w:t>
      </w:r>
    </w:p>
    <w:p>
      <w:pPr>
        <w:keepNext/>
        <w:spacing w:before="160" w:after="40"/>
      </w:pPr>
      <w:r>
        <w:rPr>
          <w:b/>
          <w:sz w:val="20"/>
        </w:rPr>
        <w:t>Zakres planowanych prac B+R</w:t>
      </w:r>
      <w:r>
        <w:rPr>
          <w:color w:val="666666"/>
          <w:sz w:val="17"/>
        </w:rPr>
        <w:t xml:space="preserve"> [3779 z 4000 znaków]</w:t>
      </w:r>
    </w:p>
    <w:p>
      <w:pPr>
        <w:spacing w:after="60"/>
      </w:pPr>
      <w:r>
        <w:rPr>
          <w:b w:val="0"/>
        </w:rPr>
        <w:t xml:space="preserve">Omawiane zadanie stanowi odpowiedź na problem badawczy braku taksonomii klas zabezpieczeń transportowych, którą można wykorzystać jako ontologię do detekcji obiektów, oraz braku wspólnej metodyki uczenia przy niezbalansowaniu klas wynikającym z różnorodności ładunku. Wyniki zadania są specyfikacjami wejściowymi dla zadania Z2 (protokół do </w:t>
      </w:r>
      <w:r>
        <w:rPr>
          <w:b w:val="0"/>
          <w:highlight w:val="yellow"/>
        </w:rPr>
        <w:t>M8</w:t>
      </w:r>
      <w:r>
        <w:rPr>
          <w:b w:val="0"/>
        </w:rPr>
        <w:t>, taksonomia w wersji 1.0 do M10) oraz dla zadań Z4, Z5 i Z8.</w:t>
      </w:r>
    </w:p>
    <w:p>
      <w:pPr>
        <w:spacing w:after="60"/>
      </w:pPr>
      <w:r>
        <w:rPr>
          <w:b w:val="0"/>
        </w:rPr>
        <w:t>W wyniku realizacji zadania powstanie nowa wiedza: taksonomia klas zabezpieczeń zgodna z EN 12195 i zwalidowana ilościowo, protokół zbioru danych rozstrzygający definicję zdarzenia ryzyka i podział danych oraz wyniki porównania architektur modeli ML i CV.</w:t>
      </w:r>
    </w:p>
    <w:p>
      <w:pPr>
        <w:spacing w:after="60"/>
      </w:pPr>
      <w:r>
        <w:rPr>
          <w:b w:val="0"/>
        </w:rPr>
        <w:t>W ramach zadania zrealizowane zostaną badania przemysłowe obejmujące:</w:t>
      </w:r>
    </w:p>
    <w:p>
      <w:pPr>
        <w:spacing w:after="60"/>
      </w:pPr>
      <w:r>
        <w:rPr>
          <w:b w:val="0"/>
        </w:rPr>
        <w:t>1. Opracowanie protokołu zbioru danych: definicji co najmniej 5 klas ładunku z progami narażenia, parametrów sensorycznych (akcelerometr 1000 Hz, okna FFT 10 s z 50% nakładaniem), definicji zdarzenia ryzyka (uszkodzenie po dostawie albo przemieszczenie o co najmniej 0,10 m lub poluzowanie zabezpieczenia, potwierdzone inspekcją), wymaganej liczności (500 rekordów i 50 ZR na klasę), zasad podziału danych na naturalne, kontrolowane i syntetyczne oraz procedury inspekcji, w celu zapewnienia niezależnej walidacji modeli.</w:t>
      </w:r>
    </w:p>
    <w:p>
      <w:pPr>
        <w:spacing w:after="60"/>
      </w:pPr>
      <w:r>
        <w:rPr>
          <w:b w:val="0"/>
        </w:rPr>
        <w:t>2. Opracowanie taksonomii klas zabezpieczeń TSL: pierwszej ontologii klas (pasy, kliny, siatki, separatory, blokady, podkładki antypoślizgowe według EN 12195) z binarnymi kryteriami poprawności mocowania. Wersja 1.0 zostanie przygotowana do M10 i zwalidowana zgodnością anotatorów na próbie pilotażowej z zadania Z2, w celu uzyskania jednoznacznych etykiet dla modeli CV.</w:t>
      </w:r>
    </w:p>
    <w:p>
      <w:pPr>
        <w:spacing w:after="60"/>
      </w:pPr>
      <w:r>
        <w:rPr>
          <w:b w:val="0"/>
        </w:rPr>
        <w:t>3. Porównanie architektur: modeli ML ryzyka (LSTM, 1D-CNN, TCN, Transformer, metody uczenia przy niezbalansowaniu 1:30-1:100) i modeli CV (YOLOv8, Deformable DETR, SAM2) z oceną okluzji, oświetlenia NIR i kompromisu dokładność-opóźnienie na platformie embedded, w celu wyboru architektur dla zadań Z4 i Z8.</w:t>
      </w:r>
    </w:p>
    <w:p>
      <w:pPr>
        <w:spacing w:after="60"/>
      </w:pPr>
      <w:r>
        <w:rPr>
          <w:b w:val="0"/>
        </w:rPr>
        <w:t>Badania zostaną wykonane z użyciem stanowiska laboratoryjnego PRz (kamery*, IMU, jednostka edge AI, zasilanie PoE z UPS, synchronizacja czasu), które jest narzędziem tych badań. Zgodnie z art. 2 pkt 85 rozporządzenia 651/2014 prototypy w środowisku laboratoryjnym zalicza się do badań przemysłowych, gdy są konieczne do tych badań. Ponadto wyniki posłużą do prac w zadaniu Z5.</w:t>
      </w:r>
    </w:p>
    <w:p>
      <w:pPr>
        <w:spacing w:after="60"/>
      </w:pPr>
      <w:r>
        <w:rPr>
          <w:b w:val="0"/>
        </w:rPr>
        <w:t>Zadanie będzie realizowane przez zespół PRz w miesiącach od M6 do M18. Główny specjalista ds. systemów wizyjnych, percepcji 3D i integracji algorytmicznej, w wymiarze 715 godzin, zdefiniuje wymagania danych dla percepcji 3D i synchronizacji sensorów. Główny specjalista ds. computer vision, rekonstrukcji 3D, kalibracji i analizy sygnałów, w wymiarze 715 godzin, opracuje wymagania danych obrazowych, taksonomię klas CV i architektury modeli wizyjnych. Specjalista ds. uczenia maszynowego, selekcji cech i predykcji ryzyka, w wymiarze 460 godzin, opracuje metodykę ML i podejście do danych niezbalansowanych. Specjalista ds. modelowania matematycznego, statystyki i walidacji ilościowej, w wymiarze 404 godzin, opracuje metodykę walidacji, oceny zgodności anotacji i procedury oceny modeli. Młodszy specjalista ds. uczenia maszynowego, przygotowania danych eksperymentalnych i analizy wyników, w wymiarze 340 godzin, przygotuje zbiory, statystyki i podziały danych. Specjalista ds. danych AI/CV, anotacji i analizy wyników modeli (408 godzin) opracuje zasady anotacji i kontroli jakości, specjalista ds. przetwarzania danych wielomodalnych i organizacji datasetu (382 godziny) strukturę i synchronizację zbioru, a specjalista ds. implementacji AI/CV, automatyzacji eksperymentów i edge AI (356 godzin) skrypty eksperymentów i ewaluacji. Zakres prac jest wyłącznie badawczy. Specjalista TSL Everest11 udzieli PRz konsultacji domenowych w ramach swojej pracy w zadaniu Z2.</w:t>
      </w:r>
    </w:p>
    <w:p>
      <w:pPr>
        <w:keepNext/>
        <w:spacing w:before="160" w:after="40"/>
      </w:pPr>
      <w:r>
        <w:rPr>
          <w:b/>
          <w:sz w:val="20"/>
        </w:rPr>
        <w:t>Szczegółowy opis planowanych prac wraz z uzasadnieniem (w tym opis metody badawczej)</w:t>
      </w:r>
      <w:r>
        <w:rPr>
          <w:color w:val="666666"/>
          <w:sz w:val="17"/>
        </w:rPr>
        <w:t xml:space="preserve"> [3469 z 4000 znaków]</w:t>
      </w:r>
    </w:p>
    <w:p>
      <w:pPr>
        <w:spacing w:after="60"/>
      </w:pPr>
      <w:r>
        <w:rPr>
          <w:b w:val="0"/>
        </w:rPr>
        <w:t>Problem badawczy rozwiązywany w zadaniu został zdefiniowany w sekcji Cel projektu i dotyczy braku podstaw do jednoznacznego oznaczania i trenowania modeli na danych z naczep. Nie istnieje taksonomia klas zabezpieczeń transportowych, którą można wykorzystać jako ontologię do detekcji obiektów, ani wspólna metodyka uczenia przy niezbalansowaniu wynikającym z różnorodności klas ładunku (Neupane i in., 2025). Bez jednoznacznych etykiet i zasad podziału danych modele z zadań Z4 i Z8 byłyby trenowane i oceniane nierzetelnie.</w:t>
      </w:r>
    </w:p>
    <w:p>
      <w:pPr>
        <w:spacing w:after="60"/>
      </w:pPr>
      <w:r>
        <w:rPr>
          <w:b w:val="0"/>
        </w:rPr>
        <w:t>W wyniku badań powstanie nowa wiedza w trzech obszarach. Po pierwsze, taksonomia klas zabezpieczeń zgodna z EN 12195, zwalidowana ilościowo współczynnikiem kappa. Po drugie, protokół zbioru rozstrzygający definicję zdarzenia ryzyka, liczność i podział danych tak, aby walidacja w zadaniu Z9 pozostała niezależna. Po trzecie, wynik porównania architektur przy niezbalansowaniu 1:30-1:100 i okluzjach, będący podstawą wyboru modeli w zadaniach Z4 i Z8.</w:t>
      </w:r>
    </w:p>
    <w:p>
      <w:pPr>
        <w:spacing w:after="60"/>
      </w:pPr>
      <w:r>
        <w:rPr>
          <w:b w:val="0"/>
        </w:rPr>
        <w:t>Metoda badawcza obejmuje trzy powiązane części. Taksonomia zostanie opracowana na podstawie analizy normy EN 12195 i konsultacji z ekspertami TSL, a następnie zapisana jako ontologia z kryteriami binarnymi (kąt pasa, napięcie, położenie klina, kompletność). Zostanie zwalidowana zgodnością anotatorów na próbie pilotażowej co najmniej 10% klatek z zadania Z2 w M10, a jeżeli współczynnik kappa będzie niższy niż 0,80, kryteria zostaną poprawione i zwalidowane ponownie, najwyżej dwukrotnie, w oknach po 4-6 tygodni. Protokół zostanie oparty na analizie statystycznej wymaganej liczności, a krzywa Wöhlera zostanie zoperacjonalizowana jako skumulowana suma amplitud poniżej progu dla każdej klasy. Porównanie architektur zostanie przeprowadzone na danych publicznych, syntetycznych, laboratoryjnych (stanowisko PRz z kontrolowanymi konfiguracjami zabezpieczeń i znanym ground truth, pomiar opóźnienia end-to-end) oraz pilotażowych z zadania Z2, według metryk AUC-ROC, AUC-PR, mAP i opóźnienia. Ponadto przetestowane zostaną metody uczenia przy niezbalansowaniu: Borderline-SMOTE, ADASYN, funkcja straty zależna od kosztu błędu i zespoły modeli.</w:t>
      </w:r>
    </w:p>
    <w:p>
      <w:pPr>
        <w:spacing w:after="60"/>
      </w:pPr>
      <w:r>
        <w:rPr>
          <w:b w:val="0"/>
        </w:rPr>
        <w:t>Stanowisko laboratoryjne jest niezbędne do przeprowadzenia tych badań. Zapewnia powtarzalne warunki, których nie dają dane publiczne i pilotażowe: kontrolowaną ekspozycję, znany ground truth i pomiar opóźnienia na docelowej klasie sprzętu. Zakup komponentów nie jest wynikiem badawczym, lecz warunkiem ich przeprowadzenia, a koszty zadania obejmują wynagrodzenia zespołu PRz oraz te komponenty.</w:t>
      </w:r>
    </w:p>
    <w:p>
      <w:pPr>
        <w:spacing w:after="60"/>
      </w:pPr>
      <w:r>
        <w:rPr>
          <w:b w:val="0"/>
        </w:rPr>
        <w:t>Wybór metody jest uzasadniony czterema względami. Zgodność anotatorów i porównanie architektur względem założonych metryk dają weryfikowalny wynik, dlatego metoda jest celowa i skuteczna. Protokół i pomiar zgodności zapewniają powtarzalność, czyli niezawodność. Jedno stanowisko służy w zadaniach Z3 i Z5, co zapewnia ekonomiczność.</w:t>
      </w:r>
    </w:p>
    <w:p>
      <w:pPr>
        <w:spacing w:after="60"/>
      </w:pPr>
      <w:r>
        <w:rPr>
          <w:b w:val="0"/>
        </w:rPr>
        <w:t>Zadanie ma charakter badań przemysłowych, ponieważ wytwarza nową wiedzę (taksonomia, protokół, wyniki porównawcze), a nie wdraża znanego rozwiązania. Punkt kontrolny M10 należy do kamienia milowego zadania Z3 i ma osobny protokół walidacji pilotażowej.</w:t>
      </w:r>
    </w:p>
    <w:p>
      <w:pPr>
        <w:spacing w:after="60"/>
      </w:pPr>
      <w:r>
        <w:rPr>
          <w:b w:val="0"/>
        </w:rPr>
        <w:t xml:space="preserve">Kolejność prac wynika z potrzeb zadania Z2. Protokół zbioru powstanie w </w:t>
      </w:r>
      <w:r>
        <w:rPr>
          <w:b w:val="0"/>
          <w:highlight w:val="yellow"/>
        </w:rPr>
        <w:t>M6-M8</w:t>
      </w:r>
      <w:r>
        <w:rPr>
          <w:b w:val="0"/>
        </w:rPr>
        <w:t xml:space="preserve">, ponieważ Z2 potrzebuje go przed pierwszymi przejazdami, taksonomia 1.0 i walidacja pilotażowa przypadają na </w:t>
      </w:r>
      <w:r>
        <w:rPr>
          <w:b w:val="0"/>
          <w:highlight w:val="yellow"/>
        </w:rPr>
        <w:t>M9-M10</w:t>
      </w:r>
      <w:r>
        <w:rPr>
          <w:b w:val="0"/>
        </w:rPr>
        <w:t xml:space="preserve">, porównanie architektur na </w:t>
      </w:r>
      <w:r>
        <w:rPr>
          <w:b w:val="0"/>
          <w:highlight w:val="yellow"/>
        </w:rPr>
        <w:t>M11-M16</w:t>
      </w:r>
      <w:r>
        <w:rPr>
          <w:b w:val="0"/>
        </w:rPr>
        <w:t xml:space="preserve">, a wybór architektur i raport na </w:t>
      </w:r>
      <w:r>
        <w:rPr>
          <w:b w:val="0"/>
          <w:highlight w:val="yellow"/>
        </w:rPr>
        <w:t>M17-M18</w:t>
      </w:r>
      <w:r>
        <w:rPr>
          <w:b w:val="0"/>
        </w:rPr>
        <w:t>. Protokół i taksonomia 1.0 wiążą zadanie Z2, a wybrane architektury są wejściem dla zadań Z4 i Z8.</w:t>
      </w:r>
    </w:p>
    <w:p>
      <w:pPr>
        <w:pStyle w:val="Heading3"/>
      </w:pPr>
      <w:r>
        <w:t>Kamień milowy zadania 3</w:t>
      </w:r>
    </w:p>
    <w:p>
      <w:pPr>
        <w:keepNext/>
        <w:spacing w:before="160" w:after="40"/>
      </w:pPr>
      <w:r>
        <w:rPr>
          <w:b/>
          <w:sz w:val="20"/>
        </w:rPr>
        <w:t>Nazwa kamienia milowego</w:t>
      </w:r>
      <w:r>
        <w:rPr>
          <w:color w:val="666666"/>
          <w:sz w:val="17"/>
        </w:rPr>
        <w:t xml:space="preserve"> [301 z 500 znaków]</w:t>
      </w:r>
    </w:p>
    <w:p>
      <w:pPr>
        <w:spacing w:after="60"/>
        <w:shd w:val="clear" w:color="auto" w:fill="EEF3FA"/>
      </w:pPr>
      <w:r>
        <w:rPr>
          <w:b w:val="0"/>
        </w:rPr>
        <w:t>Zwalidowana taksonomia klas zabezpieczeń TSL zgodna z EN 12195 (wersja 1.0 do M10, walidacja pilotażowa współczynnikiem kappa) i protokół zbioru danych jako wiążące wejście do Z2 oraz oparty na benchmarkingu wybór architektur bazowych modeli ML ryzyka i CV jako specyfikacja wejściowa dla Z4, Z5 i Z8.</w:t>
      </w:r>
    </w:p>
    <w:p>
      <w:pPr>
        <w:keepNext/>
        <w:spacing w:before="160" w:after="40"/>
      </w:pPr>
      <w:r>
        <w:rPr>
          <w:b/>
          <w:sz w:val="20"/>
        </w:rPr>
        <w:t>Parametry</w:t>
      </w:r>
      <w:r>
        <w:rPr>
          <w:color w:val="666666"/>
          <w:sz w:val="17"/>
        </w:rPr>
        <w:t xml:space="preserve"> [816 z 1300 znaków]</w:t>
      </w:r>
    </w:p>
    <w:p>
      <w:pPr>
        <w:spacing w:after="60"/>
        <w:shd w:val="clear" w:color="auto" w:fill="EEF3FA"/>
      </w:pPr>
      <w:r>
        <w:rPr>
          <w:b w:val="0"/>
        </w:rPr>
        <w:t>1. Zgodność anotatorów, współczynnik Cohena kappa, na próbie pilotażowej co najmniej 10% klatek z Z2, osiągnięta do M10: nie mniej niż 0,80 (wielkość bezwymiarowa, 1,0 oznacza pełną zgodność; brak jednostki SI). Jakość pełnego zbioru jest parametrem kamienia z Z2.</w:t>
      </w:r>
    </w:p>
    <w:p>
      <w:pPr>
        <w:spacing w:after="60"/>
        <w:shd w:val="clear" w:color="auto" w:fill="EEF3FA"/>
      </w:pPr>
      <w:r>
        <w:rPr>
          <w:b w:val="0"/>
        </w:rPr>
        <w:t>2. Architektura ML na danych pilotażowych przy niezbalansowaniu 1:30-1:100: AUC-ROC nie mniej niż 0,70 (próg pośredni, docelowo 0,85 w Z4). Architektura CV: mAP przy IoU 0,50 nie mniej niż 0,60 (próg pośredni, docelowo 0,75 w Z8). Obie wartości z przedziałem ufności 95%. Wielkości bezwymiarowe, 1,0 oznacza wynik idealny.</w:t>
      </w:r>
    </w:p>
    <w:p>
      <w:pPr>
        <w:spacing w:after="60"/>
        <w:shd w:val="clear" w:color="auto" w:fill="EEF3FA"/>
      </w:pPr>
      <w:r>
        <w:rPr>
          <w:b w:val="0"/>
        </w:rPr>
        <w:t>Kompletność: protokół (5 klas ładunku, definicja ZR, 50 ZR i 500 rekordów na klasę, zasady podziału danych); zbiór obrazowy co najmniej 15 000 klatek i 5 klas zabezpieczeń; taksonomia z hierarchią klas i podklas według EN 12195.</w:t>
      </w:r>
    </w:p>
    <w:p>
      <w:pPr>
        <w:keepNext/>
        <w:spacing w:before="160" w:after="40"/>
      </w:pPr>
      <w:r>
        <w:rPr>
          <w:b/>
          <w:sz w:val="20"/>
        </w:rPr>
        <w:t>Opis sposobu weryfikacji osiągnięcia kamienia milowego</w:t>
      </w:r>
      <w:r>
        <w:rPr>
          <w:color w:val="666666"/>
          <w:sz w:val="17"/>
        </w:rPr>
        <w:t xml:space="preserve"> [837 z 1300 znaków]</w:t>
      </w:r>
    </w:p>
    <w:p>
      <w:pPr>
        <w:spacing w:after="60"/>
        <w:shd w:val="clear" w:color="auto" w:fill="EEF3FA"/>
      </w:pPr>
      <w:r>
        <w:rPr>
          <w:b w:val="0"/>
        </w:rPr>
        <w:t>Odpowiada Politechnika Rzeszowska. Dokumenty zatwierdza kierownik B+R Damian Kordos, a taksonomię dodatkowo specjalista TSL Everest11 Michał Hajduk (konsultacja). Weryfikacja: 1) punkt kontrolny M10: raport zgodności kappa na próbie pilotażowej z Z2 oraz protokół przekazania taksonomii 1.0 i protokołu do Z2; 2) progi pośrednie z raportów benchmarkingu (AUC-ROC modelu ML na danych pilotażowych, mAP modelu CV na podzbiorze) z protokołem testowym; 3) kompletność z kontroli zgodności protokołu i taksonomii z wymaganą licznością, klasami i zasadami podziału. Metryki przelicza niezależnie AI Lead Everest11 Jakub Kosterna na zamrożonym zbiorze testowym. Instrukcja dopuszcza jeden kamień na zadanie, dlatego M10 jest punktem kontrolnym tego kamienia, z odrębnym protokołem. Decyzję o dalszym przebiegu podejmuje komitet sterujący w M18.</w:t>
      </w:r>
    </w:p>
    <w:p>
      <w:pPr>
        <w:keepNext/>
        <w:spacing w:before="160" w:after="40"/>
      </w:pPr>
      <w:r>
        <w:rPr>
          <w:b/>
          <w:sz w:val="20"/>
        </w:rPr>
        <w:t>Opis wpływu nieosiągnięcia kamienia milowego na realizację projektu</w:t>
      </w:r>
      <w:r>
        <w:rPr>
          <w:color w:val="666666"/>
          <w:sz w:val="17"/>
        </w:rPr>
        <w:t xml:space="preserve"> [745 z 1300 znaków]</w:t>
      </w:r>
    </w:p>
    <w:p>
      <w:pPr>
        <w:spacing w:after="60"/>
        <w:shd w:val="clear" w:color="auto" w:fill="EEF3FA"/>
      </w:pPr>
      <w:r>
        <w:rPr>
          <w:b w:val="0"/>
        </w:rPr>
        <w:t xml:space="preserve">Brak kamienia wstrzymuje właściwą anotację w Z2 oraz wybór architektur w Z4 i Z8. Gdy kappa jest mniejsza niż 0,80, doprecyzowujemy kryteria i walidujemy ponownie, do dwóch iteracji po 4-6 tygodni. Gdy żadna architektura nie osiąga progów pośrednich, rozszerzamy ich przestrzeń o jedną iterację. Wartość graniczna no-go: kappa mniejsza niż </w:t>
      </w:r>
      <w:r>
        <w:rPr>
          <w:b w:val="0"/>
          <w:highlight w:val="yellow"/>
        </w:rPr>
        <w:t>0,70</w:t>
      </w:r>
      <w:r>
        <w:rPr>
          <w:b w:val="0"/>
        </w:rPr>
        <w:t xml:space="preserve"> po dwóch iteracjach albo AUC-ROC mniejsze niż </w:t>
      </w:r>
      <w:r>
        <w:rPr>
          <w:b w:val="0"/>
          <w:highlight w:val="yellow"/>
        </w:rPr>
        <w:t>0,60</w:t>
      </w:r>
      <w:r>
        <w:rPr>
          <w:b w:val="0"/>
        </w:rPr>
        <w:t xml:space="preserve"> lub mAP mniejsze niż </w:t>
      </w:r>
      <w:r>
        <w:rPr>
          <w:b w:val="0"/>
          <w:highlight w:val="yellow"/>
        </w:rPr>
        <w:t>0,50</w:t>
      </w:r>
      <w:r>
        <w:rPr>
          <w:b w:val="0"/>
        </w:rPr>
        <w:t xml:space="preserve"> dla wszystkich architektur. Wtedy komitet sterujący w M18 zawęża zakres (taksonomia do pasów i klinów według EN 12195, ML do 2-3 klas) albo przerywa zadanie. Zawężona taksonomia zachowuje funkcję automatycznej weryfikacji kluczowych zabezpieczeń, a wskaźniki mAP dla pominiętych klas aktualizujemy w trybie zmiany projektu.</w:t>
      </w:r>
    </w:p>
    <w:p>
      <w:r>
        <w:br w:type="page"/>
      </w:r>
    </w:p>
    <w:p>
      <w:pPr>
        <w:pStyle w:val="Heading1"/>
      </w:pPr>
      <w:r>
        <w:t>Zadanie 4</w:t>
      </w:r>
    </w:p>
    <w:p>
      <w:r>
        <w:rPr>
          <w:b/>
        </w:rPr>
        <w:t>4. Prace rozwojowe: Model ML predykcji ryzyka uszkodzenia ładunku (Z4)</w:t>
      </w:r>
    </w:p>
    <w:p>
      <w:r>
        <w:rPr>
          <w:color w:val="666666"/>
        </w:rPr>
        <w:t>Politechnika Rzeszowska, prace rozwojowe, M19-M27</w:t>
      </w:r>
    </w:p>
    <w:p>
      <w:pPr>
        <w:keepNext/>
        <w:spacing w:before="160" w:after="40"/>
      </w:pPr>
      <w:r>
        <w:rPr>
          <w:b/>
          <w:sz w:val="20"/>
        </w:rPr>
        <w:t>Zakres planowanych prac B+R</w:t>
      </w:r>
      <w:r>
        <w:rPr>
          <w:color w:val="666666"/>
          <w:sz w:val="17"/>
        </w:rPr>
        <w:t xml:space="preserve"> [3589 z 4000 znaków]</w:t>
      </w:r>
    </w:p>
    <w:p>
      <w:pPr>
        <w:spacing w:after="60"/>
      </w:pPr>
      <w:r>
        <w:rPr>
          <w:b w:val="0"/>
        </w:rPr>
        <w:t>Omawiane zadanie stanowi odpowiedź na problem technologiczny braku modelu predykcji ryzyka uszkodzenia ładunku, który wykorzystuje klasę ładunku i skumulowane narażenie zmęczeniowe (reprezentacja oparta na krzywej Wöhlera) przy niezbalansowaniu klas 1:30-1:100. Przeszukanie IEEE Xplore, Scopus i Google Scholar (maj 2026) nie wykazało takiego modelu dla transportu drogowego, a przegląd Neupane i in. (2025) wskazuje brak wspólnej metodyki dla niezbalansowania wynikającego z różnorodności klas obiektów. Niepewność techniczna dotyczy tego, czy model osiągnie AUC-ROC co najmniej 0,85 dla zdarzenia ryzyka (ZR).</w:t>
      </w:r>
    </w:p>
    <w:p>
      <w:pPr>
        <w:spacing w:after="60"/>
      </w:pPr>
      <w:r>
        <w:rPr>
          <w:b w:val="0"/>
        </w:rPr>
        <w:t>W wyniku realizacji zadania powstanie model referencyjny FP32 z modułem wyjaśnialności oraz wiedza o skuteczności technik niezbalansowania przy rzadkości zdarzeń 1-3%.</w:t>
      </w:r>
    </w:p>
    <w:p>
      <w:pPr>
        <w:spacing w:after="60"/>
      </w:pPr>
      <w:r>
        <w:rPr>
          <w:b w:val="0"/>
        </w:rPr>
        <w:t>W ramach zadania zrealizowane zostaną prace rozwojowe obejmujące:</w:t>
      </w:r>
    </w:p>
    <w:p>
      <w:pPr>
        <w:spacing w:after="60"/>
      </w:pPr>
      <w:r>
        <w:rPr>
          <w:b w:val="0"/>
        </w:rPr>
        <w:t>1. Inżynierię cech z trzech strumieni: drgań (FFT w oknach 10 s z 50% nakładaniem, pasma 0-5, 5-25, 25-80 i 80-150 Hz, RMS, kurtoza, skumulowana miara zmęczeniowa dla każdej klasy ładunku), temperatury (trajektoria, gradienty, zdarzenia kondensacji, czas poza progami) i wilgotności, w celu zbudowania cech o uzasadnieniu fizycznym.</w:t>
      </w:r>
    </w:p>
    <w:p>
      <w:pPr>
        <w:spacing w:after="60"/>
      </w:pPr>
      <w:r>
        <w:rPr>
          <w:b w:val="0"/>
        </w:rPr>
        <w:t>2. Eksperyment z uczeniem przy niezbalansowaniu na architekturze wybranej w zadaniu Z3: SMOTE, ADASYN, funkcja straty zależna od kosztu błędu, zespoły modeli, kalibracja progu pod czułość co najmniej 0,80 i walidacja krzyżowa stratyfikowana po kursach, w celu wyboru wariantu o najlepszej dyskryminacji. Badanie ablacyjne oddzieli wkład klasy ładunku i miary zmęczeniowej od wkładu technik niezbalansowania.</w:t>
      </w:r>
    </w:p>
    <w:p>
      <w:pPr>
        <w:spacing w:after="60"/>
      </w:pPr>
      <w:r>
        <w:rPr>
          <w:b w:val="0"/>
        </w:rPr>
        <w:t>3. Wyjaśnialność (SHAP, LIME): 10 najważniejszych cech dla każdej klasy, w celu uzyskania akceptacji modelu przez dyspozytora.</w:t>
      </w:r>
    </w:p>
    <w:p>
      <w:pPr>
        <w:spacing w:after="60"/>
      </w:pPr>
      <w:r>
        <w:rPr>
          <w:b w:val="0"/>
        </w:rPr>
        <w:t>4. Walidację na teście naturalnym z zadania Z2 (kursy nieużyte w treningu, co najmniej 30 ZR naturalnych, w tym co najmniej 10 w każdej z co najmniej 3 klas) oraz osobno raportowany test kontrolowany, z AUC-ROC i AUC-PR dla każdej klasy z przedziałem ufności 95% (bootstrap po kursach), w celu niezależnej oceny skuteczności.</w:t>
      </w:r>
    </w:p>
    <w:p>
      <w:pPr>
        <w:spacing w:after="60"/>
      </w:pPr>
      <w:r>
        <w:rPr>
          <w:b w:val="0"/>
        </w:rPr>
        <w:t>5. Ocenę metody referencyjnej (detektor progowy przeciążeń według EN 12195-1) na tym samym teście, w celu wyznaczenia wartości bazowej wskaźnika innowacyjności.</w:t>
      </w:r>
    </w:p>
    <w:p>
      <w:pPr>
        <w:spacing w:after="60"/>
      </w:pPr>
      <w:r>
        <w:rPr>
          <w:b w:val="0"/>
        </w:rPr>
        <w:t>Wynikiem będzie model referencyjny FP32 przekazany Everest11 do kompresji w zadaniu Z7. Walidacja terenowa należy do zadania Z9.</w:t>
      </w:r>
    </w:p>
    <w:p>
      <w:pPr>
        <w:spacing w:after="60"/>
      </w:pPr>
      <w:r>
        <w:rPr>
          <w:b w:val="0"/>
        </w:rPr>
        <w:t>Zadanie będzie realizowane przez zespół PRz. Specjalista ds. uczenia maszynowego, selekcji cech i predykcji ryzyka, w wymiarze 270 godzin, opracuje model, dobór cech, walidację i interpretowalność wyników. Główny specjalista ds. computer vision, rekonstrukcji 3D, kalibracji i analizy sygnałów, w wymiarze 227 godzin, przeanalizuje dane sygnałowe i drganiowe. Główny specjalista ds. systemów wizyjnych, percepcji 3D i integracji algorytmicznej, w wymiarze 227 godzin, zapewni spójność modelu z architekturą 3D. Specjalista ds. modelowania matematycznego, statystyki i walidacji ilościowej, w wymiarze 190 godzin, wykona walidację statystyczną i analizę błędów. Młodszy specjalista ds. uczenia maszynowego, przygotowania danych eksperymentalnych i analizy wyników, w wymiarze 120 godzin, przygotuje dane i zestawienia metryk. Specjalista ds. danych AI/CV, anotacji i analizy wyników modeli (130 godzin) przeanalizuje błędy predykcji, specjalista ds. przetwarzania danych wielomodalnych i organizacji datasetu (122 godziny) przygotuje cechy wejściowe i zestawy walidacyjne, a specjalista ds. implementacji AI/CV, automatyzacji eksperymentów i edge AI (120 godzin) zautomatyzuje eksperymenty i skrypty ewaluacyjne. Zakres prac jest wyłącznie badawczo-rozwojowy.</w:t>
      </w:r>
    </w:p>
    <w:p>
      <w:pPr>
        <w:keepNext/>
        <w:spacing w:before="160" w:after="40"/>
      </w:pPr>
      <w:r>
        <w:rPr>
          <w:b/>
          <w:sz w:val="20"/>
        </w:rPr>
        <w:t>Szczegółowy opis planowanych prac wraz z uzasadnieniem (w tym opis metody badawczej)</w:t>
      </w:r>
      <w:r>
        <w:rPr>
          <w:color w:val="666666"/>
          <w:sz w:val="17"/>
        </w:rPr>
        <w:t xml:space="preserve"> [3260 z 4000 znaków]</w:t>
      </w:r>
    </w:p>
    <w:p>
      <w:pPr>
        <w:spacing w:after="60"/>
      </w:pPr>
      <w:r>
        <w:rPr>
          <w:b w:val="0"/>
        </w:rPr>
        <w:t>Problem technologiczny rozwiązywany w zadaniu został zdefiniowany w sekcji Cel projektu i dotyczy tego, czy z sygnałów drgań, temperatury i wilgotności można wiarygodnie przewidywać uszkodzenie ładunku. Gotowe metody przewidywania uszkodzeń z sygnałów drgań dotyczą maszyn wirujących, gdzie zdarzenia stanowią 10-30% obserwacji. W transporcie zdarzenia występują w 1-3% przesyłek, klasy ładunku mają różne progi uszkodzeń, a narażenie się kumuluje. Nie wiadomo, jak znane techniki zachowają się przy takiej rzadkości, ani czy cechy fizyczne i klasa ładunku istotnie poprawiają rozróżnianie przypadków.</w:t>
      </w:r>
    </w:p>
    <w:p>
      <w:pPr>
        <w:spacing w:after="60"/>
      </w:pPr>
      <w:r>
        <w:rPr>
          <w:b w:val="0"/>
        </w:rPr>
        <w:t>Zadanie ma charakter prac rozwojowych i nie polega na wytrenowaniu gotowej sieci na danych, co mogłoby zostać uznane za rutynową czynność informatyczną. Reprezentacja skumulowanego narażenia z klasą ładunku jest nowa w tej dziedzinie. Skuteczność technik niezbalansowania przy rzadkości 1-3% i małej liczbie przypadków dodatnich nie jest znana. Dobór progu pod czułość 0,80 przy użytecznej precyzji wymaga kalibracji eksperymentalnej, a wynik nie jest przesądzony. Znane narzędzia (FFT, SHAP, SMOTE) zostaną wykorzystane do zbudowania nowego modelu, a nie do zmiany działającego produktu.</w:t>
      </w:r>
    </w:p>
    <w:p>
      <w:pPr>
        <w:spacing w:after="60"/>
      </w:pPr>
      <w:r>
        <w:rPr>
          <w:b w:val="0"/>
        </w:rPr>
        <w:t>Metoda polega na kontrolowanym porównaniu wariantów rozwiązania. Zostaną porównane: baza bez technik niezbalansowania, SMOTE lub ADASYN, funkcja straty zależna od kosztu błędu oraz zespół modeli, każde z trzema zestawami cech (bez klasy i miary zmęczeniowej, tylko klasa, pełny). Walidacja krzyżowa będzie stratyfikowana po kursach, aby uniknąć przecieku między oknami tego samego przejazdu. Oceniane będą AUC-ROC i AUC-PR dla każdej klasy (AUC-PR uzupełnia AUC-ROC, który przy 1:30-1:100 bywa zbyt optymistyczny), czułość w wybranym progu, macierz pomyłek i przedział ufności 95%.</w:t>
      </w:r>
    </w:p>
    <w:p>
      <w:pPr>
        <w:spacing w:after="60"/>
      </w:pPr>
      <w:r>
        <w:rPr>
          <w:b w:val="0"/>
        </w:rPr>
        <w:t>Jako punkt odniesienia zostanie użyta metoda referencyjna. Wartością bazową będzie detektor progowy według EN 12195-1 oceniony na tym samym teście, a nie klasyfikator losowy (AUC 0,50), dzięki czemu wskaźnik innowacyjności pokaże rzeczywistą przewagę modelu. Wyjaśnialność SHAP i LIME jest warunkiem akceptacji przez dyspozytora i materiałem do planowanego zgłoszenia patentowego. Podział danych będzie zgodny z protokołem z zadania Z3: dane kontrolowane i syntetyczne tylko w treningu, test naturalny rozszerzany do 30 ZR naturalnych (10 w każdej z 3 klas), osobny test kontrolowany.</w:t>
      </w:r>
    </w:p>
    <w:p>
      <w:pPr>
        <w:spacing w:after="60"/>
      </w:pPr>
      <w:r>
        <w:rPr>
          <w:b w:val="0"/>
        </w:rPr>
        <w:t>Wybór metody jest uzasadniony czterema względami. Walidacja po kursach i odrębny test dają obiektywny wynik, co zapewnia niezawodność. Badanie ablacyjne wskazuje, co faktycznie poprawia wynik, dlatego metoda jest celowa i skuteczna. Wykorzystanie zbioru z zadania Z2 i środowiska obliczeniowego PRz zapewnia ekonomiczność, a koszty zadania obejmują wynagrodzenia wymienionych osób PRz.</w:t>
      </w:r>
    </w:p>
    <w:p>
      <w:pPr>
        <w:spacing w:after="60"/>
      </w:pPr>
      <w:r>
        <w:rPr>
          <w:b w:val="0"/>
        </w:rPr>
        <w:t xml:space="preserve">Kolejność prac wynika z logiki eksperymentu. Inżynieria cech zostanie wykonana w </w:t>
      </w:r>
      <w:r>
        <w:rPr>
          <w:b w:val="0"/>
          <w:highlight w:val="yellow"/>
        </w:rPr>
        <w:t>M19-M20</w:t>
      </w:r>
      <w:r>
        <w:rPr>
          <w:b w:val="0"/>
        </w:rPr>
        <w:t xml:space="preserve">, eksperymenty z niezbalansowaniem w </w:t>
      </w:r>
      <w:r>
        <w:rPr>
          <w:b w:val="0"/>
          <w:highlight w:val="yellow"/>
        </w:rPr>
        <w:t>M21-M24</w:t>
      </w:r>
      <w:r>
        <w:rPr>
          <w:b w:val="0"/>
        </w:rPr>
        <w:t xml:space="preserve">, a walidacja i porównanie z metodą referencyjną w </w:t>
      </w:r>
      <w:r>
        <w:rPr>
          <w:b w:val="0"/>
          <w:highlight w:val="yellow"/>
        </w:rPr>
        <w:t>M25-M26</w:t>
      </w:r>
      <w:r>
        <w:rPr>
          <w:b w:val="0"/>
        </w:rPr>
        <w:t>. Raport i przekazanie modelu nastąpią w M27, po oknie korekt, ponieważ cechy trzeba przygotować przed eksperymentami, a walidacja wymaga zamrożenia wariantu. Zadanie korzysta z architektury z zadania Z3 i danych z zadania Z2, model FP32 jest wejściem do kompresji w zadaniu Z7, a jego skuteczność w ruchu sprawdzi zadanie Z9.</w:t>
      </w:r>
    </w:p>
    <w:p>
      <w:pPr>
        <w:pStyle w:val="Heading3"/>
      </w:pPr>
      <w:r>
        <w:t>Kamień milowy zadania 4</w:t>
      </w:r>
    </w:p>
    <w:p>
      <w:pPr>
        <w:keepNext/>
        <w:spacing w:before="160" w:after="40"/>
      </w:pPr>
      <w:r>
        <w:rPr>
          <w:b/>
          <w:sz w:val="20"/>
        </w:rPr>
        <w:t>Nazwa kamienia milowego</w:t>
      </w:r>
      <w:r>
        <w:rPr>
          <w:color w:val="666666"/>
          <w:sz w:val="17"/>
        </w:rPr>
        <w:t xml:space="preserve"> [312 z 500 znaków]</w:t>
      </w:r>
    </w:p>
    <w:p>
      <w:pPr>
        <w:spacing w:after="60"/>
        <w:shd w:val="clear" w:color="auto" w:fill="EEF3FA"/>
      </w:pPr>
      <w:r>
        <w:rPr>
          <w:b w:val="0"/>
        </w:rPr>
        <w:t>Model referencyjny FP32 predykcji ryzyka uszkodzenia ładunku z wielomodalnych sygnałów in-transit, z modułem wyjaśnialności SHAP i LIME, zwalidowany na teście naturalnym z Z2, z wartością bazową detektora progowego i raportem dla każdej klasy ładunku, przekazany Everest11 do kompresji i wdrożenia embedded w Z7.</w:t>
      </w:r>
    </w:p>
    <w:p>
      <w:pPr>
        <w:keepNext/>
        <w:spacing w:before="160" w:after="40"/>
      </w:pPr>
      <w:r>
        <w:rPr>
          <w:b/>
          <w:sz w:val="20"/>
        </w:rPr>
        <w:t>Parametry</w:t>
      </w:r>
      <w:r>
        <w:rPr>
          <w:color w:val="666666"/>
          <w:sz w:val="17"/>
        </w:rPr>
        <w:t xml:space="preserve"> [1038 z 1300 znaków]</w:t>
      </w:r>
    </w:p>
    <w:p>
      <w:pPr>
        <w:spacing w:after="60"/>
        <w:shd w:val="clear" w:color="auto" w:fill="EEF3FA"/>
      </w:pPr>
      <w:r>
        <w:rPr>
          <w:b w:val="0"/>
        </w:rPr>
        <w:t>1. AUC-ROC modelu FP32 dla co najmniej 3 klas ładunku (kruchy, paletowy standard, wrażliwy temperaturowo) na teście naturalnym (kursy nieużyte w treningu, co najmniej 30 ZR naturalnych, w tym co najmniej 10 w każdej z 3 klas): nie mniej niż 0,85, z przedziałem ufności 95% (bootstrap po kursach). Wielkość bezwymiarowa, brak jednostki SI, 1,0 oznacza klasyfikację idealną i jest punktem odniesienia 100%.</w:t>
      </w:r>
    </w:p>
    <w:p>
      <w:pPr>
        <w:spacing w:after="60"/>
        <w:shd w:val="clear" w:color="auto" w:fill="EEF3FA"/>
      </w:pPr>
      <w:r>
        <w:rPr>
          <w:b w:val="0"/>
        </w:rPr>
        <w:t>2. Czułość dla ZR co najmniej 0,80 przy użytecznej precyzji (AUC-PR i krzywa precision-recall); okno analizy sygnału 10 s, ZR to przemieszczenie ładunku o co najmniej 0,10 m, uszkodzenie albo poluzowanie zabezpieczenia.</w:t>
      </w:r>
    </w:p>
    <w:p>
      <w:pPr>
        <w:spacing w:after="60"/>
        <w:shd w:val="clear" w:color="auto" w:fill="EEF3FA"/>
      </w:pPr>
      <w:r>
        <w:rPr>
          <w:b w:val="0"/>
        </w:rPr>
        <w:t>3. Wartość bazowa: AUC-ROC detektora progowego według EN 12195-1 na tym samym teście, raportowana obok parametru 1.</w:t>
      </w:r>
    </w:p>
    <w:p>
      <w:pPr>
        <w:spacing w:after="60"/>
        <w:shd w:val="clear" w:color="auto" w:fill="EEF3FA"/>
      </w:pPr>
      <w:r>
        <w:rPr>
          <w:b w:val="0"/>
        </w:rPr>
        <w:t>Test kontrolowany raportujemy osobno, nie wchodzi do parametru 1. Wariant awaryjny: 2 klasy ładunku, opisany jako wyjątek w analizie ryzyka R2.</w:t>
      </w:r>
    </w:p>
    <w:p>
      <w:pPr>
        <w:spacing w:after="60"/>
        <w:shd w:val="clear" w:color="auto" w:fill="EEF3FA"/>
      </w:pPr>
      <w:r>
        <w:rPr>
          <w:b w:val="0"/>
        </w:rPr>
        <w:t>Kompletność: cechy z trzech strumieni, SHAP i LIME dla 10 najważniejszych cech w klasie, walidacja krzyżowa po kursach, macierz pomyłek dla każdej klasy.</w:t>
      </w:r>
    </w:p>
    <w:p>
      <w:pPr>
        <w:keepNext/>
        <w:spacing w:before="160" w:after="40"/>
      </w:pPr>
      <w:r>
        <w:rPr>
          <w:b/>
          <w:sz w:val="20"/>
        </w:rPr>
        <w:t>Opis sposobu weryfikacji osiągnięcia kamienia milowego</w:t>
      </w:r>
      <w:r>
        <w:rPr>
          <w:color w:val="666666"/>
          <w:sz w:val="17"/>
        </w:rPr>
        <w:t xml:space="preserve"> [789 z 1300 znaków]</w:t>
      </w:r>
    </w:p>
    <w:p>
      <w:pPr>
        <w:spacing w:after="60"/>
        <w:shd w:val="clear" w:color="auto" w:fill="EEF3FA"/>
      </w:pPr>
      <w:r>
        <w:rPr>
          <w:b w:val="0"/>
        </w:rPr>
        <w:t>Odpowiada Politechnika Rzeszowska. Merytorycznej weryfikacji i odbioru dokonuje kierownik B+R Damian Kordos na podstawie protokołu testowego PRz. Niezależnie metryki przelicza AI Lead Everest11 Jakub Kosterna na zamrożonym zbiorze testowym i skrypcie ewaluacyjnym. Weryfikacja: 1) AUC-ROC z krzywych ROC dla każdej klasy z przedziałem ufności 95% i liczbą ZR w teście; 2) czułość i AUC-PR z krzywej precision-recall i macierzy pomyłek z wybranym progiem; 3) wartość bazowa z AUC detektora progowego na tym samym teście; 4) kompletność z raportu SHAP i LIME, wyniku walidacji krzyżowej i wykazu kursów w zbiorach. Model trafia do Everest11 protokołem zdawczo-odbiorczym jako wejście do Z7, a potwierdzenie terenowe wykonuje Z9. Decyzję o dalszym przebiegu podejmuje komitet sterujący w M27.</w:t>
      </w:r>
    </w:p>
    <w:p>
      <w:pPr>
        <w:keepNext/>
        <w:spacing w:before="160" w:after="40"/>
      </w:pPr>
      <w:r>
        <w:rPr>
          <w:b/>
          <w:sz w:val="20"/>
        </w:rPr>
        <w:t>Opis wpływu nieosiągnięcia kamienia milowego na realizację projektu</w:t>
      </w:r>
      <w:r>
        <w:rPr>
          <w:color w:val="666666"/>
          <w:sz w:val="17"/>
        </w:rPr>
        <w:t xml:space="preserve"> [868 z 1300 znaków]</w:t>
      </w:r>
    </w:p>
    <w:p>
      <w:pPr>
        <w:spacing w:after="60"/>
        <w:shd w:val="clear" w:color="auto" w:fill="EEF3FA"/>
      </w:pPr>
      <w:r>
        <w:rPr>
          <w:b w:val="0"/>
        </w:rPr>
        <w:t xml:space="preserve">Brak kamienia eliminuje wskaźnik innowacyjności AUC-ROC 0,85 i walidację predykcji w Z9. Gdy AUC-ROC jest mniejsze niż 0,85, PRz wykonuje do dwóch iteracji (cechy, technika niezbalansowania, architektura z Z3, kalibracja progu), każdą w oknie 4-6 tygodni przed M27. Przy niedoborze zdarzeń uruchamiamy działania z Z2. Wariant zawężony: 2 klasy ładunku (kruchy, wrażliwy temperaturowo) z AUC-ROC nie mniejszym niż 0,85. Zachowuje cechę innowacyjną, czyli predykcję ryzyka z klasą ładunku, a wskaźnik minimum 3 klas aktualizujemy w trybie zmiany projektu. Wartość graniczna no-go: AUC-ROC mniejsze niż </w:t>
      </w:r>
      <w:r>
        <w:rPr>
          <w:b w:val="0"/>
          <w:highlight w:val="yellow"/>
        </w:rPr>
        <w:t>0,75</w:t>
      </w:r>
      <w:r>
        <w:rPr>
          <w:b w:val="0"/>
        </w:rPr>
        <w:t xml:space="preserve"> dla każdej klasy po dwóch iteracjach albo brak przewagi nad detektorem progowym (przyrost AUC mniejszy niż </w:t>
      </w:r>
      <w:r>
        <w:rPr>
          <w:b w:val="0"/>
          <w:highlight w:val="yellow"/>
        </w:rPr>
        <w:t>0,05</w:t>
      </w:r>
      <w:r>
        <w:rPr>
          <w:b w:val="0"/>
        </w:rPr>
        <w:t>). Wtedy komitet sterujący w M27 ogranicza zakres funkcji albo przerywa zadanie modelowe, a Z7 przyjmuje model o niższych, lecz zmierzonych parametrach.</w:t>
      </w:r>
    </w:p>
    <w:p>
      <w:r>
        <w:br w:type="page"/>
      </w:r>
    </w:p>
    <w:p>
      <w:pPr>
        <w:pStyle w:val="Heading1"/>
      </w:pPr>
      <w:r>
        <w:t>Zadanie 5</w:t>
      </w:r>
    </w:p>
    <w:p>
      <w:r>
        <w:rPr>
          <w:b/>
        </w:rPr>
        <w:t>5. Prace rozwojowe: Algorytmy fuzji ToF RGB-D lub EO/IR ze światłem strukturalnym z kompensacją drgań (Z5)</w:t>
      </w:r>
    </w:p>
    <w:p>
      <w:r>
        <w:rPr>
          <w:color w:val="666666"/>
        </w:rPr>
        <w:t>Politechnika Rzeszowska, prace rozwojowe, M19-M27</w:t>
      </w:r>
    </w:p>
    <w:p>
      <w:pPr>
        <w:keepNext/>
        <w:spacing w:before="160" w:after="40"/>
      </w:pPr>
      <w:r>
        <w:rPr>
          <w:b/>
          <w:sz w:val="20"/>
        </w:rPr>
        <w:t>Zakres planowanych prac B+R</w:t>
      </w:r>
      <w:r>
        <w:rPr>
          <w:color w:val="666666"/>
          <w:sz w:val="17"/>
        </w:rPr>
        <w:t xml:space="preserve"> [3725 z 4000 znaków]</w:t>
      </w:r>
    </w:p>
    <w:p>
      <w:pPr>
        <w:spacing w:after="60"/>
      </w:pPr>
      <w:r>
        <w:rPr>
          <w:b w:val="0"/>
        </w:rPr>
        <w:t>Omawiane zadanie stanowi odpowiedź na pierwszy problem badawczy zdefiniowany w celach projektu w części dotyczącej prac rozwojowych: nie wiadomo, czy znane metody pozwolą uzyskać wymagany błąd pozycji ładunku w modelu 3D przy zakłóceniach wielokamerowych MCI i drganiach naczepy bez założenia stałej geometrii sceny. Zadanie korzysta ze specyfikacji architektury z zadania Z1 i danych z zadania Z2.</w:t>
      </w:r>
    </w:p>
    <w:p>
      <w:pPr>
        <w:spacing w:after="60"/>
      </w:pPr>
      <w:r>
        <w:rPr>
          <w:b w:val="0"/>
        </w:rPr>
        <w:t>W wyniku realizacji zadania powstanie działający prototyp programowy funkcji 3D state estimation, składający się z dwóch zintegrowanych modułów algorytmicznych.</w:t>
      </w:r>
    </w:p>
    <w:p>
      <w:pPr>
        <w:spacing w:after="60"/>
      </w:pPr>
      <w:r>
        <w:rPr>
          <w:b w:val="0"/>
        </w:rPr>
        <w:t>W ramach zadania zrealizowane zostaną prace rozwojowe obejmujące:</w:t>
      </w:r>
    </w:p>
    <w:p>
      <w:pPr>
        <w:spacing w:after="60"/>
      </w:pPr>
      <w:r>
        <w:rPr>
          <w:b w:val="0"/>
        </w:rPr>
        <w:t>1. Opracowanie i wdrożenie modułu ograniczającego zakłócenia MCI w metalowej naczepie. Znane metody multipleksowania czasowego zostaną rozbudowane o mechanizm adaptacyjny, który w czasie rzeczywistym szacuje i kompensuje zakłócenia bez założenia stałej geometrii sceny. Zakłócenia wynikają ze zmiennej geometrii i refleksyjności ładunków (folia stretch, karton, stal, drewno w paśmie NIR 850-940 nm) oraz z wielokrotnych odbić od ścian i podłogi. Moduł zostanie przetestowany na stanowisku laboratoryjnym z 3-4 kamerami* i panelami metalowymi, w celu uzyskania redukcji RMSE głębi o co najmniej 50% względem wartości bazowej z zadania Z1, na co najmniej 200 parach map głębi.</w:t>
      </w:r>
    </w:p>
    <w:p>
      <w:pPr>
        <w:spacing w:after="60"/>
      </w:pPr>
      <w:r>
        <w:rPr>
          <w:b w:val="0"/>
        </w:rPr>
        <w:t>2. Opracowanie modułu rejestracji map głębi z kompensacją drgań z użyciem IMU. Dane IMU (akcelerometr i żyroskop przy każdej kamerze) zostaną połączone z mapami głębi w ścisłym sprzężeniu (tightly-coupled). Nowością względem metod wizyjno-inercyjnych będzie wykorzystanie spójności geometrycznej znanych, stałych elementów naczepy (ściany, podłoga, sufit) zamiast odometrii opartej na cechach obrazu oraz osobne strojenie filtra Kalmana dla widma drgań naczepy z dominantami od 8 do 25 Hz. Moduł zostanie przetestowany na rigu wibracyjnym PRz według ISO 8608 klasy D (od 5 do 150 Hz, przyspieszenia do 4,9 m/s2, sesja co najmniej 1800 s), w celu uzyskania stabilnego łączenia map głębi z kilku kamer.</w:t>
      </w:r>
    </w:p>
    <w:p>
      <w:pPr>
        <w:spacing w:after="60"/>
      </w:pPr>
      <w:r>
        <w:rPr>
          <w:b w:val="0"/>
        </w:rPr>
        <w:t>3. Integrację obu modułów w jeden pipeline aktualizujący model 3D z częstotliwością co najmniej 5 Hz oraz jego walidację na rigu z referencją fotogrametryczną, na co najmniej 100 sekwencjach z różnymi amplitudami i częstotliwościami, w celu wyznaczenia mediany i percentyla 95 błędu pozycji ładunku. Cel: mediana do 0,30 m, percentyl 95 do 0,35 m.</w:t>
      </w:r>
    </w:p>
    <w:p>
      <w:pPr>
        <w:spacing w:after="60"/>
      </w:pPr>
      <w:r>
        <w:rPr>
          <w:b w:val="0"/>
        </w:rPr>
        <w:t>Moduł programowy zostanie przekazany Everest11 do optymalizacji w zadaniu Z7.</w:t>
      </w:r>
    </w:p>
    <w:p>
      <w:pPr>
        <w:spacing w:after="60"/>
      </w:pPr>
      <w:r>
        <w:rPr>
          <w:b w:val="0"/>
        </w:rPr>
        <w:t>Zadanie będzie realizowane przez zespół PRz. Główny specjalista ds. systemów wizyjnych, percepcji 3D i integracji algorytmicznej, w wymiarze 227 godzin, opracuje i zwaliduje algorytmy fuzji ToF, RGB-D i IMU, kompensację drgań i model 3D. Główny specjalista ds. computer vision, rekonstrukcji 3D, kalibracji i analizy sygnałów, w wymiarze 227 godzin, opracuje rekonstrukcję 3D, stabilizację obrazu i kalibrację. Specjalista ds. uczenia maszynowego, selekcji cech i predykcji ryzyka, w wymiarze 70 godzin, oceni warianty algorytmiczne i jakość danych wejściowych. Specjalista ds. modelowania matematycznego, statystyki i walidacji ilościowej, w wymiarze 76 godzin, przeanalizuje błąd rekonstrukcji i stabilność fuzji. Młodszy specjalista ds. uczenia maszynowego, przygotowania danych eksperymentalnych i analizy wyników, w wymiarze 100 godzin, przeanalizuje wyniki i zestawienia błędów. Specjalista ds. danych AI/CV, anotacji i analizy wyników modeli (100 godzin) przeanalizuje błędy, specjalista ds. przetwarzania danych wielomodalnych i organizacji datasetu (104 godziny) zsynchronizuje dane IMU z głębią, a specjalista ds. implementacji AI/CV, automatyzacji eksperymentów i edge AI (112 godzin) zaimplementuje pipeline i zautomatyzuje eksperymenty. Zakres prac jest wyłącznie badawczo-rozwojowy.</w:t>
      </w:r>
    </w:p>
    <w:p>
      <w:pPr>
        <w:keepNext/>
        <w:spacing w:before="160" w:after="40"/>
      </w:pPr>
      <w:r>
        <w:rPr>
          <w:b/>
          <w:sz w:val="20"/>
        </w:rPr>
        <w:t>Szczegółowy opis planowanych prac wraz z uzasadnieniem (w tym opis metody badawczej)</w:t>
      </w:r>
      <w:r>
        <w:rPr>
          <w:color w:val="666666"/>
          <w:sz w:val="17"/>
        </w:rPr>
        <w:t xml:space="preserve"> [3170 z 4000 znaków]</w:t>
      </w:r>
    </w:p>
    <w:p>
      <w:pPr>
        <w:spacing w:after="60"/>
      </w:pPr>
      <w:r>
        <w:rPr>
          <w:b w:val="0"/>
        </w:rPr>
        <w:t>Problem badawczy rozwiązywany w zadaniu został zdefiniowany w sekcji Cel projektu w części dotyczącej prac rozwojowych i dotyczy uzyskania wymaganego błędu pozycji ładunku w modelu 3D w warunkach rzeczywistej naczepy. Zakłócenia wielokamerowe MCI, zmienna refleksyjność ładunków i drgania powodują, że znane metody wizyjno-inercyjne, opracowane dla scen otwartych, dronów i robotów mobilnych, nie gwarantują wymaganej dokładności. Nie wiadomo, czy da się ją osiągnąć bez założenia stałej geometrii sceny, a rozwiązanie wymaga zbudowania i przetestowania działającego prototypu.</w:t>
      </w:r>
    </w:p>
    <w:p>
      <w:pPr>
        <w:spacing w:after="60"/>
      </w:pPr>
      <w:r>
        <w:rPr>
          <w:b w:val="0"/>
        </w:rPr>
        <w:t>Zadanie ma charakter prac rozwojowych, ponieważ działający prototyp algorytmiczny będzie budowany iteracyjnie i walidowany w kontrolowanych eksperymentach w środowisku zbliżonym do docelowego. Osiągnie gotowość pozwalającą przekazać go do integracji embedded w zadaniu Z7. Niepewność dotyczy tego, czy znane metody dadzą wymagany błąd pozycji przy drganiach naczepy i zakłóceniach MCI.</w:t>
      </w:r>
    </w:p>
    <w:p>
      <w:pPr>
        <w:spacing w:after="60"/>
      </w:pPr>
      <w:r>
        <w:rPr>
          <w:b w:val="0"/>
        </w:rPr>
        <w:t>Metoda opiera się na trzech eksperymentach. Pierwszym jest eksperyment kontrolowany MCI: stanowisko z metalowymi panelami odwzorowującymi ściany naczepy i ładunkami o różnych klasach optycznych (folia, karton, stal, drewno). Błąd głębi zostanie zmierzony z mitygacją i bez (badanie ablacyjne) na co najmniej 200 parach map, co wyodrębni wkład algorytmu i dowiedzie jego skuteczności. Drugim jest eksperyment wibracyjny: rig odwzorowujący profil drgań naczepy według ISO 8608 klasy D z referencją fotogrametryczną, z fuzją danych ToF lub EO ze światłem strukturalnym oraz IMU i strojeniem filtra Kalmana dla widma od 8 do 25 Hz. Trzecim jest weryfikacja na wybranych rzeczywistych sekwencjach z zadania Z2, aby potwierdzić działanie poza laboratorium.</w:t>
      </w:r>
    </w:p>
    <w:p>
      <w:pPr>
        <w:spacing w:after="60"/>
      </w:pPr>
      <w:r>
        <w:rPr>
          <w:b w:val="0"/>
        </w:rPr>
        <w:t>Walidacja statystyczna zostanie wykonana na wielkościach istotnych dla wskaźników projektu. Obejmie medianę i percentyl 95 błędu pozycji na co najmniej 100 sekwencjach, błąd względny przemieszczenia między kolejnymi klatkami (decyduje o wykrywaniu przemieszczeń od 0,10 m w zadaniu Z8) oraz częstotliwość aktualizacji modelu co najmniej 5 Hz, przy czym te same wielkości będą ponownie mierzone po kompresji w zadaniu Z7 i w terenie w zadaniu Z9.</w:t>
      </w:r>
    </w:p>
    <w:p>
      <w:pPr>
        <w:spacing w:after="60"/>
      </w:pPr>
      <w:r>
        <w:rPr>
          <w:b w:val="0"/>
        </w:rPr>
        <w:t>Wybór metody jest uzasadniony czterema względami. Badanie ablacyjne jest jedynym sposobem rozdzielenia wkładu algorytmu od stanu bez mitygacji, dlatego metoda jest celowa i skuteczna. Rig z referencją fotogrametryczną daje obiektywny, powtarzalny pomiar, co zapewnia niezawodność. Wykorzystanie istniejącego stanowiska PRz i danych z zadania Z2 zapewnia ekonomiczność, a koszty zadania obejmują wynagrodzenia wymienionych osób PRz i eksploatację stanowisk zbudowanych w zadaniu Z3.</w:t>
      </w:r>
    </w:p>
    <w:p>
      <w:pPr>
        <w:spacing w:after="60"/>
      </w:pPr>
      <w:r>
        <w:rPr>
          <w:b w:val="0"/>
        </w:rPr>
        <w:t xml:space="preserve">Kolejność prac wynika z zależności między modułami. Moduł MCI zostanie wdrożony w </w:t>
      </w:r>
      <w:r>
        <w:rPr>
          <w:b w:val="0"/>
          <w:highlight w:val="yellow"/>
        </w:rPr>
        <w:t>M19-M21</w:t>
      </w:r>
      <w:r>
        <w:rPr>
          <w:b w:val="0"/>
        </w:rPr>
        <w:t xml:space="preserve">, ponieważ jego wynik poprawia dane wejściowe modułu rejestracji, moduł rejestracji z IMU i eksperymenty wibracyjne zostaną przeprowadzone w </w:t>
      </w:r>
      <w:r>
        <w:rPr>
          <w:b w:val="0"/>
          <w:highlight w:val="yellow"/>
        </w:rPr>
        <w:t>M22-M24</w:t>
      </w:r>
      <w:r>
        <w:rPr>
          <w:b w:val="0"/>
        </w:rPr>
        <w:t xml:space="preserve">, a integracja pipeline'u, walidacja na rigu i na sekwencjach z zadania Z2 oraz korekty w </w:t>
      </w:r>
      <w:r>
        <w:rPr>
          <w:b w:val="0"/>
          <w:highlight w:val="yellow"/>
        </w:rPr>
        <w:t>M25-M27</w:t>
      </w:r>
      <w:r>
        <w:rPr>
          <w:b w:val="0"/>
        </w:rPr>
        <w:t>. Wynikowy moduł jest wejściem do optymalizacji w zadaniu Z7, podstawą wskaźnika błędu pozycji walidowanego w zadaniu Z9 i progu wykrywania przemieszczeń w module change detection z zadania Z8.</w:t>
      </w:r>
    </w:p>
    <w:p>
      <w:pPr>
        <w:pStyle w:val="Heading3"/>
      </w:pPr>
      <w:r>
        <w:t>Kamień milowy zadania 5</w:t>
      </w:r>
    </w:p>
    <w:p>
      <w:pPr>
        <w:keepNext/>
        <w:spacing w:before="160" w:after="40"/>
      </w:pPr>
      <w:r>
        <w:rPr>
          <w:b/>
          <w:sz w:val="20"/>
        </w:rPr>
        <w:t>Nazwa kamienia milowego</w:t>
      </w:r>
      <w:r>
        <w:rPr>
          <w:color w:val="666666"/>
          <w:sz w:val="17"/>
        </w:rPr>
        <w:t xml:space="preserve"> [285 z 500 znaków]</w:t>
      </w:r>
    </w:p>
    <w:p>
      <w:pPr>
        <w:spacing w:after="60"/>
        <w:shd w:val="clear" w:color="auto" w:fill="EEF3FA"/>
      </w:pPr>
      <w:r>
        <w:rPr>
          <w:b w:val="0"/>
        </w:rPr>
        <w:t>Zwalidowany na stanowisku wibracyjnym prototyp programowy algorytmów 3D state estimation (mitygacja zakłóceń MCI i rejestracja map głębi z użyciem IMU), zintegrowany w jeden pipeline aktualizacji modelu 3D przestrzeni ładunkowej naczepy TIR i przekazany do optymalizacji embedded w Z7.</w:t>
      </w:r>
    </w:p>
    <w:p>
      <w:pPr>
        <w:keepNext/>
        <w:spacing w:before="160" w:after="40"/>
      </w:pPr>
      <w:r>
        <w:rPr>
          <w:b/>
          <w:sz w:val="20"/>
        </w:rPr>
        <w:t>Parametry</w:t>
      </w:r>
      <w:r>
        <w:rPr>
          <w:color w:val="666666"/>
          <w:sz w:val="17"/>
        </w:rPr>
        <w:t xml:space="preserve"> [932 z 1300 znaków]</w:t>
      </w:r>
    </w:p>
    <w:p>
      <w:pPr>
        <w:spacing w:after="60"/>
        <w:shd w:val="clear" w:color="auto" w:fill="EEF3FA"/>
      </w:pPr>
      <w:r>
        <w:rPr>
          <w:b w:val="0"/>
        </w:rPr>
        <w:t>1. Błąd pozycji bezwzględnej ładunku na rigu wibracyjnym (ISO 8608 klasy D, od 5 Hz do 150 Hz, przyspieszenia do 4,9 m/s2, referencja fotogrametryczna, co najmniej 100 sekwencji): mediana nie więcej niż 0,30 m, percentyl 95 nie więcej niż 0,35 m.</w:t>
      </w:r>
    </w:p>
    <w:p>
      <w:pPr>
        <w:spacing w:after="60"/>
        <w:shd w:val="clear" w:color="auto" w:fill="EEF3FA"/>
      </w:pPr>
      <w:r>
        <w:rPr>
          <w:b w:val="0"/>
        </w:rPr>
        <w:t xml:space="preserve">2. Błąd przemieszczenia względnego ładunku między kolejnymi klatkami: mediana nie więcej niż </w:t>
      </w:r>
      <w:r>
        <w:rPr>
          <w:b w:val="0"/>
          <w:highlight w:val="yellow"/>
        </w:rPr>
        <w:t>0,03 m</w:t>
      </w:r>
      <w:r>
        <w:rPr>
          <w:b w:val="0"/>
        </w:rPr>
        <w:t xml:space="preserve">, percentyl 95 nie więcej niż </w:t>
      </w:r>
      <w:r>
        <w:rPr>
          <w:b w:val="0"/>
          <w:highlight w:val="yellow"/>
        </w:rPr>
        <w:t>0,05 m</w:t>
      </w:r>
      <w:r>
        <w:rPr>
          <w:b w:val="0"/>
        </w:rPr>
        <w:t>. Wartość decyduje o wykrywaniu przemieszczeń od 0,10 m w Z8.</w:t>
      </w:r>
    </w:p>
    <w:p>
      <w:pPr>
        <w:spacing w:after="60"/>
        <w:shd w:val="clear" w:color="auto" w:fill="EEF3FA"/>
      </w:pPr>
      <w:r>
        <w:rPr>
          <w:b w:val="0"/>
        </w:rPr>
        <w:t>3. Częstotliwość aktualizacji modelu 3D: nie mniej niż 5 Hz, w konfiguracji kamer przyjętej w Z1*, w sesji trwającej co najmniej 1800 s.</w:t>
      </w:r>
    </w:p>
    <w:p>
      <w:pPr>
        <w:spacing w:after="60"/>
        <w:shd w:val="clear" w:color="auto" w:fill="EEF3FA"/>
      </w:pPr>
      <w:r>
        <w:rPr>
          <w:b w:val="0"/>
        </w:rPr>
        <w:t>4. Redukcja RMSE głębi względem wartości bazowej bez mitygacji z Z1: nie mniej niż 50% (100% to RMSE bez mitygacji), na co najmniej 200 parach map głębi. Wielkość względna, brak jednostki SI, dlatego zdefiniowano wartość odniesienia.</w:t>
      </w:r>
    </w:p>
    <w:p>
      <w:pPr>
        <w:spacing w:after="60"/>
        <w:shd w:val="clear" w:color="auto" w:fill="EEF3FA"/>
      </w:pPr>
      <w:r>
        <w:rPr>
          <w:b w:val="0"/>
        </w:rPr>
        <w:t>Kompletność: moduły MCI i rejestracji z IMU zintegrowane w jednym pipeline, pokrycie zakresu drgań od 5 Hz do 150 Hz.</w:t>
      </w:r>
    </w:p>
    <w:p>
      <w:pPr>
        <w:keepNext/>
        <w:spacing w:before="160" w:after="40"/>
      </w:pPr>
      <w:r>
        <w:rPr>
          <w:b/>
          <w:sz w:val="20"/>
        </w:rPr>
        <w:t>Opis sposobu weryfikacji osiągnięcia kamienia milowego</w:t>
      </w:r>
      <w:r>
        <w:rPr>
          <w:color w:val="666666"/>
          <w:sz w:val="17"/>
        </w:rPr>
        <w:t xml:space="preserve"> [805 z 1300 znaków]</w:t>
      </w:r>
    </w:p>
    <w:p>
      <w:pPr>
        <w:spacing w:after="60"/>
        <w:shd w:val="clear" w:color="auto" w:fill="EEF3FA"/>
      </w:pPr>
      <w:r>
        <w:rPr>
          <w:b w:val="0"/>
        </w:rPr>
        <w:t>Odpowiada Politechnika Rzeszowska. Merytorycznej weryfikacji i odbioru dokonuje kierownik B+R Damian Kordos na podstawie protokołu testów laboratoryjnych PRz. Niezależnie wyniki sprawdza AI Lead Everest11 Jakub Kosterna (powtórne wyliczenie z surowych logów). Weryfikacja: 1) błąd pozycji z raportu pomiarów fotogrametrycznych (mediana, percentyl 95, co najmniej 100 sekwencji); 2) przemieszczenie względne z tych samych sekwencji (różnice kolejnych klatek względem referencji); 3) redukcja RMSE z raportu badania ablacyjnego (co najmniej 200 par, z mitygacją i bez, wartość bazowa z Z1); 4) częstotliwość z logów znaczników czasu pipeline na docelowej konfiguracji. Moduł trafia do Everest11 protokołem zdawczo-odbiorczym jako wejście do Z7. Decyzję o dalszym przebiegu podejmuje komitet sterujący w M27.</w:t>
      </w:r>
    </w:p>
    <w:p>
      <w:pPr>
        <w:keepNext/>
        <w:spacing w:before="160" w:after="40"/>
      </w:pPr>
      <w:r>
        <w:rPr>
          <w:b/>
          <w:sz w:val="20"/>
        </w:rPr>
        <w:t>Opis wpływu nieosiągnięcia kamienia milowego na realizację projektu</w:t>
      </w:r>
      <w:r>
        <w:rPr>
          <w:color w:val="666666"/>
          <w:sz w:val="17"/>
        </w:rPr>
        <w:t xml:space="preserve"> [780 z 1300 znaków]</w:t>
      </w:r>
    </w:p>
    <w:p>
      <w:pPr>
        <w:spacing w:after="60"/>
        <w:shd w:val="clear" w:color="auto" w:fill="EEF3FA"/>
      </w:pPr>
      <w:r>
        <w:rPr>
          <w:b w:val="0"/>
        </w:rPr>
        <w:t xml:space="preserve">Brak kamienia uniemożliwia optymalizację embedded w Z7 i blokuje test terenowy błędu pozycji w Z9. Gdy mediana błędu pozycji przekracza 0,30 m, PRz wykonuje do dwóch iteracji (strojenie filtra Kalmana, model spójności geometrycznej, ewentualnie liczba kamer), każdą w oknie 4-6 tygodni przed M27. Wariant zawężony: mediana od 0,30 do 0,50 m daje lokalizację ładunku z dokładnością do strefy. Zachowuje cechy innowacyjne (model 3D z wielu kamer, wykrywanie przemieszczeń względnych od 0,10 m), a wskaźnik błędu pozycji aktualizujemy w trybie zmiany projektu. Wartość graniczna no-go: mediana błędu pozycji większa niż </w:t>
      </w:r>
      <w:r>
        <w:rPr>
          <w:b w:val="0"/>
          <w:highlight w:val="yellow"/>
        </w:rPr>
        <w:t>0,50 m</w:t>
      </w:r>
      <w:r>
        <w:rPr>
          <w:b w:val="0"/>
        </w:rPr>
        <w:t xml:space="preserve"> w każdej konfiguracji po dwóch iteracjach albo redukcja RMSE mniejsza niż </w:t>
      </w:r>
      <w:r>
        <w:rPr>
          <w:b w:val="0"/>
          <w:highlight w:val="yellow"/>
        </w:rPr>
        <w:t>30%</w:t>
      </w:r>
      <w:r>
        <w:rPr>
          <w:b w:val="0"/>
        </w:rPr>
        <w:t>. Wtedy komitet sterujący w M27 zawęża zakres funkcji 3D albo przerywa zadanie.</w:t>
      </w:r>
    </w:p>
    <w:p>
      <w:r>
        <w:br w:type="page"/>
      </w:r>
    </w:p>
    <w:p>
      <w:pPr>
        <w:pStyle w:val="Heading1"/>
      </w:pPr>
      <w:r>
        <w:t>Zadanie 6</w:t>
      </w:r>
    </w:p>
    <w:p>
      <w:r>
        <w:rPr>
          <w:b/>
        </w:rPr>
        <w:t>6. Prace rozwojowe: Pipeline PoC + integracja TMS/eFTI/e-CMR (Z6)</w:t>
      </w:r>
    </w:p>
    <w:p>
      <w:r>
        <w:rPr>
          <w:color w:val="666666"/>
        </w:rPr>
        <w:t>Everest11, prace rozwojowe, M19-M27, równolegle z Z7</w:t>
      </w:r>
    </w:p>
    <w:p>
      <w:pPr>
        <w:keepNext/>
        <w:spacing w:before="160" w:after="40"/>
      </w:pPr>
      <w:r>
        <w:rPr>
          <w:b/>
          <w:sz w:val="20"/>
        </w:rPr>
        <w:t>Zakres planowanych prac B+R</w:t>
      </w:r>
      <w:r>
        <w:rPr>
          <w:color w:val="666666"/>
          <w:sz w:val="17"/>
        </w:rPr>
        <w:t xml:space="preserve"> [3275 z 4000 znaków]</w:t>
      </w:r>
    </w:p>
    <w:p>
      <w:pPr>
        <w:spacing w:after="60"/>
      </w:pPr>
      <w:r>
        <w:rPr>
          <w:b w:val="0"/>
        </w:rPr>
        <w:t>Omawiane zadanie stanowi odpowiedź na problem technologiczny braku pipeline'u, który z fuzji różnych źródeł (model 3D z zadania Z5, raport CV i change detection z zadania Z8, klasyfikator ML z zadania Z4, historia sygnałów środowiskowych) tworzy dokument stanu ładunku, Proof of Loading (PoL) i Proof of Condition (PoC), mający wartość dowodową, w czasie do 30 s i także przy utracie łączności. Odpowiednika takiego rozwiązania nie ma na rynku. Zadanie jest realizowane przez Everest11 w miesiącach od M19 do M27, równolegle z zadaniem Z7.</w:t>
      </w:r>
    </w:p>
    <w:p>
      <w:pPr>
        <w:spacing w:after="60"/>
      </w:pPr>
      <w:r>
        <w:rPr>
          <w:b w:val="0"/>
        </w:rPr>
        <w:t>W wyniku realizacji zadania powstanie działający pipeline PoL i PoC z podpisem kryptograficznym, regułami przekształcania zdarzeń z sensorów w pola eFTI oraz wynikami walidacji czasu, pokrycia pól i zgodności treści.</w:t>
      </w:r>
    </w:p>
    <w:p>
      <w:pPr>
        <w:spacing w:after="60"/>
      </w:pPr>
      <w:r>
        <w:rPr>
          <w:b w:val="0"/>
        </w:rPr>
        <w:t>W ramach zadania zrealizowane zostaną prace rozwojowe obejmujące:</w:t>
      </w:r>
    </w:p>
    <w:p>
      <w:pPr>
        <w:spacing w:after="60"/>
      </w:pPr>
      <w:r>
        <w:rPr>
          <w:b w:val="0"/>
        </w:rPr>
        <w:t>1. Opracowanie pipeline'u PoL i PoC: fuzji źródeł i generacji dokumentu w czasie do 30 s (mediana) po zamknięciu drzwi, łańcucha integralności danych od sensora do dokumentu (podpis kryptograficzny, znacznik czasu GPS zsynchronizowany z zegarem embedded) oraz pracy przy przerywanej łączności z buforem do 72 h, w celu zachowania spójności dowodowej.</w:t>
      </w:r>
    </w:p>
    <w:p>
      <w:pPr>
        <w:spacing w:after="60"/>
      </w:pPr>
      <w:r>
        <w:rPr>
          <w:b w:val="0"/>
        </w:rPr>
        <w:t>2. Opracowanie reguł przekształcania zdarzeń z sensorów w pola eFTI (na przykład ZR w status ładunku) i potwierdzenie pokrycia co najmniej 95% wszystkich obligatoryjnych pól eFTI (rozporządzenie UE 2020/1056). Część pól pochodzi z TMS Everest11, część z sensorów CargoDT, a pola poza zakresem zostaną oznaczone z uzasadnieniem.</w:t>
      </w:r>
    </w:p>
    <w:p>
      <w:pPr>
        <w:spacing w:after="60"/>
      </w:pPr>
      <w:r>
        <w:rPr>
          <w:b w:val="0"/>
        </w:rPr>
        <w:t>3. Walidację merytoryczną: porównanie kluczowych pól PoL i PoC (klasa uszkodzenia, lokalizacja 3D, znacznik czasu) z ground truth na próbie co najmniej 10% dokumentów, nie mniej niż 50, oraz pomiar czasu na co najmniej 50 cyklach załadunek-rozładunek, w celu wykazania, że dokument odpowiada rzeczywistemu stanowi ładunku.</w:t>
      </w:r>
    </w:p>
    <w:p>
      <w:pPr>
        <w:spacing w:after="60"/>
      </w:pPr>
      <w:r>
        <w:rPr>
          <w:b w:val="0"/>
        </w:rPr>
        <w:t>Poza zakresem prac B+R i poza kosztami projektu pozostają: standardowe API TMS, integracje z Trans.eu, TimoCom i e-CMR, produkcyjny dashboard TMS, utrzymanie i przygotowanie do wdrożenia operacyjnego. Z istniejącego TMS zadanie korzysta przez interfejs testowy, wyłącznie do pomiaru czasu i kompletności.</w:t>
      </w:r>
    </w:p>
    <w:p>
      <w:pPr>
        <w:spacing w:after="60"/>
      </w:pPr>
      <w:r>
        <w:rPr>
          <w:b w:val="0"/>
        </w:rPr>
        <w:t>Zadanie będzie realizowane przez zespół Everest11. AI Lead zaprojektuje architekturę pipeline'u i fuzję źródeł oraz zoptymalizuje czas generacji. AI Senior Engineer zaimplementuje integrację change detection i generator raportu klasyfikatora ML z wyjaśnieniami SHAP. Cybersecurity / AI Act Specialist zaimplementuje podpis kryptograficzny i integralność łańcucha dowodowego, bez prac prawnych i dokumentacyjnych. IT Specialist zaimplementuje pipeline i generator eFTI w XML i JSON oraz zmierzy czasy i opóźnienia w testach integracyjnych. Backend/Full-Stack Developer, w wymiarze 1,0 etatu przez 9 miesięcy od M19 do M27, zbuduje strumieniowy potok danych z embedded do pipeline'u, kolejkowanie i spójność przy utracie łączności oraz wykona test zgodności eFTI z implementacją referencyjną Komisji Europejskiej. IoT Specialist zintegruje sygnał czujnika drzwi, synchronizację znaczników czasu GPS i agregację historii drgań, temperatury i wilgotności. Specjalista ds. logistyki TSL zinterpretuje operacyjnie pola eFTI i oceni treść PoL i PoC. Nakład czasu tych osób wynika z podziału ich etatów między zadania Z6, Z7 i Z9 określonego w budżecie.</w:t>
      </w:r>
    </w:p>
    <w:p>
      <w:pPr>
        <w:keepNext/>
        <w:spacing w:before="160" w:after="40"/>
      </w:pPr>
      <w:r>
        <w:rPr>
          <w:b/>
          <w:sz w:val="20"/>
        </w:rPr>
        <w:t>Szczegółowy opis planowanych prac wraz z uzasadnieniem (w tym opis metody badawczej)</w:t>
      </w:r>
      <w:r>
        <w:rPr>
          <w:color w:val="666666"/>
          <w:sz w:val="17"/>
        </w:rPr>
        <w:t xml:space="preserve"> [3098 z 4000 znaków]</w:t>
      </w:r>
    </w:p>
    <w:p>
      <w:pPr>
        <w:spacing w:after="60"/>
      </w:pPr>
      <w:r>
        <w:rPr>
          <w:b w:val="0"/>
        </w:rPr>
        <w:t>Problem technologiczny rozwiązywany w zadaniu został zdefiniowany w sekcji Cel projektu i dotyczy braku dokumentu stanu ładunku generowanego automatycznie z danych sensorycznych. Istniejące systemy telematyczne rejestrują lokalizację i zdarzenia progowe, ale nie tworzą dokumentu łączącego model 3D, wykrywanie zabezpieczeń, ocenę ryzyka z ML i historię narażenia, z podpisem i znacznikiem czasu. Nie wiadomo, czy da się to zrobić w 30 s na platformie embedded z zachowaniem spójności dowodowej przy przerywanej łączności.</w:t>
      </w:r>
    </w:p>
    <w:p>
      <w:pPr>
        <w:spacing w:after="60"/>
      </w:pPr>
      <w:r>
        <w:rPr>
          <w:b w:val="0"/>
        </w:rPr>
        <w:t>Zadanie ma charakter prac rozwojowych, a nie standardowej integracji IT, ponieważ dotyczy trzech niepewności technicznych. Pierwsza to czas generowania do 30 s przy fuzji snapshotu 3D, raportu CV, osi narażenia ML, historii sygnałów i wizualizacji 3D. Druga to pokrycie co najmniej 95% obligatoryjnych pól eFTI, gdy część pól wymaga danych spoza sensorów. Trzecia to zgodność treści dokumentu z rzeczywistym stanem ładunku. Czynności standardowe (API TMS, Trans.eu, TimoCom, e-CMR, produkcyjny dashboard, utrzymanie) nie są pracami B+R i nie są kosztem projektu.</w:t>
      </w:r>
    </w:p>
    <w:p>
      <w:pPr>
        <w:spacing w:after="60"/>
      </w:pPr>
      <w:r>
        <w:rPr>
          <w:b w:val="0"/>
        </w:rPr>
        <w:t>Metoda obejmuje trzy obszary prac. Dla pipeline'u zostaną sprofilowane wszystkie etapy, wskazane wąskie gardła i zastosowane przetwarzanie przyrostowe oraz bufor modelu 3D, a czas zostanie zmierzony na co najmniej 50 cyklach (mediana do 30 s, opóźnienie zdarzenia do interfejsu testowego TMS do 2 s). Łańcuch integralności będzie podpisanym pakietem z hashem źródeł i znacznikiem czasu, badanym testem odporności na utratę łączności. Dla eFTI zostaną przeanalizowane pola obligatoryjne, ustalona formalna reguła przekształcania zdarzeń w pola i przeprowadzona walidacja schematem XSD oraz implementacją referencyjną KE jako narzędziami testowymi, a mianownikiem wskaźnika pokrycia będą wszystkie pola obligatoryjne.</w:t>
      </w:r>
    </w:p>
    <w:p>
      <w:pPr>
        <w:spacing w:after="60"/>
      </w:pPr>
      <w:r>
        <w:rPr>
          <w:b w:val="0"/>
        </w:rPr>
        <w:t xml:space="preserve">Walidacja merytoryczna sprawdzi, czy dokument odpowiada rzeczywistości. Próba co najmniej 10% dokumentów (nie mniej niż 50) zostanie porównana z dokumentacją ground truth z zadania Z2 (klasa uszkodzenia, lokalizacja 3D, czas zdarzenia), przy wymaganej zgodności kluczowych pól co najmniej </w:t>
      </w:r>
      <w:r>
        <w:rPr>
          <w:b w:val="0"/>
          <w:highlight w:val="yellow"/>
        </w:rPr>
        <w:t>90%</w:t>
      </w:r>
      <w:r>
        <w:rPr>
          <w:b w:val="0"/>
        </w:rPr>
        <w:t>. Przydatność operacyjna (obrona reklamacji, wymagania ubezpieczyciela) zostanie oceniona na scenariuszach mieszanych, ADR i LTL.</w:t>
      </w:r>
    </w:p>
    <w:p>
      <w:pPr>
        <w:spacing w:after="60"/>
      </w:pPr>
      <w:r>
        <w:rPr>
          <w:b w:val="0"/>
        </w:rPr>
        <w:t>Wybór metody jest uzasadniony czterema względami. Test na rzeczywistych cyklach jest jedynym wiarygodnym sprawdzianem wykonalności, dlatego metoda jest celowa i skuteczna. Walidacja formalna i porównanie z ground truth zapewniają rzetelność, czyli niezawodność. Równoległość z zadaniem Z7 i interfejs testowy do istniejącego TMS zapewniają ekonomiczność, a koszty zadania obejmują wynagrodzenia wymienionych osób Everest11, z Backend/Full-Stack Developerem na 9 miesięcy.</w:t>
      </w:r>
    </w:p>
    <w:p>
      <w:pPr>
        <w:spacing w:after="60"/>
      </w:pPr>
      <w:r>
        <w:rPr>
          <w:b w:val="0"/>
        </w:rPr>
        <w:t xml:space="preserve">Kolejność prac wynika z dostępności modeli. Architektura pipeline'u i reguły eFTI powstaną w </w:t>
      </w:r>
      <w:r>
        <w:rPr>
          <w:b w:val="0"/>
          <w:highlight w:val="yellow"/>
        </w:rPr>
        <w:t>M19-M22</w:t>
      </w:r>
      <w:r>
        <w:rPr>
          <w:b w:val="0"/>
        </w:rPr>
        <w:t xml:space="preserve">, integracja i pomiary czasu w </w:t>
      </w:r>
      <w:r>
        <w:rPr>
          <w:b w:val="0"/>
          <w:highlight w:val="yellow"/>
        </w:rPr>
        <w:t>M23-M25</w:t>
      </w:r>
      <w:r>
        <w:rPr>
          <w:b w:val="0"/>
        </w:rPr>
        <w:t xml:space="preserve">, a walidacja merytoryczna na wersjach RC modeli i korekty w </w:t>
      </w:r>
      <w:r>
        <w:rPr>
          <w:b w:val="0"/>
          <w:highlight w:val="yellow"/>
        </w:rPr>
        <w:t>M26-M27</w:t>
      </w:r>
      <w:r>
        <w:rPr>
          <w:b w:val="0"/>
        </w:rPr>
        <w:t>, po dostarczeniu tych wersji. Zadanie korzysta z modeli z zadań Z4, Z5 i Z8 w wersjach release candidate do M26 oraz z platformy z zadania Z7, a pełna walidacja terenowa PoC należy do zadania Z9.</w:t>
      </w:r>
    </w:p>
    <w:p>
      <w:pPr>
        <w:pStyle w:val="Heading3"/>
      </w:pPr>
      <w:r>
        <w:t>Kamień milowy zadania 6</w:t>
      </w:r>
    </w:p>
    <w:p>
      <w:pPr>
        <w:keepNext/>
        <w:spacing w:before="160" w:after="40"/>
      </w:pPr>
      <w:r>
        <w:rPr>
          <w:b/>
          <w:sz w:val="20"/>
        </w:rPr>
        <w:t>Nazwa kamienia milowego</w:t>
      </w:r>
      <w:r>
        <w:rPr>
          <w:color w:val="666666"/>
          <w:sz w:val="17"/>
        </w:rPr>
        <w:t xml:space="preserve"> [268 z 500 znaków]</w:t>
      </w:r>
    </w:p>
    <w:p>
      <w:pPr>
        <w:spacing w:after="60"/>
        <w:shd w:val="clear" w:color="auto" w:fill="EEF3FA"/>
      </w:pPr>
      <w:r>
        <w:rPr>
          <w:b w:val="0"/>
        </w:rPr>
        <w:t>Działający pipeline Proof of Loading i Proof of Condition (fuzja modelu 3D, CV i ML) z podpisem kryptograficznym i odwzorowaniem na format eFTI, zwalidowany pod względem czasu generowania, pokrycia obligatoryjnych pól eFTI i zgodności treści dokumentów z ground truth.</w:t>
      </w:r>
    </w:p>
    <w:p>
      <w:pPr>
        <w:keepNext/>
        <w:spacing w:before="160" w:after="40"/>
      </w:pPr>
      <w:r>
        <w:rPr>
          <w:b/>
          <w:sz w:val="20"/>
        </w:rPr>
        <w:t>Parametry</w:t>
      </w:r>
      <w:r>
        <w:rPr>
          <w:color w:val="666666"/>
          <w:sz w:val="17"/>
        </w:rPr>
        <w:t xml:space="preserve"> [919 z 1300 znaków]</w:t>
      </w:r>
    </w:p>
    <w:p>
      <w:pPr>
        <w:spacing w:after="60"/>
        <w:shd w:val="clear" w:color="auto" w:fill="EEF3FA"/>
      </w:pPr>
      <w:r>
        <w:rPr>
          <w:b w:val="0"/>
        </w:rPr>
        <w:t>1. Pokrycie wszystkich obligatoryjnych pól eFTI (rozporządzenie UE 2020/1056) danymi dokumentu, część z TMS Everest11, część z sensorów CargoDT: nie mniej niż 95% (100% to wszystkie pola obligatoryjne wykazu), potwierdzone walidacją schematem XSD.</w:t>
      </w:r>
    </w:p>
    <w:p>
      <w:pPr>
        <w:spacing w:after="60"/>
        <w:shd w:val="clear" w:color="auto" w:fill="EEF3FA"/>
      </w:pPr>
      <w:r>
        <w:rPr>
          <w:b w:val="0"/>
        </w:rPr>
        <w:t xml:space="preserve">2. Zgodność kluczowych pól stanu ładunku (klasa uszkodzenia, lokalizacja 3D w metrach, znacznik czasu zdarzenia) z ground truth na próbie co najmniej 10% dokumentów, nie mniej niż 50: nie mniej niż </w:t>
      </w:r>
      <w:r>
        <w:rPr>
          <w:b w:val="0"/>
          <w:highlight w:val="yellow"/>
        </w:rPr>
        <w:t>90%</w:t>
      </w:r>
      <w:r>
        <w:rPr>
          <w:b w:val="0"/>
        </w:rPr>
        <w:t xml:space="preserve"> (100% to wszystkie pola kluczowe próby).</w:t>
      </w:r>
    </w:p>
    <w:p>
      <w:pPr>
        <w:spacing w:after="60"/>
        <w:shd w:val="clear" w:color="auto" w:fill="EEF3FA"/>
      </w:pPr>
      <w:r>
        <w:rPr>
          <w:b w:val="0"/>
        </w:rPr>
        <w:t>3. Czas generowania PoL i PoC, każdego osobno, mediana: nie więcej niż 30 s. Opóźnienie przesłania zdarzenia do interfejsu testowego TMS: nie więcej niż 2 s. Próba co najmniej 50 cykli załadunek-rozładunek.</w:t>
      </w:r>
    </w:p>
    <w:p>
      <w:pPr>
        <w:spacing w:after="60"/>
        <w:shd w:val="clear" w:color="auto" w:fill="EEF3FA"/>
      </w:pPr>
      <w:r>
        <w:rPr>
          <w:b w:val="0"/>
        </w:rPr>
        <w:t>Kompletność: PoL i PoC w dwóch fazach operacyjnych, eksport eFTI w XML i JSON z walidacją XSD, podpis kryptograficzny dokumentów, interfejs testowy do TMS. Integracje z Trans.eu, TimoCom i e-CMR są poza zakresem prac B+R.</w:t>
      </w:r>
    </w:p>
    <w:p>
      <w:pPr>
        <w:keepNext/>
        <w:spacing w:before="160" w:after="40"/>
      </w:pPr>
      <w:r>
        <w:rPr>
          <w:b/>
          <w:sz w:val="20"/>
        </w:rPr>
        <w:t>Opis sposobu weryfikacji osiągnięcia kamienia milowego</w:t>
      </w:r>
      <w:r>
        <w:rPr>
          <w:color w:val="666666"/>
          <w:sz w:val="17"/>
        </w:rPr>
        <w:t xml:space="preserve"> [692 z 1300 znaków]</w:t>
      </w:r>
    </w:p>
    <w:p>
      <w:pPr>
        <w:spacing w:after="60"/>
        <w:shd w:val="clear" w:color="auto" w:fill="EEF3FA"/>
      </w:pPr>
      <w:r>
        <w:rPr>
          <w:b w:val="0"/>
        </w:rPr>
        <w:t>Odpowiada Everest11. Odbioru dokonuje kierownik B+R Damian Kordos na podstawie protokołu testów. Weryfikacja: 1) pokrycie eFTI z raportu walidacji XSD i zestawienia pól wygenerowanych względem wykazu wszystkich pól obligatoryjnych, z oznaczeniem źródła pola (TMS albo sensory) i pól poza zakresem; 2) zgodność treści z porównania próby dokumentów z dokumentacją ground truth z Z2 (zdjęcia, protokoły inspekcji), raport zgodności dla każdego pola, wykonany skryptem; 3) czas i opóźnienie z logów systemowych z co najmniej 50 cykli; 4) kompletność z demonstracji generacji PoL i PoC, podpisu i eksportu eFTI na środowisku testowym. Decyzję o dalszym przebiegu podejmuje komitet sterujący w M27.</w:t>
      </w:r>
    </w:p>
    <w:p>
      <w:pPr>
        <w:keepNext/>
        <w:spacing w:before="160" w:after="40"/>
      </w:pPr>
      <w:r>
        <w:rPr>
          <w:b/>
          <w:sz w:val="20"/>
        </w:rPr>
        <w:t>Opis wpływu nieosiągnięcia kamienia milowego na realizację projektu</w:t>
      </w:r>
      <w:r>
        <w:rPr>
          <w:color w:val="666666"/>
          <w:sz w:val="17"/>
        </w:rPr>
        <w:t xml:space="preserve"> [843 z 1300 znaków]</w:t>
      </w:r>
    </w:p>
    <w:p>
      <w:pPr>
        <w:spacing w:after="60"/>
        <w:shd w:val="clear" w:color="auto" w:fill="EEF3FA"/>
      </w:pPr>
      <w:r>
        <w:rPr>
          <w:b w:val="0"/>
        </w:rPr>
        <w:t xml:space="preserve">Brak kamienia uniemożliwia walidację PoC i pokrycia eFTI w Z9. Gdy czas PoC przekracza 30 s, Everest11 stosuje optymalizację (przetwarzanie przyrostowe, bufor modelu 3D, równoległość) albo przenosi część obliczeń na mocniejszą platformę z Z7. Gdy pokrycie eFTI jest mniejsze niż 95%, rozszerzamy reguły przekształcania. Do dwóch iteracji, każda w oknie 4-6 tygodni przed M27. Wariant zawężony: pokrycie od 85% do 95% z jawnym wykazem pól wymagających danych zewnętrznych. Zachowuje funkcję dokumentacyjną (PoL i PoC z wartością dowodową), a wskaźnik pokrycia aktualizujemy w trybie zmiany projektu. Wartość graniczna no-go: pokrycie mniejsze niż </w:t>
      </w:r>
      <w:r>
        <w:rPr>
          <w:b w:val="0"/>
          <w:highlight w:val="yellow"/>
        </w:rPr>
        <w:t>85%</w:t>
      </w:r>
      <w:r>
        <w:rPr>
          <w:b w:val="0"/>
        </w:rPr>
        <w:t xml:space="preserve"> albo mediana czasu PoC większa niż </w:t>
      </w:r>
      <w:r>
        <w:rPr>
          <w:b w:val="0"/>
          <w:highlight w:val="yellow"/>
        </w:rPr>
        <w:t>60 s</w:t>
      </w:r>
      <w:r>
        <w:rPr>
          <w:b w:val="0"/>
        </w:rPr>
        <w:t xml:space="preserve"> albo zgodność treści mniejsza niż </w:t>
      </w:r>
      <w:r>
        <w:rPr>
          <w:b w:val="0"/>
          <w:highlight w:val="yellow"/>
        </w:rPr>
        <w:t>80%</w:t>
      </w:r>
      <w:r>
        <w:rPr>
          <w:b w:val="0"/>
        </w:rPr>
        <w:t xml:space="preserve"> po dwóch iteracjach. Wtedy komitet sterujący w M27 ogranicza zakres funkcji dokumentacyjnych albo przerywa zadanie.</w:t>
      </w:r>
    </w:p>
    <w:p>
      <w:r>
        <w:br w:type="page"/>
      </w:r>
    </w:p>
    <w:p>
      <w:pPr>
        <w:pStyle w:val="Heading1"/>
      </w:pPr>
      <w:r>
        <w:t>Zadanie 7</w:t>
      </w:r>
    </w:p>
    <w:p>
      <w:r>
        <w:rPr>
          <w:b/>
        </w:rPr>
        <w:t>7. Prace rozwojowe: Optymalizacja embedded AI + architektura sprzętowa</w:t>
      </w:r>
    </w:p>
    <w:p>
      <w:r>
        <w:rPr>
          <w:color w:val="666666"/>
        </w:rPr>
        <w:t>Everest11, prace rozwojowe, M19-M27, równolegle z Z6</w:t>
      </w:r>
    </w:p>
    <w:p>
      <w:pPr>
        <w:keepNext/>
        <w:spacing w:before="160" w:after="40"/>
      </w:pPr>
      <w:r>
        <w:rPr>
          <w:b/>
          <w:sz w:val="20"/>
        </w:rPr>
        <w:t>Zakres planowanych prac B+R</w:t>
      </w:r>
      <w:r>
        <w:rPr>
          <w:color w:val="666666"/>
          <w:sz w:val="17"/>
        </w:rPr>
        <w:t xml:space="preserve"> [3297 z 4000 znaków]</w:t>
      </w:r>
    </w:p>
    <w:p>
      <w:pPr>
        <w:spacing w:after="60"/>
      </w:pPr>
      <w:r>
        <w:rPr>
          <w:b w:val="0"/>
        </w:rPr>
        <w:t>Omawiane zadanie stanowi odpowiedź na problem technologiczny braku wbudowanego systemu, który w czasie rzeczywistym i bez łączności z internetem wykonuje inferencję skompresowanych modeli: 3D state estimation z zadania Z5, ML ryzyka z zadania Z4 i CV zabezpieczeń z zadania Z8. Odpowiednika takiego systemu nie ma obecnie na rynku. Zadanie jest realizowane przez Everest11 w miesiącach od M19 do M27 jako prace rozwojowe, a jego kamień milowy jest krytyczny dla zadania Z9.</w:t>
      </w:r>
    </w:p>
    <w:p>
      <w:pPr>
        <w:spacing w:after="60"/>
      </w:pPr>
      <w:r>
        <w:rPr>
          <w:b w:val="0"/>
        </w:rPr>
        <w:t>W wyniku realizacji zadania powstanie zintegrowany system embedded zwalidowany środowiskowo, z potwierdzonym opóźnieniem alertu i degradacją dokładności modeli po kompresji.</w:t>
      </w:r>
    </w:p>
    <w:p>
      <w:pPr>
        <w:spacing w:after="60"/>
      </w:pPr>
      <w:r>
        <w:rPr>
          <w:b w:val="0"/>
        </w:rPr>
        <w:t>W ramach zadania zrealizowane zostaną prace rozwojowe obejmujące:</w:t>
      </w:r>
    </w:p>
    <w:p>
      <w:pPr>
        <w:spacing w:after="60"/>
      </w:pPr>
      <w:r>
        <w:rPr>
          <w:b w:val="0"/>
        </w:rPr>
        <w:t>1. Kompresję modeli: kwantyzację po treningu do INT8 oraz trening z uwzględnieniem kwantyzacji (QAT) dla modeli wrażliwych, przycinanie strukturalne (pruning) według czułości filtrów i destylację wiedzy dla modeli CV z projektem sieci typu student, w celu zmieścienia modeli w platformie embedded. Budżet degradacji to nie więcej niż 3 punkty procentowe względem FP32 dla każdego modelu (AUC-ROC dla ML, mAP dla CV), sprawdzany na zbiorach testowych z zadań Z4 i Z8.</w:t>
      </w:r>
    </w:p>
    <w:p>
      <w:pPr>
        <w:spacing w:after="60"/>
      </w:pPr>
      <w:r>
        <w:rPr>
          <w:b w:val="0"/>
        </w:rPr>
        <w:t>2. Zaprojektowanie architektury sprzętowej: jednostki obliczeniowej AI o wydajności co najmniej 40 TOPS w INT8 (4 razy 10 do potęgi 13 operacji na sekundę, parametry odpowiadają NVIDIA Jetson Orin NX 16 GB lub równoważnej), obsługi 3-4 kamer* i radaru mmWave, interfejsów USB3, MIPI CSI-2, SPI, UART, I2C i Ethernet, zasilania 12 i 24 V DC z buforem UPS co najmniej 1800 s oraz obudowy IP67 na temperaturę od -25 do +70 °C, w celu zapewnienia pracy modeli w warunkach naczepy.</w:t>
      </w:r>
    </w:p>
    <w:p>
      <w:pPr>
        <w:spacing w:after="60"/>
      </w:pPr>
      <w:r>
        <w:rPr>
          <w:b w:val="0"/>
        </w:rPr>
        <w:t>3. Opracowanie potoku inferencji brzegowej: strumień kamer trafi do modeli 3D i CV, strumień MEMS do modelu ML, a generator alertu lokalnego (dźwięk, 3 poziomy ryzyka, logika eskalacji) będzie działał bez łączności, z buforowaniem do transmisji GSM przez pełny kurs, do 72 h. Cel: opóźnienie alertu do 1 s od zdarzenia sensorycznego do powiadomienia kierowcy.</w:t>
      </w:r>
    </w:p>
    <w:p>
      <w:pPr>
        <w:spacing w:after="60"/>
      </w:pPr>
      <w:r>
        <w:rPr>
          <w:b w:val="0"/>
        </w:rPr>
        <w:t>4. Walidację środowiskową na infrastrukturze badawczej PRz udostępnionej w ramach konsorcjum: rig wibracyjny (co najmniej 14 400 s ciągłej pracy), komora termiczna (cykl 24 h od -25 do +70 °C), testy EMC i co najmniej 1000 pomiarów opóźnienia bez łączności, w celu potwierdzenia pracy w warunkach docelowych.</w:t>
      </w:r>
    </w:p>
    <w:p>
      <w:pPr>
        <w:spacing w:after="60"/>
      </w:pPr>
      <w:r>
        <w:rPr>
          <w:b w:val="0"/>
        </w:rPr>
        <w:t>Zadanie będzie realizowane przez zespół Everest11. AI Lead wyznaczy strategię kompresji dla każdego modelu i budżet degradacji oraz zwaliduje modele na zbiorach testowych. AI Senior Engineer zaimplementuje kompresję i zoptymalizuje modele na platformie embedded. IoT Specialist zaprojektuje architekturę sprzętową i obudowę oraz zmierzy opóźnienie alertu. IT Specialist zaimplementuje oprogramowanie embedded (system czasu rzeczywistego, sterowniki sensorów, generator alertów, bufor GSM, aktualizacje OTA) i moduł komunikacji z TMS. Cybersecurity / AI Act Specialist zaprojektuje bezpieczny rozruch, podpisywanie aktualizacji i szyfrowanie transmisji. Specjalista ds. logistyki TSL zdefiniuje scenariusze walidacji alertów i progi niski, średni i wysoki dla każdej klasy ładunku oraz oceni użyteczność alertu w kabinie. Nakład czasu tych osób wynika z podziału ich etatów między zadania Z6, Z7 i Z9 określonego w budżecie. Montaż w pojazdach nie należy do tego zadania.</w:t>
      </w:r>
    </w:p>
    <w:p>
      <w:pPr>
        <w:keepNext/>
        <w:spacing w:before="160" w:after="40"/>
      </w:pPr>
      <w:r>
        <w:rPr>
          <w:b/>
          <w:sz w:val="20"/>
        </w:rPr>
        <w:t>Szczegółowy opis planowanych prac wraz z uzasadnieniem (w tym opis metody badawczej)</w:t>
      </w:r>
      <w:r>
        <w:rPr>
          <w:color w:val="666666"/>
          <w:sz w:val="17"/>
        </w:rPr>
        <w:t xml:space="preserve"> [3267 z 4000 znaków]</w:t>
      </w:r>
    </w:p>
    <w:p>
      <w:pPr>
        <w:spacing w:after="60"/>
      </w:pPr>
      <w:r>
        <w:rPr>
          <w:b w:val="0"/>
        </w:rPr>
        <w:t>Problem technologiczny rozwiązywany w zadaniu został zdefiniowany w sekcji Cel projektu i dotyczy uruchomienia modeli badawczych na wbudowanej platformie w czasie rzeczywistym, bez łączności z internetem. Modele z zadań Z4, Z5 i Z8 są budowane w pełnej precyzji FP32 i nie mieszczą się w ograniczeniach mocy, temperatury i drgań naczepy. Przed realizacją nie wiadomo, czy kompromis między opóźnieniem alertu do 1 s a degradacją dokładności modeli skompresowanych do 3 punktów procentowych jest osiągalny na docelowej platformie embedded.</w:t>
      </w:r>
    </w:p>
    <w:p>
      <w:pPr>
        <w:spacing w:after="60"/>
      </w:pPr>
      <w:r>
        <w:rPr>
          <w:b w:val="0"/>
        </w:rPr>
        <w:t>Zadanie ma charakter eksperymentalnych prac rozwojowych: modele badawcze PRz (3D, ML i CV, rozwiązujące problemy badawcze 1-3) zostaną doprowadzone do działającego systemu wbudowanego, pracującego w czasie rzeczywistym w warunkach naczepy i walidowanego w środowisku modelującym rzeczywiste działanie. Nie jest to wdrożenie znanego rozwiązania, ponieważ osiągalność założonych parametrów nie jest znana.</w:t>
      </w:r>
    </w:p>
    <w:p>
      <w:pPr>
        <w:spacing w:after="60"/>
      </w:pPr>
      <w:r>
        <w:rPr>
          <w:b w:val="0"/>
        </w:rPr>
        <w:t>Kompresja modeli zostanie wykonana eksperymentalnie. Techniki zostaną dobrane z puli: kwantyzacja INT8 z profilowaniem warstw, QAT dla modeli wrażliwych, przycinanie według czułości (macierz informacji Fishera) i destylacja dla modeli CV. Po każdym etapie zostanie zmierzony kompromis rozmiar, opóźnienie i dokładność na zbiorach z zadań Z4 i Z8, w kolejności: kwantyzacja, przycinanie, destylacja, a dokładność zostanie porównana dla FP32 i INT8, osobno dla AUC-ROC i mAP. Granica 3 punktów procentowych jest twardym warunkiem, a jeżeli pojedyncze warstwy jej nie utrzymają, zostanie zastosowana mieszana precyzja kosztem opóźnienia.</w:t>
      </w:r>
    </w:p>
    <w:p>
      <w:pPr>
        <w:spacing w:after="60"/>
      </w:pPr>
      <w:r>
        <w:rPr>
          <w:b w:val="0"/>
        </w:rPr>
        <w:t>Architektura sprzętowa i potok inferencji zostaną zaprojektowane jako jeden system. Jednostka AI z interfejsami sensorów, zasilaniem z buforem UPS (czas pozwalający wygenerować PoC po wyłączeniu silnika) i obudową IP67 odporną na drgania i temperaturę jest elementem, od którego zależy praca modeli w środowisku docelowym. Skompresowane modele 3D, CV i ML zostaną połączone w jeden potok tworzący alert lokalnie, z buforowaniem do transmisji GSM do 72 h, a opóźnienie zostanie zoptymalizowane przez profilowanie modułów, batching i TensorRT i zmierzone (mediana, percentyl 95) na co najmniej 1000 przebiegach.</w:t>
      </w:r>
    </w:p>
    <w:p>
      <w:pPr>
        <w:spacing w:after="60"/>
      </w:pPr>
      <w:r>
        <w:rPr>
          <w:b w:val="0"/>
        </w:rPr>
        <w:t>Walidacja środowiskowa potwierdzi pracę w warunkach docelowych. Zostanie wykonana na infrastrukturze PRz udostępnionej w ramach konsorcjum (rig wibracyjny, komora termiczna, EMC), a trafność progów alertu i użyteczność powiadomienia w kabinie sprawdzi specjalista TSL. Korzystanie z tej infrastruktury zapewnia ekonomiczność, a pomiar na docelowej platformie jest jedynym wiarygodnym testem wykonalności, dlatego metoda jest celowa i skuteczna. Testy w komorze i na rigu odwzorowują warunki docelowe, co zapewnia niezawodność.</w:t>
      </w:r>
    </w:p>
    <w:p>
      <w:pPr>
        <w:spacing w:after="60"/>
      </w:pPr>
      <w:r>
        <w:rPr>
          <w:b w:val="0"/>
        </w:rPr>
        <w:t xml:space="preserve">Kolejność prac wynika z dostępności modeli. Projekt sprzętu i wstępna kompresja na modelach pośrednich zostaną wykonane w </w:t>
      </w:r>
      <w:r>
        <w:rPr>
          <w:b w:val="0"/>
          <w:highlight w:val="yellow"/>
        </w:rPr>
        <w:t>M19-M21</w:t>
      </w:r>
      <w:r>
        <w:rPr>
          <w:b w:val="0"/>
        </w:rPr>
        <w:t xml:space="preserve">, integracja platformy i potoku edge w </w:t>
      </w:r>
      <w:r>
        <w:rPr>
          <w:b w:val="0"/>
          <w:highlight w:val="yellow"/>
        </w:rPr>
        <w:t>M22-M25</w:t>
      </w:r>
      <w:r>
        <w:rPr>
          <w:b w:val="0"/>
        </w:rPr>
        <w:t xml:space="preserve">, a testy środowiskowe i pomiary opóźnienia na wersjach RC modeli w </w:t>
      </w:r>
      <w:r>
        <w:rPr>
          <w:b w:val="0"/>
          <w:highlight w:val="yellow"/>
        </w:rPr>
        <w:t>M26-M27</w:t>
      </w:r>
      <w:r>
        <w:rPr>
          <w:b w:val="0"/>
        </w:rPr>
        <w:t>. Zadanie przekaże zintegrowany system do instalacji i testów terenowych w zadaniu Z9, a bez zwalidowanego systemu testy te nie mogą się rozpocząć, dlatego kamień milowy zadania Z7 jest krytyczny. Koszty obejmują wynagrodzenia wymienionych osób Everest11 oraz platformę embedded i obudowy do prototypów.</w:t>
      </w:r>
    </w:p>
    <w:p>
      <w:pPr>
        <w:pStyle w:val="Heading3"/>
      </w:pPr>
      <w:r>
        <w:t>Kamień milowy zadania 7</w:t>
      </w:r>
    </w:p>
    <w:p>
      <w:pPr>
        <w:keepNext/>
        <w:spacing w:before="160" w:after="40"/>
      </w:pPr>
      <w:r>
        <w:rPr>
          <w:b/>
          <w:sz w:val="20"/>
        </w:rPr>
        <w:t>Nazwa kamienia milowego</w:t>
      </w:r>
      <w:r>
        <w:rPr>
          <w:color w:val="666666"/>
          <w:sz w:val="17"/>
        </w:rPr>
        <w:t xml:space="preserve"> [353 z 500 znaków]</w:t>
      </w:r>
    </w:p>
    <w:p>
      <w:pPr>
        <w:spacing w:after="60"/>
        <w:shd w:val="clear" w:color="auto" w:fill="EEF3FA"/>
      </w:pPr>
      <w:r>
        <w:rPr>
          <w:b w:val="0"/>
        </w:rPr>
        <w:t>Zintegrowany i zwalidowany środowiskowo system embedded CargoDT, który w czasie rzeczywistym i bez łączności z internetem wykonuje inferencję skompresowanych modeli 3D, CV i ML oraz generuje alert lokalny, z potwierdzonym opóźnieniem alertu, częstotliwością aktualizacji modelu 3D i degradacją dokładności, gotowy do instalacji i testów terenowych w Z9.</w:t>
      </w:r>
    </w:p>
    <w:p>
      <w:pPr>
        <w:keepNext/>
        <w:spacing w:before="160" w:after="40"/>
      </w:pPr>
      <w:r>
        <w:rPr>
          <w:b/>
          <w:sz w:val="20"/>
        </w:rPr>
        <w:t>Parametry</w:t>
      </w:r>
      <w:r>
        <w:rPr>
          <w:color w:val="666666"/>
          <w:sz w:val="17"/>
        </w:rPr>
        <w:t xml:space="preserve"> [976 z 1300 znaków]</w:t>
      </w:r>
    </w:p>
    <w:p>
      <w:pPr>
        <w:spacing w:after="60"/>
        <w:shd w:val="clear" w:color="auto" w:fill="EEF3FA"/>
      </w:pPr>
      <w:r>
        <w:rPr>
          <w:b w:val="0"/>
        </w:rPr>
        <w:t>1. Opóźnienie alertu lokalnego od zdarzenia sensorycznego do powiadomienia, bez łączności, przy jednoczesnej inferencji modeli 3D, CV i ML na docelowej platformie: mediana i percentyl 95 nie więcej niż 1 s, na co najmniej 1000 pomiarów.</w:t>
      </w:r>
    </w:p>
    <w:p>
      <w:pPr>
        <w:spacing w:after="60"/>
        <w:shd w:val="clear" w:color="auto" w:fill="EEF3FA"/>
      </w:pPr>
      <w:r>
        <w:rPr>
          <w:b w:val="0"/>
        </w:rPr>
        <w:t>2. Częstotliwość aktualizacji modelu 3D na platformie embedded (rig wibracyjny, komora termiczna): nie mniej niż 5 Hz.</w:t>
      </w:r>
    </w:p>
    <w:p>
      <w:pPr>
        <w:spacing w:after="60"/>
        <w:shd w:val="clear" w:color="auto" w:fill="EEF3FA"/>
      </w:pPr>
      <w:r>
        <w:rPr>
          <w:b w:val="0"/>
        </w:rPr>
        <w:t>3. Degradacja dokładności modeli skompresowanych względem FP32: nie więcej niż 3 punkty procentowe, czyli AUC-ROC modelu ML nie mniej niż 0,82 (przy 0,85 w Z4) i mAP przy IoU 0,50 modeli CV nie mniej niż 0,72 (przy 0,75 w Z8), na zbiorach testowych z Z4 i Z8. Wielkości bezwymiarowe, 1,0 oznacza wynik idealny.</w:t>
      </w:r>
    </w:p>
    <w:p>
      <w:pPr>
        <w:spacing w:after="60"/>
        <w:shd w:val="clear" w:color="auto" w:fill="EEF3FA"/>
      </w:pPr>
      <w:r>
        <w:rPr>
          <w:b w:val="0"/>
        </w:rPr>
        <w:t>Kompletność: wydajność jednostki co najmniej 4 razy 10 do potęgi 13 operacji na sekundę w INT8 (w branży 40 TOPS), obudowa IP67, temperatura pracy od -25 °C do +70 °C, drgania ISO 8608 klasy D, autonomia co najmniej 72 h, bufor UPS co najmniej 1800 s, testy termiczne, wibracyjne (co najmniej 14 400 s) i EMC.</w:t>
      </w:r>
    </w:p>
    <w:p>
      <w:pPr>
        <w:keepNext/>
        <w:spacing w:before="160" w:after="40"/>
      </w:pPr>
      <w:r>
        <w:rPr>
          <w:b/>
          <w:sz w:val="20"/>
        </w:rPr>
        <w:t>Opis sposobu weryfikacji osiągnięcia kamienia milowego</w:t>
      </w:r>
      <w:r>
        <w:rPr>
          <w:color w:val="666666"/>
          <w:sz w:val="17"/>
        </w:rPr>
        <w:t xml:space="preserve"> [739 z 1300 znaków]</w:t>
      </w:r>
    </w:p>
    <w:p>
      <w:pPr>
        <w:spacing w:after="60"/>
        <w:shd w:val="clear" w:color="auto" w:fill="EEF3FA"/>
      </w:pPr>
      <w:r>
        <w:rPr>
          <w:b w:val="0"/>
        </w:rPr>
        <w:t>Odpowiada Everest11. Odbioru dokonuje kierownik B+R Damian Kordos na podstawie protokołu testów embedded. PRz potwierdza udostępnienie infrastruktury badawczej. Weryfikacja: 1) opóźnienie z logu co najmniej 1000 pomiarów bez łączności (mediana, percentyl 95); 2) degradacja z raportu porównawczego FP32 i INT8 na zbiorach testowych z Z4 i Z8, przeliczonego niezależnie przez zespół PRz na zamrożonym zbiorze; 3) częstotliwość 5 Hz z logów znaczników czasu aktualizacji modelu 3D na rigu i w komorze, tą samą metodą co w Z9; 4) kompletność z raportów testów termicznych, wibracyjnych i EMC oraz karty zgodności platformy. Protokół zdawczo-odbiorczy systemu jest wejściem do Z9. Decyzję o dalszym przebiegu podejmuje komitet sterujący w M27.</w:t>
      </w:r>
    </w:p>
    <w:p>
      <w:pPr>
        <w:keepNext/>
        <w:spacing w:before="160" w:after="40"/>
      </w:pPr>
      <w:r>
        <w:rPr>
          <w:b/>
          <w:sz w:val="20"/>
        </w:rPr>
        <w:t>Opis wpływu nieosiągnięcia kamienia milowego na realizację projektu</w:t>
      </w:r>
      <w:r>
        <w:rPr>
          <w:color w:val="666666"/>
          <w:sz w:val="17"/>
        </w:rPr>
        <w:t xml:space="preserve"> [902 z 1300 znaków]</w:t>
      </w:r>
    </w:p>
    <w:p>
      <w:pPr>
        <w:spacing w:after="60"/>
        <w:shd w:val="clear" w:color="auto" w:fill="EEF3FA"/>
      </w:pPr>
      <w:r>
        <w:rPr>
          <w:b w:val="0"/>
        </w:rPr>
        <w:t xml:space="preserve">Brak kamienia uniemożliwia instalację systemu w Z9 i blokuje testy terenowe. Gdy opóźnienie przekracza 1 s, Everest11 stosuje silniejszą kompresję, optymalizację potoku (batching, TensorRT) albo mocniejszą platformę i powtarza pomiary. Gdy degradacja przekracza 3 punkty procentowe, część modeli pozostaje w wyższej precyzji kosztem opóźnienia albo wraca do douczenia w Z4 lub Z8. Do dwóch iteracji, każda w oknie 4-6 tygodni przed M27. Wariant zawężony: na platformie embedded działają tylko model ML i alert, a CV działa po stronie TMS. Zachowuje funkcję alertu offline, a wskaźnik opóźnienia dotyczy wtedy modelu ML. Wartość graniczna no-go: opóźnienie percentyla 95 większe niż </w:t>
      </w:r>
      <w:r>
        <w:rPr>
          <w:b w:val="0"/>
          <w:highlight w:val="yellow"/>
        </w:rPr>
        <w:t>2 s</w:t>
      </w:r>
      <w:r>
        <w:rPr>
          <w:b w:val="0"/>
        </w:rPr>
        <w:t xml:space="preserve"> albo degradacja większa niż </w:t>
      </w:r>
      <w:r>
        <w:rPr>
          <w:b w:val="0"/>
          <w:highlight w:val="yellow"/>
        </w:rPr>
        <w:t>6 punktów procentowych</w:t>
      </w:r>
      <w:r>
        <w:rPr>
          <w:b w:val="0"/>
        </w:rPr>
        <w:t xml:space="preserve"> albo częstotliwość modelu 3D mniejsza niż </w:t>
      </w:r>
      <w:r>
        <w:rPr>
          <w:b w:val="0"/>
          <w:highlight w:val="yellow"/>
        </w:rPr>
        <w:t>2 Hz</w:t>
      </w:r>
      <w:r>
        <w:rPr>
          <w:b w:val="0"/>
        </w:rPr>
        <w:t xml:space="preserve"> po dwóch iteracjach. Wtedy komitet sterujący w M27 zmienia platformę lub zakres funkcji offline albo przerywa zadanie.</w:t>
      </w:r>
    </w:p>
    <w:p>
      <w:r>
        <w:br w:type="page"/>
      </w:r>
    </w:p>
    <w:p>
      <w:pPr>
        <w:pStyle w:val="Heading1"/>
      </w:pPr>
      <w:r>
        <w:t>Zadanie 8</w:t>
      </w:r>
    </w:p>
    <w:p>
      <w:r>
        <w:rPr>
          <w:b/>
        </w:rPr>
        <w:t>8. Prace rozwojowe: Modele CV weryfikacji zabezpieczeń + change detection (Z8)</w:t>
      </w:r>
    </w:p>
    <w:p>
      <w:r>
        <w:rPr>
          <w:color w:val="666666"/>
        </w:rPr>
        <w:t>Politechnika Rzeszowska, prace rozwojowe, M22-M30</w:t>
      </w:r>
    </w:p>
    <w:p>
      <w:pPr>
        <w:keepNext/>
        <w:spacing w:before="160" w:after="40"/>
      </w:pPr>
      <w:r>
        <w:rPr>
          <w:b/>
          <w:sz w:val="20"/>
        </w:rPr>
        <w:t>Zakres planowanych prac B+R</w:t>
      </w:r>
      <w:r>
        <w:rPr>
          <w:color w:val="666666"/>
          <w:sz w:val="17"/>
        </w:rPr>
        <w:t xml:space="preserve"> [3871 z 4000 znaków]</w:t>
      </w:r>
    </w:p>
    <w:p>
      <w:pPr>
        <w:spacing w:after="60"/>
      </w:pPr>
      <w:r>
        <w:rPr>
          <w:b w:val="0"/>
        </w:rPr>
        <w:t>Omawiane zadanie stanowi odpowiedź na trzeci problem badawczy zdefiniowany w celach projektu, polegający na wiarygodnej weryfikacji zabezpieczeń ładunku i wykrywaniu zmian jego położenia w metalowej naczepie przy okluzjach i oświetleniu NIR. Jest realizowane przez PRz w miesiącach od M22 do M30 jako ostatnie zadanie PRz.</w:t>
      </w:r>
    </w:p>
    <w:p>
      <w:pPr>
        <w:spacing w:after="60"/>
      </w:pPr>
      <w:r>
        <w:rPr>
          <w:b w:val="0"/>
        </w:rPr>
        <w:t>W wyniku realizacji zadania powstaną modele CV segmentacji instancji, finalna taksonomia TSL w wersji 2.0 oraz moduł change detection.</w:t>
      </w:r>
    </w:p>
    <w:p>
      <w:pPr>
        <w:spacing w:after="60"/>
      </w:pPr>
      <w:r>
        <w:rPr>
          <w:b w:val="0"/>
        </w:rPr>
        <w:t>W ramach zadania zrealizowane zostaną prace rozwojowe obejmujące:</w:t>
      </w:r>
    </w:p>
    <w:p>
      <w:pPr>
        <w:spacing w:after="60"/>
      </w:pPr>
      <w:r>
        <w:rPr>
          <w:b w:val="0"/>
        </w:rPr>
        <w:t>1. Finalizację taksonomii TSL w wersji 2.0 na podstawie obserwacji z zadania Z2 i konsultacji ze specjalistą TSL Everest11. Wersja 2.0 określi ostateczną ontologię: co najmniej 5 klas głównych po 2-4 podklasy, kryteria poprawności mocowania dla każdej klasy (poprawne albo niepoprawne) i relacje przestrzenne. Jeżeli obserwacje ujawnią klasy nieuwzględnione w wersji 1.0 z zadania Z3 albo wymuszą zmianę kryteriów, dotknięte klasy zostaną zaanotowane ponownie w zbiorze z zadania Z2, w celu zachowania spójności etykiet z modelem.</w:t>
      </w:r>
    </w:p>
    <w:p>
      <w:pPr>
        <w:spacing w:after="60"/>
      </w:pPr>
      <w:r>
        <w:rPr>
          <w:b w:val="0"/>
        </w:rPr>
        <w:t>2. Trening modeli CV segmentacji instancji na zbiorze obrazowym z zadania Z2 (co najmniej 15 000 klatek, co najmniej 5 klas zabezpieczeń, co najmniej 2000 obrazów w zbiorze testowym). Architektura (YOLOv8, Deformable DETR lub SAM2) wynika z porównania w zadaniu Z3. Zostaną zastosowane augmentacje dopasowane do naczepy (rozmycie od drgań ISO 8608 klasy D, domena podczerwieni NIR 850-940 nm, okluzje syntetyczne) oraz transfer learning z modeli wytrenowanych na COCO i ADE20K, w celu uzyskania mAP przy IoU 0,50 co najmniej 0,75 dla każdej klasy.</w:t>
      </w:r>
    </w:p>
    <w:p>
      <w:pPr>
        <w:spacing w:after="60"/>
      </w:pPr>
      <w:r>
        <w:rPr>
          <w:b w:val="0"/>
        </w:rPr>
        <w:t>3. Opracowanie modułu change detection, który porównuje stan przestrzeni ładunkowej przy załadunku i rozładunku, łącząc model 3D z zadania Z5 (przemieszczenia od 0,10 m) z modelami CV (brakujące elementy, poluzowane pasy, przesunięte kliny) i generuje mapę anomalii z prawdopodobieństwem uszkodzenia dla każdej pozycji ładunkowej. Walidacja nastąpi względem oceny eksperta TSL z inspekcji zapisanych w zadaniu Z2, na co najmniej 50 cyklach, w celu uzyskania F1 co najmniej 0,85.</w:t>
      </w:r>
    </w:p>
    <w:p>
      <w:pPr>
        <w:spacing w:after="60"/>
      </w:pPr>
      <w:r>
        <w:rPr>
          <w:b w:val="0"/>
        </w:rPr>
        <w:t>4. Walidację modeli na zbiorze testowym co najmniej 2000 obrazów, w celu obiektywnej oceny mAP dla każdej klasy.</w:t>
      </w:r>
    </w:p>
    <w:p>
      <w:pPr>
        <w:spacing w:after="60"/>
      </w:pPr>
      <w:r>
        <w:rPr>
          <w:b w:val="0"/>
        </w:rPr>
        <w:t>Etapy 1 i 2 zostaną wykonane w M22-M26, a wersja release candidate modeli CV trafi w M26 do zadań Z7 i Z6. Change detection wymaga modelu 3D z zadania Z5, gotowego w M27, dlatego zostanie sfinalizowany w M27-M29 i zintegrowany z walidacją terenową zadania Z9. W M30 przewidziano jedną iterację korekty trwającą do 4 tygodni po wynikach Fazy B z zadania Z9.</w:t>
      </w:r>
    </w:p>
    <w:p>
      <w:pPr>
        <w:spacing w:after="60"/>
      </w:pPr>
      <w:r>
        <w:rPr>
          <w:b w:val="0"/>
        </w:rPr>
        <w:t>Zadanie będzie realizowane przez zespół PRz. Główny specjalista ds. computer vision, rekonstrukcji 3D, kalibracji i analizy sygnałów, w wymiarze 325 godzin, opracuje modele detekcji, segmentacji i klasyfikacji oraz change detection. Główny specjalista ds. systemów wizyjnych, percepcji 3D i integracji algorytmicznej, w wymiarze 325 godzin, zintegruje wyniki CV i change detection z modelem 3D. Specjalista ds. uczenia maszynowego, selekcji cech i predykcji ryzyka, w wymiarze 120 godzin, dobierze architektury i augmentację. Specjalista ds. modelowania matematycznego, statystyki i walidacji ilościowej, w wymiarze 110 godzin, wykona ocenę ilościową (precision, recall, F1, mAP). Młodszy specjalista ds. uczenia maszynowego, przygotowania danych eksperymentalnych i analizy wyników, w wymiarze 200 godzin, wesprze eksperymenty CV i zestawienia metryk. Specjalista ds. danych AI/CV, anotacji i analizy wyników modeli (242 godziny) opracuje zasady reanotacji i przeanalizuje klasy niejednoznaczne, specjalista ds. przetwarzania danych wielomodalnych i organizacji datasetu (200 godzin) przygotuje zbiory i dane do change detection, a specjalista ds. implementacji AI/CV, automatyzacji eksperymentów i edge AI (204 godziny) zaimplementuje eksperymenty i skrypty ewaluacyjne. Zakres prac jest wyłącznie badawczo-rozwojowy.</w:t>
      </w:r>
    </w:p>
    <w:p>
      <w:pPr>
        <w:keepNext/>
        <w:spacing w:before="160" w:after="40"/>
      </w:pPr>
      <w:r>
        <w:rPr>
          <w:b/>
          <w:sz w:val="20"/>
        </w:rPr>
        <w:t>Szczegółowy opis planowanych prac wraz z uzasadnieniem (w tym opis metody badawczej)</w:t>
      </w:r>
      <w:r>
        <w:rPr>
          <w:color w:val="666666"/>
          <w:sz w:val="17"/>
        </w:rPr>
        <w:t xml:space="preserve"> [3075 z 4000 znaków]</w:t>
      </w:r>
    </w:p>
    <w:p>
      <w:pPr>
        <w:spacing w:after="60"/>
      </w:pPr>
      <w:r>
        <w:rPr>
          <w:b w:val="0"/>
        </w:rPr>
        <w:t>Problem badawczy rozwiązywany w zadaniu został zdefiniowany w sekcji Cel projektu jako trzeci i dotyczy wiarygodnej weryfikacji zabezpieczeń ładunku i wykrywania zmian jego położenia w metalowej naczepie. Modele wytrenowane na obrazach naturalnych nie uogólniają na okluzje ładunku zasłaniającego zabezpieczenia, rozmycie od drgań i oświetlenie podczerwone NIR w metalowej przestrzeni, a porównanie stanu ładunku między załadunkiem a rozładunkiem wymaga połączenia modelu 3D z wynikami detekcji.</w:t>
      </w:r>
    </w:p>
    <w:p>
      <w:pPr>
        <w:spacing w:after="60"/>
      </w:pPr>
      <w:r>
        <w:rPr>
          <w:b w:val="0"/>
        </w:rPr>
        <w:t>Zadanie ma charakter prac rozwojowych, ponieważ działające modele wizyjne i moduł change detection zostaną zbudowane, wytrenowane i zwalidowane na danych docelowych, w środowisku zbliżonym do docelowego. Komponenty trafią do integracji embedded w zadaniu Z7 i do pipeline'u PoC w zadaniu Z6. Nie są to badania poznawcze.</w:t>
      </w:r>
    </w:p>
    <w:p>
      <w:pPr>
        <w:spacing w:after="60"/>
      </w:pPr>
      <w:r>
        <w:rPr>
          <w:b w:val="0"/>
        </w:rPr>
        <w:t>Metoda została podzielona na cztery etapy. Najpierw zostanie zrewidowana taksonomia 1.0 na podstawie obserwacji z zadania Z2 i konsultacji z ekspertem TSL, przy czym zmiana kryteriów klasy oznacza jej ponowną anotację, aby etykiety pozostały spójne z modelem. Następnie modele zostaną wytrenowane metodą transfer learningu na zbiorze TSL z zadania Z2, z augmentacjami dla naczepy: rozmyciem od drgań, domeną NIR i okluzjami syntetycznymi. Moduł change detection połączy model 3D z zadania Z5 i detekcje CV w algorytm tworzący mapę anomalii z prawdopodobieństwem uszkodzenia dla każdej pozycji ładunkowej. Na końcu walidacja obejmie mAP przy IoU 0,50 dla każdej klasy na zbiorze co najmniej 2000 obrazów oraz F1 change detection względem oceny eksperckiej na co najmniej 50 cyklach.</w:t>
      </w:r>
    </w:p>
    <w:p>
      <w:pPr>
        <w:spacing w:after="60"/>
      </w:pPr>
      <w:r>
        <w:rPr>
          <w:b w:val="0"/>
        </w:rPr>
        <w:t>Wybór metody jest uzasadniony czterema względami. Augmentacje domenowe są konieczne, ponieważ modele wytrenowane na obrazach naturalnych nie uogólniają na warunki naczepy, dlatego metoda jest celowa i skuteczna. Osobny zbiór testowy i ocena ekspercka dają obiektywny wynik, czyli niezawodność. Transfer learning zmniejsza zapotrzebowanie na dane i koszty, co zapewnia ekonomiczność, a koszty zadania obejmują wynagrodzenia wymienionych osób PRz.</w:t>
      </w:r>
    </w:p>
    <w:p>
      <w:pPr>
        <w:spacing w:after="60"/>
      </w:pPr>
      <w:r>
        <w:rPr>
          <w:b w:val="0"/>
        </w:rPr>
        <w:t>Harmonogram przewiduje czas na analizę wyników, korekty i ponowną walidację. Etapy 1 i 2 zostaną wykonane w M22-M26, a wersja release candidate trafi w M26 do zadań Z7 i Z6. Change detection wymaga modelu 3D z zadania Z5, gotowego w M27, dlatego zostanie sfinalizowany w M27-M29. Harmonogram obejmuje analizę wyników Fazy A z zadania Z9 (M22-M26), korektę modeli, rekalibrację progów i aktualizację taksonomii przed Fazą B (M27-M29) oraz jedną końcową iterację w M30.</w:t>
      </w:r>
    </w:p>
    <w:p>
      <w:pPr>
        <w:spacing w:after="60"/>
      </w:pPr>
      <w:r>
        <w:rPr>
          <w:b w:val="0"/>
        </w:rPr>
        <w:t>Podział odpowiedzialności z zadaniem Z9 wyklucza podwójne wykazywanie prac. Zmiany architektury i reanotacje wykona PRz w zadaniu Z8 po dostarczeniu wersji RC w M26, a rekalibrację progów i douczanie wykona Everest11 w zadaniu Z9. Zadanie korzysta z taksonomii i architektury z zadania Z3, zbioru z zadania Z2 i modelu 3D z zadania Z5, a jego komponenty zasilają kompresję w zadaniu Z7, generację PoL i PoC w zadaniu Z6 i walidację terenową w zadaniu Z9. Metodykę walidacji i zamrożony skrypt ewaluacyjny dla zadania Z9 zatwierdza odbiór metodyczny w zadaniu Z8.</w:t>
      </w:r>
    </w:p>
    <w:p>
      <w:pPr>
        <w:pStyle w:val="Heading3"/>
      </w:pPr>
      <w:r>
        <w:t>Kamień milowy zadania 8</w:t>
      </w:r>
    </w:p>
    <w:p>
      <w:pPr>
        <w:keepNext/>
        <w:spacing w:before="160" w:after="40"/>
      </w:pPr>
      <w:r>
        <w:rPr>
          <w:b/>
          <w:sz w:val="20"/>
        </w:rPr>
        <w:t>Nazwa kamienia milowego</w:t>
      </w:r>
      <w:r>
        <w:rPr>
          <w:color w:val="666666"/>
          <w:sz w:val="17"/>
        </w:rPr>
        <w:t xml:space="preserve"> [381 z 500 znaków]</w:t>
      </w:r>
    </w:p>
    <w:p>
      <w:pPr>
        <w:spacing w:after="60"/>
        <w:shd w:val="clear" w:color="auto" w:fill="EEF3FA"/>
      </w:pPr>
      <w:r>
        <w:rPr>
          <w:b w:val="0"/>
        </w:rPr>
        <w:t>Wytrenowane modele CV (segmentacja instancji) weryfikacji zabezpieczeń transportowych oraz zwalidowany moduł change detection (fuzja modelu 3D i CV) dla przestrzeni ładunkowej naczepy TIR, z finalną taksonomią TSL w wersji 2.0. Wersja release candidate modeli w M26 jest przekazana Everest11 do kompresji w Z7 i generacji PoL i PoC w Z6, a moduł change detection do walidacji w Z9.</w:t>
      </w:r>
    </w:p>
    <w:p>
      <w:pPr>
        <w:keepNext/>
        <w:spacing w:before="160" w:after="40"/>
      </w:pPr>
      <w:r>
        <w:rPr>
          <w:b/>
          <w:sz w:val="20"/>
        </w:rPr>
        <w:t>Parametry</w:t>
      </w:r>
      <w:r>
        <w:rPr>
          <w:color w:val="666666"/>
          <w:sz w:val="17"/>
        </w:rPr>
        <w:t xml:space="preserve"> [886 z 1300 znaków]</w:t>
      </w:r>
    </w:p>
    <w:p>
      <w:pPr>
        <w:spacing w:after="60"/>
        <w:shd w:val="clear" w:color="auto" w:fill="EEF3FA"/>
      </w:pPr>
      <w:r>
        <w:rPr>
          <w:b w:val="0"/>
        </w:rPr>
        <w:t>1. mAP przy IoU 0,50 modelu FP32 dla każdej z co najmniej 5 klas zabezpieczeń na zbiorze testowym co najmniej 2000 obrazów: nie mniej niż 0,75, z przedziałem ufności 95%. Wielkość bezwymiarowa, brak jednostki SI, 1,0 oznacza wynik idealny i jest punktem odniesienia 100%.</w:t>
      </w:r>
    </w:p>
    <w:p>
      <w:pPr>
        <w:spacing w:after="60"/>
        <w:shd w:val="clear" w:color="auto" w:fill="EEF3FA"/>
      </w:pPr>
      <w:r>
        <w:rPr>
          <w:b w:val="0"/>
        </w:rPr>
        <w:t>2. F1 modułu change detection względem etykiet referencyjnych z inspekcji z Z2 na co najmniej 50 cyklach załadunek-rozładunek, dla przemieszczeń ładunku od 0,10 m: nie mniej niż 0,85, z podaniem precyzji i czułości. Próg 0,10 m jest ponad trzy razy większy niż mediana błędu przemieszczenia względnego z Z5.</w:t>
      </w:r>
    </w:p>
    <w:p>
      <w:pPr>
        <w:spacing w:after="60"/>
        <w:shd w:val="clear" w:color="auto" w:fill="EEF3FA"/>
      </w:pPr>
      <w:r>
        <w:rPr>
          <w:b w:val="0"/>
        </w:rPr>
        <w:t xml:space="preserve">3. Wersja release candidate w M26: mAP przy IoU 0,50 dla każdej klasy nie mniej niż </w:t>
      </w:r>
      <w:r>
        <w:rPr>
          <w:b w:val="0"/>
          <w:highlight w:val="yellow"/>
        </w:rPr>
        <w:t>0,70</w:t>
      </w:r>
      <w:r>
        <w:rPr>
          <w:b w:val="0"/>
        </w:rPr>
        <w:t>.</w:t>
      </w:r>
    </w:p>
    <w:p>
      <w:pPr>
        <w:spacing w:after="60"/>
        <w:shd w:val="clear" w:color="auto" w:fill="EEF3FA"/>
      </w:pPr>
      <w:r>
        <w:rPr>
          <w:b w:val="0"/>
        </w:rPr>
        <w:t>Kompletność: taksonomia 2.0 (co najmniej 5 klas głównych po 2-4 podklasy, kryteria poprawności i relacje przestrzenne), augmentacja domenowa (rozmycie od drgań, domena NIR, okluzje), macierz pomyłek dla każdej klasy.</w:t>
      </w:r>
    </w:p>
    <w:p>
      <w:pPr>
        <w:keepNext/>
        <w:spacing w:before="160" w:after="40"/>
      </w:pPr>
      <w:r>
        <w:rPr>
          <w:b/>
          <w:sz w:val="20"/>
        </w:rPr>
        <w:t>Opis sposobu weryfikacji osiągnięcia kamienia milowego</w:t>
      </w:r>
      <w:r>
        <w:rPr>
          <w:color w:val="666666"/>
          <w:sz w:val="17"/>
        </w:rPr>
        <w:t xml:space="preserve"> [778 z 1300 znaków]</w:t>
      </w:r>
    </w:p>
    <w:p>
      <w:pPr>
        <w:spacing w:after="60"/>
        <w:shd w:val="clear" w:color="auto" w:fill="EEF3FA"/>
      </w:pPr>
      <w:r>
        <w:rPr>
          <w:b w:val="0"/>
        </w:rPr>
        <w:t>Odpowiada Politechnika Rzeszowska. Merytorycznej weryfikacji i odbioru dokonuje kierownik B+R Damian Kordos na podstawie protokołu testowego PRz. Niezależnie metryki przelicza AI Lead Everest11 Jakub Kosterna na zamrożonym zbiorze testowym. Weryfikacja: 1) mAP z raportu dla każdej klasy na zbiorze co najmniej 2000 obrazów; 2) F1 change detection z porównania z etykietami referencyjnymi z Z2 na co najmniej 50 cyklach, z precyzją i czułością; 3) kompletność z dokumentacji taksonomii 2.0 i macierzy pomyłek. Modele CV trafiają do Everest11 protokołem w wersji RC do M26 (wejście do Z6, Z7 i Z9). Moduł change detection, zależny od modelu 3D z Z5, jest przekazywany w M27-M29 do walidacji w Z9. Decyzję o dalszym przebiegu podejmuje komitet sterujący w M26 (wersja RC) i w M30.</w:t>
      </w:r>
    </w:p>
    <w:p>
      <w:pPr>
        <w:keepNext/>
        <w:spacing w:before="160" w:after="40"/>
      </w:pPr>
      <w:r>
        <w:rPr>
          <w:b/>
          <w:sz w:val="20"/>
        </w:rPr>
        <w:t>Opis wpływu nieosiągnięcia kamienia milowego na realizację projektu</w:t>
      </w:r>
      <w:r>
        <w:rPr>
          <w:color w:val="666666"/>
          <w:sz w:val="17"/>
        </w:rPr>
        <w:t xml:space="preserve"> [871 z 1300 znaków]</w:t>
      </w:r>
    </w:p>
    <w:p>
      <w:pPr>
        <w:spacing w:after="60"/>
        <w:shd w:val="clear" w:color="auto" w:fill="EEF3FA"/>
      </w:pPr>
      <w:r>
        <w:rPr>
          <w:b w:val="0"/>
        </w:rPr>
        <w:t xml:space="preserve">Brak kamienia eliminuje wskaźnik mAP 0,75 i uniemożliwia generowanie PoL i PoC (część CV) oraz pełną walidację w Z9. Gdy mAP jest mniejsze niż 0,75 dla klasy, PRz rozszerza augmentację domenową i zbiór trudnych przypadków, zmienia architekturę z Z3 albo doprecyzowuje kryteria klas. Do dwóch iteracji w oknie 4-6 tygodni przed M26. Dla Z8 przewidziano wyjątek: przy terminie M30 mieści się jedna iteracja około 4 tygodnie po wynikach Fazy B. Wariant zawężony: co najmniej 3 z 5 klas, z priorytetem dla pasów i klinów (EN 12195). Zachowuje automatyczną weryfikację kluczowych zabezpieczeń, a wskaźnik minimum 5 klas aktualizujemy w trybie zmiany projektu. Wartość graniczna no-go: mAP mniejsze niż </w:t>
      </w:r>
      <w:r>
        <w:rPr>
          <w:b w:val="0"/>
          <w:highlight w:val="yellow"/>
        </w:rPr>
        <w:t>0,60</w:t>
      </w:r>
      <w:r>
        <w:rPr>
          <w:b w:val="0"/>
        </w:rPr>
        <w:t xml:space="preserve"> dla pasów lub klinów albo F1 change detection mniejsze niż </w:t>
      </w:r>
      <w:r>
        <w:rPr>
          <w:b w:val="0"/>
          <w:highlight w:val="yellow"/>
        </w:rPr>
        <w:t>0,70</w:t>
      </w:r>
      <w:r>
        <w:rPr>
          <w:b w:val="0"/>
        </w:rPr>
        <w:t xml:space="preserve"> po iteracjach. Wtedy komitet sterujący ogranicza zakres funkcji CV albo wydziela je do prac po projekcie.</w:t>
      </w:r>
    </w:p>
    <w:p>
      <w:r>
        <w:br w:type="page"/>
      </w:r>
    </w:p>
    <w:p>
      <w:pPr>
        <w:pStyle w:val="Heading1"/>
      </w:pPr>
      <w:r>
        <w:t>Zadanie 9</w:t>
      </w:r>
    </w:p>
    <w:p>
      <w:r>
        <w:rPr>
          <w:b/>
        </w:rPr>
        <w:t>9. Prace rozwojowe: Testy terenowe + walidacja KPI na flocie Natanek Logistics (Z9)</w:t>
      </w:r>
    </w:p>
    <w:p>
      <w:r>
        <w:rPr>
          <w:color w:val="666666"/>
        </w:rPr>
        <w:t>Everest11, prace rozwojowe, M22-M30</w:t>
      </w:r>
    </w:p>
    <w:p>
      <w:pPr>
        <w:keepNext/>
        <w:spacing w:before="160" w:after="40"/>
      </w:pPr>
      <w:r>
        <w:rPr>
          <w:b/>
          <w:sz w:val="20"/>
        </w:rPr>
        <w:t>Zakres planowanych prac B+R</w:t>
      </w:r>
      <w:r>
        <w:rPr>
          <w:color w:val="666666"/>
          <w:sz w:val="17"/>
        </w:rPr>
        <w:t xml:space="preserve"> [3829 z 4000 znaków]</w:t>
      </w:r>
    </w:p>
    <w:p>
      <w:pPr>
        <w:spacing w:after="60"/>
      </w:pPr>
      <w:r>
        <w:rPr>
          <w:b w:val="0"/>
        </w:rPr>
        <w:t>Omawiane zadanie stanowi odpowiedź na problem technologiczny przeniesienia parametrów uzyskanych w laboratorium do rzeczywistej eksploatacji. Wskaźniki mogą się nie utrzymać w ruchu z powodu drgań, zmiennej temperatury, odmiennych ładunków i rzadkości zdarzeń. Zadanie jest realizowane przez Everest11 w miesiącach od M22 do M30 jako prace rozwojowe i ma na celu walidację zintegrowanego prototypu CargoDT w eksploatacji (TRL 7 do 8) na co najmniej 3 pojazdach floty testowej.</w:t>
      </w:r>
    </w:p>
    <w:p>
      <w:pPr>
        <w:spacing w:after="60"/>
      </w:pPr>
      <w:r>
        <w:rPr>
          <w:b w:val="0"/>
        </w:rPr>
        <w:t>W wyniku realizacji zadania powstanie potwierdzony zestaw KPI prototypu w warunkach rzeczywistych oraz raport techniczny z walidacji.</w:t>
      </w:r>
    </w:p>
    <w:p>
      <w:pPr>
        <w:spacing w:after="60"/>
      </w:pPr>
      <w:r>
        <w:rPr>
          <w:b w:val="0"/>
        </w:rPr>
        <w:t>W ramach zadania zrealizowane zostaną prace rozwojowe obejmujące:</w:t>
      </w:r>
    </w:p>
    <w:p>
      <w:pPr>
        <w:spacing w:after="60"/>
      </w:pPr>
      <w:r>
        <w:rPr>
          <w:b w:val="0"/>
        </w:rPr>
        <w:t xml:space="preserve">1. Fazę A (M22-M26): instalację i kalibrację egzemplarzy release candidate, rejestrację co najmniej </w:t>
      </w:r>
      <w:r>
        <w:rPr>
          <w:b w:val="0"/>
          <w:highlight w:val="yellow"/>
        </w:rPr>
        <w:t>60</w:t>
      </w:r>
      <w:r>
        <w:rPr>
          <w:b w:val="0"/>
        </w:rPr>
        <w:t xml:space="preserve"> kursów i wczesną analizę przesunięcia domeny (domain shift).</w:t>
      </w:r>
    </w:p>
    <w:p>
      <w:pPr>
        <w:spacing w:after="60"/>
      </w:pPr>
      <w:r>
        <w:rPr>
          <w:b w:val="0"/>
        </w:rPr>
        <w:t>2. Fazę B (M27-M29): wdrożenie wersji finalnej, rejestrację do łącznie co najmniej 180 kursów naturalnych i pełną walidację KPI.</w:t>
      </w:r>
    </w:p>
    <w:p>
      <w:pPr>
        <w:spacing w:after="60"/>
      </w:pPr>
      <w:r>
        <w:rPr>
          <w:b w:val="0"/>
        </w:rPr>
        <w:t xml:space="preserve">3. Okno korekt w M30 trwające do 4 tygodni: rekalibrację progów, douczenie modeli i walidację potwierdzającą na co najmniej </w:t>
      </w:r>
      <w:r>
        <w:rPr>
          <w:b w:val="0"/>
          <w:highlight w:val="yellow"/>
        </w:rPr>
        <w:t>30</w:t>
      </w:r>
      <w:r>
        <w:rPr>
          <w:b w:val="0"/>
        </w:rPr>
        <w:t xml:space="preserve"> nowych kursach, w celu ponownego potwierdzenia parametrów po korektach. Zmiany architektury i reanotacje, wymagające dłuższego cyklu, wykona PRz w zadaniu Z8.</w:t>
      </w:r>
    </w:p>
    <w:p>
      <w:pPr>
        <w:spacing w:after="60"/>
      </w:pPr>
      <w:r>
        <w:rPr>
          <w:b w:val="0"/>
        </w:rPr>
        <w:t xml:space="preserve">Walidowane KPI i minimalne próby: a) AUC-ROC modelu ML po kompresji co najmniej 0,82 dla co najmniej 3 klas ładunku, na co najmniej 180 kursach, z co najmniej 30 ZR naturalnymi (10 na klasę) i przedziałem ufności 95%; wskaźnik innowacyjności 0,85 dotyczy modelu FP32 z zadania Z4, a tu sprawdzany jest model po kompresji (degradacja do 0,03); b) mAP przy IoU 0,50 co najmniej </w:t>
      </w:r>
      <w:r>
        <w:rPr>
          <w:b w:val="0"/>
          <w:highlight w:val="yellow"/>
        </w:rPr>
        <w:t>0,72</w:t>
      </w:r>
      <w:r>
        <w:rPr>
          <w:b w:val="0"/>
        </w:rPr>
        <w:t xml:space="preserve"> (model po kompresji, co najmniej 5 klas zabezpieczeń) na co najmniej 200 obrazach terenowych; c) opóźnienie alertu, percentyl 95, nie więcej niż 1 s na co najmniej 500 zdarzeniach bez łączności; d) czas PoC, mediana, nie więcej niż 30 s na co najmniej 200 cyklach; e) błąd pozycji 3D, mediana nie więcej niż 0,30 m i percentyl 95 nie więcej niż 0,35 m, na co najmniej 1000 pomiarów fotogrametrycznych wykonywanych co około 500 km; f) częstotliwość aktualizacji modelu 3D co najmniej 5 Hz; g) dostępność systemu co najmniej 95%; h) trafność alertów w ujęciu kursu: precyzja co najmniej </w:t>
      </w:r>
      <w:r>
        <w:rPr>
          <w:b w:val="0"/>
          <w:highlight w:val="yellow"/>
        </w:rPr>
        <w:t>0,70</w:t>
      </w:r>
      <w:r>
        <w:rPr>
          <w:b w:val="0"/>
        </w:rPr>
        <w:t xml:space="preserve"> i czułość co najmniej </w:t>
      </w:r>
      <w:r>
        <w:rPr>
          <w:b w:val="0"/>
          <w:highlight w:val="yellow"/>
        </w:rPr>
        <w:t>0,80</w:t>
      </w:r>
      <w:r>
        <w:rPr>
          <w:b w:val="0"/>
        </w:rPr>
        <w:t>.</w:t>
      </w:r>
    </w:p>
    <w:p>
      <w:pPr>
        <w:spacing w:after="60"/>
      </w:pPr>
      <w:r>
        <w:rPr>
          <w:b w:val="0"/>
        </w:rPr>
        <w:t>Montaż i demontaż zestawów wykona podwykonawca. Projekt techniczny, konfigurację, kalibrację i odbiór techniczny wykona IoT Specialist. Zadanie nie obejmuje czynności patentowych, które są przedmiotem zadania Z11. Zestawy po walidacji zostaną zlikwidowane z protokołem, bez użycia komercyjnego.</w:t>
      </w:r>
    </w:p>
    <w:p>
      <w:pPr>
        <w:spacing w:after="60"/>
      </w:pPr>
      <w:r>
        <w:rPr>
          <w:b w:val="0"/>
        </w:rPr>
        <w:t>Zadanie będzie realizowane przez zespół Everest11. AI Lead opracuje protokół walidacji KPI, zbierze i uporządkuje dane terenowe, obliczy metryki dla każdej klasy i przy stwierdzeniu domain shift przeprowadzi adaptację domenową. AI Senior Engineer zoptymalizuje modele na platformie, zdiagnozuje domain shift, wdroży korekty, zmierzy wskaźniki jakości i przygotuje raport KPI, a także przeprowadzi badanie akceptacji użytkowników (kierowcy, dyspozytorzy) według scenariuszy specjalisty TSL. IoT Specialist odbierze zestawy po montażu, skalibruje je i zarejestruje parametry niezawodności sprzętu. IT Specialist zbierze logi (dostępność, status GSM, bufor), zmierzy czas PoC i opóźnienia oraz opracuje dane do raportu KPI. Bieżące utrzymanie systemu nie należy do tego zadania. Cybersecurity / AI Act Specialist wykona testy bezpieczeństwa prototypu w terenie i uruchomi zamrożony skrypt ewaluacyjny jako niezależny ewaluator. Specjalista ds. logistyki TSL poprowadzi inspekcje ground truth. Backend/Full-Stack Developer, w wymiarze 1,0 etatu przez 3 miesiące od M28 do M30, obsłuży walidację PoC i zgodności eFTI w terenie na co najmniej 200 cyklach oraz analizę błędów. Nakład czasu pozostałych osób wynika z podziału ich etatów między zadania Z6, Z7 i Z9 określonego w budżecie.</w:t>
      </w:r>
    </w:p>
    <w:p>
      <w:pPr>
        <w:keepNext/>
        <w:spacing w:before="160" w:after="40"/>
      </w:pPr>
      <w:r>
        <w:rPr>
          <w:b/>
          <w:sz w:val="20"/>
        </w:rPr>
        <w:t>Szczegółowy opis planowanych prac wraz z uzasadnieniem (w tym opis metody badawczej)</w:t>
      </w:r>
      <w:r>
        <w:rPr>
          <w:color w:val="666666"/>
          <w:sz w:val="17"/>
        </w:rPr>
        <w:t xml:space="preserve"> [3764 z 4000 znaków]</w:t>
      </w:r>
    </w:p>
    <w:p>
      <w:pPr>
        <w:spacing w:after="60"/>
      </w:pPr>
      <w:r>
        <w:rPr>
          <w:b w:val="0"/>
        </w:rPr>
        <w:t>Problem technologiczny rozwiązywany w zadaniu został zdefiniowany w sekcji Cel projektu i dotyczy przeniesienia parametrów uzyskanych w laboratorium do rzeczywistej eksploatacji. Wskaźniki mogą nie utrzymać się w ruchu z powodu drgań, zmiennej temperatury, odmiennych ładunków i rzadkości zdarzeń (domain shift). Rozstrzygnięcie wymaga rejestracji w rzeczywistej eksploatacji ze zweryfikowanym ground truth, a wynik nie jest przesądzony.</w:t>
      </w:r>
    </w:p>
    <w:p>
      <w:pPr>
        <w:spacing w:after="60"/>
      </w:pPr>
      <w:r>
        <w:rPr>
          <w:b w:val="0"/>
        </w:rPr>
        <w:t>Zadanie ma charakter prac rozwojowych, ponieważ obejmuje walidację i dostrajanie działającego prototypu w środowisku bliskim docelowemu, a przeniesienie wskaźników z laboratorium w teren jest niepewne. Rzadkie zdarzenia i domain shift nie pozwalają przesądzić wyniku, dlatego harmonogram obejmuje nie tylko rejestrację, ale także analizę, korekty i ponowną walidację.</w:t>
      </w:r>
    </w:p>
    <w:p>
      <w:pPr>
        <w:spacing w:after="60"/>
      </w:pPr>
      <w:r>
        <w:rPr>
          <w:b w:val="0"/>
        </w:rPr>
        <w:t>Metoda zakłada walidację w trzech krokach. Najpierw egzemplarze zostaną zainstalowane na różnych typach naczep (standardowa 13,6 m, mega, platforma), skalibrowane, a użytkownicy przeszkoleni, przy monitorowaniu niezawodności sprzętu. Następnie KPI zostaną zwalidowane na nowych kursach naturalnych, niezależnych od danych treningowych, a AUC-ROC będzie raportowane z przedziałem ufności 95% (bootstrap po kursach). Klasa jest wskaźnikiem wiążącym, gdy ma co najmniej 10 ZR naturalnych; w pozostałych przypadkach zostanie podana informacyjnie i wyliczone zostanie zbiorcze AUC dla co najmniej 30 ZR. Jeżeli po M29 będzie mniej niż 30 ZR, rejestracja zostanie przedłużona do końca M30, a wynik zaraportowany z zastrzeżeniem, zgodnie z procedurą ryzyka R2. Na koniec zostanie przeanalizowany domain shift: wskazane scenariusze o niższej dokładności, zdiagnozowane przyczyny (nowe klasy ładunku, oświetlenie) i wdrożone korekty w oknie M30 z walidacją potwierdzającą.</w:t>
      </w:r>
    </w:p>
    <w:p>
      <w:pPr>
        <w:spacing w:after="60"/>
      </w:pPr>
      <w:r>
        <w:rPr>
          <w:b w:val="0"/>
        </w:rPr>
        <w:t>Niezależność wyników zapewnia procedura, ponieważ zadanie ma jednego wykonawcę. Inspekcję ground truth poprowadzi specjalista TSL w trybie ślepym względem predykcji, według protokołu z zadania Z3, ze zdjęciami ze znacznikiem czasu; nie będzie on oceniał trafności alertów ani podpisywał odbioru. Alerty i predykcje będą zapisywane automatycznie w logu niemodyfikowalnym (append-only, podpis kryptograficzny), a przed Fazą B wersje modeli i skrypt ewaluacyjny zostaną zamrożone protokołem z sumą kontrolną. Ewaluację uruchomi osoba bez powiązań z Natanek Logistics i bez udziału w modelowaniu, czyli specjalista ds. cyberbezpieczeństwa, a wyniki powstaną automatycznie ze skryptu. Co najmniej 10% inspekcji zostanie powtórnie zweryfikowane na podstawie zdjęć przez drugą osobę Everest11. Protokół odbioru podpiszą kierownik B+R i kierownik zarządzający, a nie pracownik odbiorcy wdrożenia. PRz zweryfikuje metodykę walidacji i zamrożony skrypt w zadaniu Z8 (odbiór metodyczny) i nie ma w zadaniu Z9 ani prac, ani kosztów.</w:t>
      </w:r>
    </w:p>
    <w:p>
      <w:pPr>
        <w:spacing w:after="60"/>
      </w:pPr>
      <w:r>
        <w:rPr>
          <w:b w:val="0"/>
        </w:rPr>
        <w:t>Wybór metody jest uzasadniony czterema względami. Nowe kursy naturalne, zamrożony skrypt i log niemodyfikowalny dają niezawodny wynik, a metoda jest celowa i skuteczna, ponieważ mierzy to, co ma być potwierdzone. Wykorzystanie floty testowej zapewnia ekonomiczność. Podwykonawca zainstaluje wyłącznie finalne zestawy prototypowe i je zdemontuje, a montaż toru pomiarowego z zadania Z2 ma odrębny zakres i termin, więc nie ma podwójnego finansowania.</w:t>
      </w:r>
    </w:p>
    <w:p>
      <w:pPr>
        <w:spacing w:after="60"/>
      </w:pPr>
      <w:r>
        <w:rPr>
          <w:b w:val="0"/>
        </w:rPr>
        <w:t>Zadanie zamyka łańcuch prac projektu. Integruje wyniki zadań Z4, Z5, Z6, Z7 i Z8, a potwierdzone KPI stanowią podstawę wskaźników rezultatu. Z danych radaru mmWave będzie dodatkowo wyznaczany wskaźnik wykorzystania kubatury naczepy (cel co najmniej 80%), raportowany miesięcznie jako wskaźnik operacyjny, który nie jest parametrem kamienia milowego. Raport techniczny z zadania Z9 jest wejściem do prac patentowych w zadaniu Z11, a koszty zadania obejmują wynagrodzenia wymienionych osób Everest11 oraz usługę podwykonawcy.</w:t>
      </w:r>
    </w:p>
    <w:p>
      <w:pPr>
        <w:pStyle w:val="Heading3"/>
      </w:pPr>
      <w:r>
        <w:t>Kamień milowy zadania 9</w:t>
      </w:r>
    </w:p>
    <w:p>
      <w:pPr>
        <w:keepNext/>
        <w:spacing w:before="160" w:after="40"/>
      </w:pPr>
      <w:r>
        <w:rPr>
          <w:b/>
          <w:sz w:val="20"/>
        </w:rPr>
        <w:t>Nazwa kamienia milowego</w:t>
      </w:r>
      <w:r>
        <w:rPr>
          <w:color w:val="666666"/>
          <w:sz w:val="17"/>
        </w:rPr>
        <w:t xml:space="preserve"> [282 z 500 znaków]</w:t>
      </w:r>
    </w:p>
    <w:p>
      <w:pPr>
        <w:spacing w:after="60"/>
        <w:shd w:val="clear" w:color="auto" w:fill="EEF3FA"/>
      </w:pPr>
      <w:r>
        <w:rPr>
          <w:b w:val="0"/>
        </w:rPr>
        <w:t>Zwalidowany w rzeczywistej eksploatacji prototyp systemu CargoDT (zintegrowane komponenty Z4, Z5, Z6, Z7 i Z8, z pełnym Proof of Condition i warstwą change detection) z potwierdzonym na flocie testowej zestawem KPI, wykonany według ścieżki audytu zapewniającej niezależność wyników.</w:t>
      </w:r>
    </w:p>
    <w:p>
      <w:pPr>
        <w:keepNext/>
        <w:spacing w:before="160" w:after="40"/>
      </w:pPr>
      <w:r>
        <w:rPr>
          <w:b/>
          <w:sz w:val="20"/>
        </w:rPr>
        <w:t>Parametry</w:t>
      </w:r>
      <w:r>
        <w:rPr>
          <w:color w:val="666666"/>
          <w:sz w:val="17"/>
        </w:rPr>
        <w:t xml:space="preserve"> [1086 z 1300 znaków]</w:t>
      </w:r>
    </w:p>
    <w:p>
      <w:pPr>
        <w:spacing w:after="60"/>
        <w:shd w:val="clear" w:color="auto" w:fill="EEF3FA"/>
      </w:pPr>
      <w:r>
        <w:rPr>
          <w:b w:val="0"/>
        </w:rPr>
        <w:t>Parametry mierzone na nowych kursach naturalnych, na co najmniej 3 pojazdach:</w:t>
      </w:r>
    </w:p>
    <w:p>
      <w:pPr>
        <w:spacing w:after="60"/>
        <w:shd w:val="clear" w:color="auto" w:fill="EEF3FA"/>
      </w:pPr>
      <w:r>
        <w:rPr>
          <w:b w:val="0"/>
        </w:rPr>
        <w:t>a) AUC-ROC modelu ML po kompresji dla co najmniej 3 klas ładunku: nie mniej niż 0,82, na co najmniej 180 kursach i co najmniej 30 ZR naturalnych (co najmniej 10 na klasę), z przedziałem ufności 95%;</w:t>
      </w:r>
    </w:p>
    <w:p>
      <w:pPr>
        <w:spacing w:after="60"/>
        <w:shd w:val="clear" w:color="auto" w:fill="EEF3FA"/>
      </w:pPr>
      <w:r>
        <w:rPr>
          <w:b w:val="0"/>
        </w:rPr>
        <w:t xml:space="preserve">b) mAP przy IoU 0,50 dla co najmniej 5 klas zabezpieczeń, na co najmniej 200 obrazach terenowych: nie mniej niż </w:t>
      </w:r>
      <w:r>
        <w:rPr>
          <w:b w:val="0"/>
          <w:highlight w:val="yellow"/>
        </w:rPr>
        <w:t>0,72</w:t>
      </w:r>
      <w:r>
        <w:rPr>
          <w:b w:val="0"/>
        </w:rPr>
        <w:t>;</w:t>
      </w:r>
    </w:p>
    <w:p>
      <w:pPr>
        <w:spacing w:after="60"/>
        <w:shd w:val="clear" w:color="auto" w:fill="EEF3FA"/>
      </w:pPr>
      <w:r>
        <w:rPr>
          <w:b w:val="0"/>
        </w:rPr>
        <w:t>c) opóźnienie alertu, percentyl 95, bez łączności, na co najmniej 500 zdarzeniach: nie więcej niż 1 s;</w:t>
      </w:r>
    </w:p>
    <w:p>
      <w:pPr>
        <w:spacing w:after="60"/>
        <w:shd w:val="clear" w:color="auto" w:fill="EEF3FA"/>
      </w:pPr>
      <w:r>
        <w:rPr>
          <w:b w:val="0"/>
        </w:rPr>
        <w:t>d) czas generowania PoC, mediana, na co najmniej 200 cyklach: nie więcej niż 30 s;</w:t>
      </w:r>
    </w:p>
    <w:p>
      <w:pPr>
        <w:spacing w:after="60"/>
        <w:shd w:val="clear" w:color="auto" w:fill="EEF3FA"/>
      </w:pPr>
      <w:r>
        <w:rPr>
          <w:b w:val="0"/>
        </w:rPr>
        <w:t>e) błąd pozycji 3D na co najmniej 1000 pomiarach fotogrametrycznych: mediana nie więcej niż 0,30 m, percentyl 95 nie więcej niż 0,35 m;</w:t>
      </w:r>
    </w:p>
    <w:p>
      <w:pPr>
        <w:spacing w:after="60"/>
        <w:shd w:val="clear" w:color="auto" w:fill="EEF3FA"/>
      </w:pPr>
      <w:r>
        <w:rPr>
          <w:b w:val="0"/>
        </w:rPr>
        <w:t>f) częstotliwość aktualizacji modelu 3D: nie mniej niż 5 Hz;</w:t>
      </w:r>
    </w:p>
    <w:p>
      <w:pPr>
        <w:spacing w:after="60"/>
        <w:shd w:val="clear" w:color="auto" w:fill="EEF3FA"/>
      </w:pPr>
      <w:r>
        <w:rPr>
          <w:b w:val="0"/>
        </w:rPr>
        <w:t>g) dostępność systemu: nie mniej niż 95% (100% to całkowity czas pracy w kampanii);</w:t>
      </w:r>
    </w:p>
    <w:p>
      <w:pPr>
        <w:spacing w:after="60"/>
        <w:shd w:val="clear" w:color="auto" w:fill="EEF3FA"/>
      </w:pPr>
      <w:r>
        <w:rPr>
          <w:b w:val="0"/>
        </w:rPr>
        <w:t xml:space="preserve">h) precyzja alertów w ujęciu kursu nie mniej niż </w:t>
      </w:r>
      <w:r>
        <w:rPr>
          <w:b w:val="0"/>
          <w:highlight w:val="yellow"/>
        </w:rPr>
        <w:t>0,70</w:t>
      </w:r>
      <w:r>
        <w:rPr>
          <w:b w:val="0"/>
        </w:rPr>
        <w:t xml:space="preserve"> i czułość nie mniej niż </w:t>
      </w:r>
      <w:r>
        <w:rPr>
          <w:b w:val="0"/>
          <w:highlight w:val="yellow"/>
        </w:rPr>
        <w:t>0,80</w:t>
      </w:r>
      <w:r>
        <w:rPr>
          <w:b w:val="0"/>
        </w:rPr>
        <w:t>.</w:t>
      </w:r>
    </w:p>
    <w:p>
      <w:pPr>
        <w:spacing w:after="60"/>
        <w:shd w:val="clear" w:color="auto" w:fill="EEF3FA"/>
      </w:pPr>
      <w:r>
        <w:rPr>
          <w:b w:val="0"/>
        </w:rPr>
        <w:t>AUC-ROC, mAP, precyzja i czułość są wielkościami bezwymiarowymi bez jednostki SI; 1,0 oznacza wynik idealny i jest punktem odniesienia 100%.</w:t>
      </w:r>
    </w:p>
    <w:p>
      <w:pPr>
        <w:keepNext/>
        <w:spacing w:before="160" w:after="40"/>
      </w:pPr>
      <w:r>
        <w:rPr>
          <w:b/>
          <w:sz w:val="20"/>
        </w:rPr>
        <w:t>Opis sposobu weryfikacji osiągnięcia kamienia milowego</w:t>
      </w:r>
      <w:r>
        <w:rPr>
          <w:color w:val="666666"/>
          <w:sz w:val="17"/>
        </w:rPr>
        <w:t xml:space="preserve"> [851 z 1300 znaków]</w:t>
      </w:r>
    </w:p>
    <w:p>
      <w:pPr>
        <w:spacing w:after="60"/>
        <w:shd w:val="clear" w:color="auto" w:fill="EEF3FA"/>
      </w:pPr>
      <w:r>
        <w:rPr>
          <w:b w:val="0"/>
        </w:rPr>
        <w:t>Odpowiada Everest11. Odbioru dokonuje kierownik B+R Damian Kordos wspólnie z kierownikiem zarządzającym Maciejem Chrzanowskim. Protokołu nie podpisuje pracownik odbiorcy wdrożenia. Weryfikacja: a) AUC-ROC skryptem ewaluacyjnym zamrożonym protokołem z sumą kontrolną, uruchamianym przez osobę niezależną od Natanek Logistics i od modelowania, na danych z logu niemodyfikowalnego (append-only, podpis kryptograficzny); inspekcje ground truth są ślepe względem predykcji, ze zdjęciami ze znacznikiem czasu, a co najmniej 10% sprawdza ponownie druga osoba Everest11; b) mAP na obrazach terenowych z anotacją; c) do g) z logów systemowych i pomiarów fotogrametrycznych; h) z macierzy alertów w ujęciu kursu. PRz weryfikuje metodykę w Z8, bez prac i kosztów w Z9. Decyzję o zakończeniu, modyfikacji albo przerwaniu zadania podejmuje komitet sterujący w M30.</w:t>
      </w:r>
    </w:p>
    <w:p>
      <w:pPr>
        <w:keepNext/>
        <w:spacing w:before="160" w:after="40"/>
      </w:pPr>
      <w:r>
        <w:rPr>
          <w:b/>
          <w:sz w:val="20"/>
        </w:rPr>
        <w:t>Opis wpływu nieosiągnięcia kamienia milowego na realizację projektu</w:t>
      </w:r>
      <w:r>
        <w:rPr>
          <w:color w:val="666666"/>
          <w:sz w:val="17"/>
        </w:rPr>
        <w:t xml:space="preserve"> [863 z 1300 znaków]</w:t>
      </w:r>
    </w:p>
    <w:p>
      <w:pPr>
        <w:spacing w:after="60"/>
        <w:shd w:val="clear" w:color="auto" w:fill="EEF3FA"/>
      </w:pPr>
      <w:r>
        <w:rPr>
          <w:b w:val="0"/>
        </w:rPr>
        <w:t xml:space="preserve">Brak kamienia oznacza brak walidacji w warunkach rzeczywistych i brak podstawy faktycznej do zgłoszenia patentowego. Parametry sprzętowe (opóźnienie, odporność, wydajność) można potwierdzić stanowiskowo, ale AUC-ROC i mAP na zdarzeniach naturalnych są niezbędne dla TRL 8. Gdy montaż na pojeździe opóźni się o więcej niż </w:t>
      </w:r>
      <w:r>
        <w:rPr>
          <w:b w:val="0"/>
          <w:highlight w:val="yellow"/>
        </w:rPr>
        <w:t>8 tygodni</w:t>
      </w:r>
      <w:r>
        <w:rPr>
          <w:b w:val="0"/>
        </w:rPr>
        <w:t xml:space="preserve">, TRL 8 przesuwa się poza projekt, a wynikiem pozostaje TRL 7 jako skutek ryzyka, bez zmiany deklarowanych wskaźników. Gdy wskaźnik AI nie przenosi się na teren, w M30 (okno do 4 tygodni) wykonujemy rekalibrację progów, douczenie i walidację potwierdzającą. Zmiany architektury i reanotacje wykonuje PRz w Z8 po wersji RC w M26. Wartość graniczna no-go: AUC-ROC mniejsze niż </w:t>
      </w:r>
      <w:r>
        <w:rPr>
          <w:b w:val="0"/>
          <w:highlight w:val="yellow"/>
        </w:rPr>
        <w:t>0,70</w:t>
      </w:r>
      <w:r>
        <w:rPr>
          <w:b w:val="0"/>
        </w:rPr>
        <w:t xml:space="preserve"> albo mAP mniejsze niż </w:t>
      </w:r>
      <w:r>
        <w:rPr>
          <w:b w:val="0"/>
          <w:highlight w:val="yellow"/>
        </w:rPr>
        <w:t>0,60</w:t>
      </w:r>
      <w:r>
        <w:rPr>
          <w:b w:val="0"/>
        </w:rPr>
        <w:t xml:space="preserve"> po oknie korekt. Wtedy ograniczamy zakres wdrożenia do klas i funkcji spełniających progi i aktualizujemy wskaźniki rezultatu.</w:t>
      </w:r>
    </w:p>
    <w:p>
      <w:r>
        <w:br w:type="page"/>
      </w:r>
    </w:p>
    <w:p>
      <w:pPr>
        <w:pStyle w:val="Heading1"/>
      </w:pPr>
      <w:r>
        <w:t>Część druga. Ryzyka do wklejenia (R1-R5, R9-R12)</w:t>
      </w:r>
    </w:p>
    <w:p>
      <w:pPr>
        <w:spacing w:after="60"/>
      </w:pPr>
      <w:r>
        <w:rPr>
          <w:b w:val="0"/>
        </w:rPr>
        <w:t>Pola ryzyk w kolejności z Instrukcji: nazwa, opis ryzyka (z prawdopodobieństwem i wpływem), sposoby zapobiegania i minimalizacji skutków. Ryzyka R6, R7 i R8 nie były przedmiotem tej wersji i pozostają bez zmian. R10, R11 i R12 są nowe i odpowiadają uwagom 25, 31 i 32.</w:t>
      </w:r>
    </w:p>
    <w:p>
      <w:pPr>
        <w:pStyle w:val="Heading2"/>
      </w:pPr>
      <w:r>
        <w:t>R1</w:t>
      </w:r>
    </w:p>
    <w:p>
      <w:r>
        <w:rPr>
          <w:color w:val="666666"/>
        </w:rPr>
        <w:t>Rodzaj ryzyka: badawcze/technologiczne</w:t>
      </w:r>
    </w:p>
    <w:p>
      <w:pPr>
        <w:keepNext/>
        <w:spacing w:before="160" w:after="40"/>
      </w:pPr>
      <w:r>
        <w:rPr>
          <w:b/>
          <w:sz w:val="20"/>
        </w:rPr>
        <w:t>Nazwa ryzyka</w:t>
      </w:r>
      <w:r>
        <w:rPr>
          <w:color w:val="666666"/>
          <w:sz w:val="17"/>
        </w:rPr>
        <w:t xml:space="preserve"> [139 z 200 znaków]</w:t>
      </w:r>
    </w:p>
    <w:p>
      <w:pPr>
        <w:spacing w:after="60"/>
        <w:shd w:val="clear" w:color="auto" w:fill="FBF3E6"/>
      </w:pPr>
      <w:r>
        <w:rPr>
          <w:b w:val="0"/>
        </w:rPr>
        <w:t>Niewystarczająca dokładność rekonstrukcji 3D przestrzeni ładunkowej z powodu interferencji kamer ToF i drgań naczepy (zadania Z1 i Z5) - R1</w:t>
      </w:r>
    </w:p>
    <w:p>
      <w:pPr>
        <w:keepNext/>
        <w:spacing w:before="160" w:after="40"/>
      </w:pPr>
      <w:r>
        <w:rPr>
          <w:b/>
          <w:sz w:val="20"/>
        </w:rPr>
        <w:t>Opis ryzyka</w:t>
      </w:r>
      <w:r>
        <w:rPr>
          <w:color w:val="666666"/>
          <w:sz w:val="17"/>
        </w:rPr>
        <w:t xml:space="preserve"> [1238 z 2000 znaków]</w:t>
      </w:r>
    </w:p>
    <w:p>
      <w:pPr>
        <w:spacing w:after="60"/>
        <w:shd w:val="clear" w:color="auto" w:fill="FBF3E6"/>
      </w:pPr>
      <w:r>
        <w:rPr>
          <w:b w:val="0"/>
        </w:rPr>
        <w:t xml:space="preserve">Ryzyko dotyczy badań przemysłowych w zadaniu Z1 i prac rozwojowych w zadaniu Z5, realizowanych przez PRz. Polega na możliwości nieosiągnięcia parametrów kamieni milowych KM-Z1 i KM-Z5: pokrycia co najmniej 95% objętości przestrzeni ładunkowej (83,7 m3 z 88,1 m3) przy nie więcej niż 4 kamerach, mediany błędu pozycji ładunku nie większej niż 0,30 m i percentyla 95 nie większego niż 0,35 m, mediany błędu przemieszczenia względnego nie większej niż </w:t>
      </w:r>
      <w:r>
        <w:rPr>
          <w:b w:val="0"/>
          <w:highlight w:val="yellow"/>
        </w:rPr>
        <w:t>0,03 m</w:t>
      </w:r>
      <w:r>
        <w:rPr>
          <w:b w:val="0"/>
        </w:rPr>
        <w:t>, redukcji RMSE głębi o co najmniej 50% oraz częstotliwości aktualizacji modelu 3D co najmniej 5 Hz. Niepewność ma dwa źródła. Pierwszym są interferencje kamer ToF (MCI) i błędy wielościeżkowe (MPI) w zamkniętej, metalowej przestrzeni, których nie opisano w literaturze dla takiego środowiska. Drugim jest kompensacja drgań o częstotliwości od 8 do 25 Hz przy łączeniu map głębi, ponieważ metody ToF-IMU i Visual SLAM walidowano dla scen otwartych. Prawdopodobieństwo wystąpienia ryzyka jest średnie. Skutkiem byłaby niższa dokładność modelu 3D, czyli gorsza jakość rezultatu i danych wejściowych dla zadań Z4 i Z8, a także możliwe wydłużenie prac i zawężenie zakresu. Ryzyko dotyczy wprost cechy innowacyjnej „model 3D z wielu kamer w czasie rzeczywistym” i wskaźnika błędu pozycji.</w:t>
      </w:r>
    </w:p>
    <w:p>
      <w:pPr>
        <w:keepNext/>
        <w:spacing w:before="160" w:after="40"/>
      </w:pPr>
      <w:r>
        <w:rPr>
          <w:b/>
          <w:sz w:val="20"/>
        </w:rPr>
        <w:t>Sposoby zapobiegania i minimalizacji skutków</w:t>
      </w:r>
      <w:r>
        <w:rPr>
          <w:color w:val="666666"/>
          <w:sz w:val="17"/>
        </w:rPr>
        <w:t xml:space="preserve"> [1334 z 2000 znaków]</w:t>
      </w:r>
    </w:p>
    <w:p>
      <w:pPr>
        <w:spacing w:after="60"/>
        <w:shd w:val="clear" w:color="auto" w:fill="FBF3E6"/>
      </w:pPr>
      <w:r>
        <w:rPr>
          <w:b w:val="0"/>
        </w:rPr>
        <w:t>Ryzyku zapobiegają trzy działania. Eksperyment MCI i MPI w zadaniu Z1 wyznacza wartość bazową błędu głębi i konfigurację kamer, zanim zostaną zainstrumentowane pojazdy. Algorytm adaptacyjny MCI i kompensacja drgań strojona do widma od 8 do 25 Hz powstają w zadaniu Z5. Referencja fotogrametryczna jest stosowana na stanowisku wibracyjnym w zadaniu Z5 i w terenie co około 500 km w zadaniu Z9.</w:t>
      </w:r>
    </w:p>
    <w:p>
      <w:pPr>
        <w:spacing w:after="60"/>
        <w:shd w:val="clear" w:color="auto" w:fill="FBF3E6"/>
      </w:pPr>
      <w:r>
        <w:rPr>
          <w:b w:val="0"/>
        </w:rPr>
        <w:t>Skutki ryzyka ograniczamy w ustalonej kolejności. Pierwszym krokiem są nie więcej niż 2 iteracje korekcyjne, każda w oknie od 4 do 6 tygodni przed danym kamieniem milowym. Pokrycie od 85% do 95% oznacza wariant zawężony z wyłączeniem stref niekrytycznych (narożniki), a mediana błędu pozycji od 0,30 do 0,50 m daje lokalizację ładunku z dokładnością do strefy, z zachowaniem wykrywania przemieszczeń względnych od 0,10 m. Wariant zawężony zachowuje cechy innowacyjne, a wskaźnik błędu pozycji i pokrycia aktualizujemy w trybie zmiany projektu.</w:t>
      </w:r>
    </w:p>
    <w:p>
      <w:pPr>
        <w:spacing w:after="60"/>
        <w:shd w:val="clear" w:color="auto" w:fill="FBF3E6"/>
      </w:pPr>
      <w:r>
        <w:rPr>
          <w:b w:val="0"/>
        </w:rPr>
        <w:t xml:space="preserve">Warunki no-go po dwóch iteracjach: pokrycie mniejsze niż </w:t>
      </w:r>
      <w:r>
        <w:rPr>
          <w:b w:val="0"/>
          <w:highlight w:val="yellow"/>
        </w:rPr>
        <w:t>85%</w:t>
      </w:r>
      <w:r>
        <w:rPr>
          <w:b w:val="0"/>
        </w:rPr>
        <w:t xml:space="preserve"> w każdym wariancie do 4 kamer albo mediana błędu pozycji większa niż </w:t>
      </w:r>
      <w:r>
        <w:rPr>
          <w:b w:val="0"/>
          <w:highlight w:val="yellow"/>
        </w:rPr>
        <w:t>0,50 m</w:t>
      </w:r>
      <w:r>
        <w:rPr>
          <w:b w:val="0"/>
        </w:rPr>
        <w:t xml:space="preserve"> (ponad połowa szerokości europalety) albo redukcja RMSE mniejsza niż </w:t>
      </w:r>
      <w:r>
        <w:rPr>
          <w:b w:val="0"/>
          <w:highlight w:val="yellow"/>
        </w:rPr>
        <w:t>30%</w:t>
      </w:r>
      <w:r>
        <w:rPr>
          <w:b w:val="0"/>
        </w:rPr>
        <w:t>. Decyzję podejmuje komitet sterujący w M9 (zadanie Z1) lub w M27 (zadanie Z5): zmienia architekturę sensoryczną, na przykład na kamery EO ze światłem strukturalnym, albo przerywa zadanie.</w:t>
      </w:r>
    </w:p>
    <w:p>
      <w:pPr>
        <w:pStyle w:val="Heading2"/>
      </w:pPr>
      <w:r>
        <w:t>R2</w:t>
      </w:r>
    </w:p>
    <w:p>
      <w:r>
        <w:rPr>
          <w:color w:val="666666"/>
        </w:rPr>
        <w:t>Rodzaj ryzyka: badawcze/technologiczne</w:t>
      </w:r>
    </w:p>
    <w:p>
      <w:pPr>
        <w:keepNext/>
        <w:spacing w:before="160" w:after="40"/>
      </w:pPr>
      <w:r>
        <w:rPr>
          <w:b/>
          <w:sz w:val="20"/>
        </w:rPr>
        <w:t>Nazwa ryzyka</w:t>
      </w:r>
      <w:r>
        <w:rPr>
          <w:color w:val="666666"/>
          <w:sz w:val="17"/>
        </w:rPr>
        <w:t xml:space="preserve"> [165 z 200 znaków]</w:t>
      </w:r>
    </w:p>
    <w:p>
      <w:pPr>
        <w:spacing w:after="60"/>
        <w:shd w:val="clear" w:color="auto" w:fill="FBF3E6"/>
      </w:pPr>
      <w:r>
        <w:rPr>
          <w:b w:val="0"/>
        </w:rPr>
        <w:t>Nieosiągnięcie AUC-ROC co najmniej 0,85 modelu predykcji ryzyka uszkodzenia ładunku z powodu niezbalansowania klas i braku zbioru treningowego (zadania Z2 i Z4) - R2</w:t>
      </w:r>
    </w:p>
    <w:p>
      <w:pPr>
        <w:keepNext/>
        <w:spacing w:before="160" w:after="40"/>
      </w:pPr>
      <w:r>
        <w:rPr>
          <w:b/>
          <w:sz w:val="20"/>
        </w:rPr>
        <w:t>Opis ryzyka</w:t>
      </w:r>
      <w:r>
        <w:rPr>
          <w:color w:val="666666"/>
          <w:sz w:val="17"/>
        </w:rPr>
        <w:t xml:space="preserve"> [1152 z 2000 znaków]</w:t>
      </w:r>
    </w:p>
    <w:p>
      <w:pPr>
        <w:spacing w:after="60"/>
        <w:shd w:val="clear" w:color="auto" w:fill="FBF3E6"/>
      </w:pPr>
      <w:r>
        <w:rPr>
          <w:b w:val="0"/>
        </w:rPr>
        <w:t xml:space="preserve">Ryzyko dotyczy badań przemysłowych w zadaniu Z2 (zbiór danych, Everest11) i prac rozwojowych w zadaniu Z4 (model, PRz). Polega na możliwości nieosiągnięcia AUC-ROC co najmniej 0,85 dla co najmniej 3 klas ładunku przez model FP32 na teście naturalnym. Niepewność potwierdza luka badawcza: przeszukanie IEEE Xplore, Scopus i Google Scholar (maj 2026) nie wykazało modelu ML ryzyka uszkodzenia z sygnałów in-transit z klasą ładunku i kumulacją narażenia, a Neupane i in. (2025) wskazują brak wspólnej metodyki dla niezbalansowania. Problemy są dwa. Zdarzenia są rzadkie (uszkodzenia w 1-3% przesyłek, stosunek klas 1:30-1:100), więc zdarzeń naturalnych nie wystarczy do progu liczności: spodziewamy się </w:t>
      </w:r>
      <w:r>
        <w:rPr>
          <w:b w:val="0"/>
          <w:highlight w:val="yellow"/>
        </w:rPr>
        <w:t>20-40</w:t>
      </w:r>
      <w:r>
        <w:rPr>
          <w:b w:val="0"/>
        </w:rPr>
        <w:t xml:space="preserve"> ZR naturalnych w zadaniu Z2 przy co najmniej 50 kursach, około </w:t>
      </w:r>
      <w:r>
        <w:rPr>
          <w:b w:val="0"/>
          <w:highlight w:val="yellow"/>
        </w:rPr>
        <w:t>8</w:t>
      </w:r>
      <w:r>
        <w:rPr>
          <w:b w:val="0"/>
        </w:rPr>
        <w:t xml:space="preserve"> przesyłkach na kurs i częstości ZR </w:t>
      </w:r>
      <w:r>
        <w:rPr>
          <w:b w:val="0"/>
          <w:highlight w:val="yellow"/>
        </w:rPr>
        <w:t>5-10%</w:t>
      </w:r>
      <w:r>
        <w:rPr>
          <w:b w:val="0"/>
        </w:rPr>
        <w:t>, a próg to 50 ZR na klasę, razem 250, uzupełniane scenariuszami kontrolowanymi. Ponadto nie ma publicznego zbioru danych. Prawdopodobieństwo jest średnie do podwyższonego. Skutkiem byłaby niższa jakość funkcji predykcji ryzyka, czyli cechy innowacyjnej „predykcja ryzyka z klasą ładunku”, oraz opóźnienie modelowania przy niedoborze danych.</w:t>
      </w:r>
    </w:p>
    <w:p>
      <w:pPr>
        <w:keepNext/>
        <w:spacing w:before="160" w:after="40"/>
      </w:pPr>
      <w:r>
        <w:rPr>
          <w:b/>
          <w:sz w:val="20"/>
        </w:rPr>
        <w:t>Sposoby zapobiegania i minimalizacji skutków</w:t>
      </w:r>
      <w:r>
        <w:rPr>
          <w:color w:val="666666"/>
          <w:sz w:val="17"/>
        </w:rPr>
        <w:t xml:space="preserve"> [1683 z 2000 znaków]</w:t>
      </w:r>
    </w:p>
    <w:p>
      <w:pPr>
        <w:spacing w:after="60"/>
        <w:shd w:val="clear" w:color="auto" w:fill="FBF3E6"/>
      </w:pPr>
      <w:r>
        <w:rPr>
          <w:b w:val="0"/>
        </w:rPr>
        <w:t>Ryzyku zapobiegamy pięcioma działaniami. W zadaniu Z2 dane są gromadzone wcześnie i w sposób ciągły, z protokołem inspekcji ślepej. Zdarzenie ryzyka jest zdefiniowane jako uszkodzenie albo przemieszczenie o co najmniej 0,10 m potwierdzone inspekcją, co zwiększa liczność przy etykiecie niezależnej od sygnałów. Techniki uczenia przy niezbalansowaniu (SMOTE, ADASYN, funkcja straty zależna od kosztu błędu, zespoły modeli) są porównywane z badaniem ablacyjnym. Dane kontrolowane i syntetyczne trafiają tylko do treningu i osobnego testu kontrolowanego, a test naturalny i walidacja w zadaniu Z9 używają wyłącznie danych naturalnych (co najmniej 30 ZR, co najmniej 10 na klasę). AUC-ROC i AUC-PR są raportowane z przedziałem ufności 95%.</w:t>
      </w:r>
    </w:p>
    <w:p>
      <w:pPr>
        <w:spacing w:after="60"/>
        <w:shd w:val="clear" w:color="auto" w:fill="FBF3E6"/>
      </w:pPr>
      <w:r>
        <w:rPr>
          <w:b w:val="0"/>
        </w:rPr>
        <w:t>Skutki ograniczamy tak: wykonujemy nie więcej niż 2 iteracje korekcyjne w oknie od 4 do 6 tygodni przed KM-Z4, a przy niedoborze zdarzeń prowadzimy drugą kampanię kontrolowaną i wydłużamy rejestrację w ramach zadania Z2. Wariant zawężony to 2 klasy ładunku (kruchy, wrażliwy temperaturowo) z AUC-ROC co najmniej 0,85, opisany jako udokumentowany wyjątek, a nie jako alternatywna definicja wskaźnika. Zachowuje cechy innowacyjne, a wskaźnik co najmniej 3 klas aktualizujemy w trybie zmiany projektu. W zadaniu Z9 oczekujemy AUC-ROC po kompresji co najmniej 0,82, czyli spadku nie większego niż 3 punkty procentowe.</w:t>
      </w:r>
    </w:p>
    <w:p>
      <w:pPr>
        <w:spacing w:after="60"/>
        <w:shd w:val="clear" w:color="auto" w:fill="FBF3E6"/>
      </w:pPr>
      <w:r>
        <w:rPr>
          <w:b w:val="0"/>
        </w:rPr>
        <w:t xml:space="preserve">Warunki no-go: AUC-ROC mniejsze niż </w:t>
      </w:r>
      <w:r>
        <w:rPr>
          <w:b w:val="0"/>
          <w:highlight w:val="yellow"/>
        </w:rPr>
        <w:t>0,75</w:t>
      </w:r>
      <w:r>
        <w:rPr>
          <w:b w:val="0"/>
        </w:rPr>
        <w:t xml:space="preserve"> w każdej klasie po dwóch iteracjach, albo przyrost AUC względem detektora progowego mniejszy niż </w:t>
      </w:r>
      <w:r>
        <w:rPr>
          <w:b w:val="0"/>
          <w:highlight w:val="yellow"/>
        </w:rPr>
        <w:t>0,05</w:t>
      </w:r>
      <w:r>
        <w:rPr>
          <w:b w:val="0"/>
        </w:rPr>
        <w:t xml:space="preserve">, albo mniej niż </w:t>
      </w:r>
      <w:r>
        <w:rPr>
          <w:b w:val="0"/>
          <w:highlight w:val="yellow"/>
        </w:rPr>
        <w:t>30</w:t>
      </w:r>
      <w:r>
        <w:rPr>
          <w:b w:val="0"/>
        </w:rPr>
        <w:t xml:space="preserve"> ZR łącznie w co najmniej 3 klasach. Decyzję podejmuje komitet sterujący w M18 (zadanie Z2) lub w M27 (zadanie Z4): ogranicza zakres funkcji albo przerywa zadanie modelowe.</w:t>
      </w:r>
    </w:p>
    <w:p>
      <w:pPr>
        <w:pStyle w:val="Heading2"/>
      </w:pPr>
      <w:r>
        <w:t>R3</w:t>
      </w:r>
    </w:p>
    <w:p>
      <w:r>
        <w:rPr>
          <w:color w:val="666666"/>
        </w:rPr>
        <w:t>Rodzaj ryzyka: badawcze/technologiczne</w:t>
      </w:r>
    </w:p>
    <w:p>
      <w:pPr>
        <w:keepNext/>
        <w:spacing w:before="160" w:after="40"/>
      </w:pPr>
      <w:r>
        <w:rPr>
          <w:b/>
          <w:sz w:val="20"/>
        </w:rPr>
        <w:t>Nazwa ryzyka</w:t>
      </w:r>
      <w:r>
        <w:rPr>
          <w:color w:val="666666"/>
          <w:sz w:val="17"/>
        </w:rPr>
        <w:t xml:space="preserve"> [160 z 200 znaków]</w:t>
      </w:r>
    </w:p>
    <w:p>
      <w:pPr>
        <w:spacing w:after="60"/>
        <w:shd w:val="clear" w:color="auto" w:fill="FBF3E6"/>
      </w:pPr>
      <w:r>
        <w:rPr>
          <w:b w:val="0"/>
        </w:rPr>
        <w:t>Nieosiągnięcie mAP co najmniej 0,75 wizyjnej detekcji zabezpieczeń ładunku z powodu braku taksonomii i zbioru oraz okluzji w ruchomej naczepie (zadanie Z8) - R3</w:t>
      </w:r>
    </w:p>
    <w:p>
      <w:pPr>
        <w:keepNext/>
        <w:spacing w:before="160" w:after="40"/>
      </w:pPr>
      <w:r>
        <w:rPr>
          <w:b/>
          <w:sz w:val="20"/>
        </w:rPr>
        <w:t>Opis ryzyka</w:t>
      </w:r>
      <w:r>
        <w:rPr>
          <w:color w:val="666666"/>
          <w:sz w:val="17"/>
        </w:rPr>
        <w:t xml:space="preserve"> [1091 z 2000 znaków]</w:t>
      </w:r>
    </w:p>
    <w:p>
      <w:pPr>
        <w:spacing w:after="60"/>
        <w:shd w:val="clear" w:color="auto" w:fill="FBF3E6"/>
      </w:pPr>
      <w:r>
        <w:rPr>
          <w:b w:val="0"/>
        </w:rPr>
        <w:t>Ryzyko dotyczy prac rozwojowych w zadaniu Z8, realizowanych przez PRz. Polega na możliwości nieosiągnięcia mAP przy IoU 0,50 co najmniej 0,75 dla co najmniej 5 klas zabezpieczeń na zbiorze testowym co najmniej 2000 obrazów oraz F1 modułu change detection co najmniej 0,85 dla przemieszczeń od 0,10 m. Brakuje punktu odniesienia, ponieważ żaden system ani żadna praca naukowa nie realizuje wizyjnej weryfikacji mocowania w ruchomej naczepie, a rozwiązanie magazynowe (Ega, 2025) dotyczy środowiska statycznego. Problemy są trzy: brak taksonomii klas zabezpieczeń zgodnej z EN 12195 (opracowanie w zadaniu Z3, walidacja współczynnikiem kappa co najmniej 0,80), brak zbioru obrazowego (zadanie Z2) oraz okluzje, zmienne oświetlenie NIR i drgania, które wymagają adaptacji domenowej niewalidowanej dla tej kombinacji. Prawdopodobieństwo jest średnie do podwyższonego. Skutkiem byłaby niższa wiarygodność dowodu PoL, gorsza jakość rezultatu i możliwe wydłużenie prac przy rozbudowie zbioru lub taksonomii. Ryzyko dotyczy cechy innowacyjnej „automatyczna weryfikacja zabezpieczeń” i wskaźnika mAP.</w:t>
      </w:r>
    </w:p>
    <w:p>
      <w:pPr>
        <w:keepNext/>
        <w:spacing w:before="160" w:after="40"/>
      </w:pPr>
      <w:r>
        <w:rPr>
          <w:b/>
          <w:sz w:val="20"/>
        </w:rPr>
        <w:t>Sposoby zapobiegania i minimalizacji skutków</w:t>
      </w:r>
      <w:r>
        <w:rPr>
          <w:color w:val="666666"/>
          <w:sz w:val="17"/>
        </w:rPr>
        <w:t xml:space="preserve"> [1329 z 2000 znaków]</w:t>
      </w:r>
    </w:p>
    <w:p>
      <w:pPr>
        <w:spacing w:after="60"/>
        <w:shd w:val="clear" w:color="auto" w:fill="FBF3E6"/>
      </w:pPr>
      <w:r>
        <w:rPr>
          <w:b w:val="0"/>
        </w:rPr>
        <w:t>Ryzyku zapobiegamy pięcioma działaniami. Taksonomia powstaje z konsultacją ekspertów TSL przed anotacją i jest walidowana współczynnikiem kappa na próbie pilotażowej w M10. Anotacja zbioru jest etapowa, z kontrolą zgodności. Stosujemy augmentację domenową (rozmycie od drgań, domena NIR, okluzje) i transfer learning z modeli pretrenowanych. Ewaluacja odbywa się na zbiorze testowym i etykietach z inspekcji z zadania Z2. Wersja release candidate jest gotowa w M26, co pozwala na wczesną iterację korekt.</w:t>
      </w:r>
    </w:p>
    <w:p>
      <w:pPr>
        <w:spacing w:after="60"/>
        <w:shd w:val="clear" w:color="auto" w:fill="FBF3E6"/>
      </w:pPr>
      <w:r>
        <w:rPr>
          <w:b w:val="0"/>
        </w:rPr>
        <w:t>Skutki ograniczamy tak: wykonujemy nie więcej niż 2 iteracje w oknie od 4 do 6 tygodni przed M26, a dla zadania Z8 przy terminie M30 mieści się jedna iteracja trwająca około 4 tygodnie po Fazie B. Wariant zawężony to co najmniej 3 z 5 klas, z priorytetem dla pasów i klinów (EN 12195), jako najbardziej uniwersalnych zabezpieczeń, a siatki, separatory i blokady są pierwszymi klasami do odrzucenia. Wariant jest udokumentowanym wyjątkiem, zachowuje automatyczną weryfikację kluczowych zabezpieczeń, a wskaźnik co najmniej 5 klas aktualizujemy w trybie zmiany projektu.</w:t>
      </w:r>
    </w:p>
    <w:p>
      <w:pPr>
        <w:spacing w:after="60"/>
        <w:shd w:val="clear" w:color="auto" w:fill="FBF3E6"/>
      </w:pPr>
      <w:r>
        <w:rPr>
          <w:b w:val="0"/>
        </w:rPr>
        <w:t xml:space="preserve">Warunki no-go: mAP mniejsze niż </w:t>
      </w:r>
      <w:r>
        <w:rPr>
          <w:b w:val="0"/>
          <w:highlight w:val="yellow"/>
        </w:rPr>
        <w:t>0,60</w:t>
      </w:r>
      <w:r>
        <w:rPr>
          <w:b w:val="0"/>
        </w:rPr>
        <w:t xml:space="preserve"> dla pasów lub klinów albo F1 change detection mniejsze niż </w:t>
      </w:r>
      <w:r>
        <w:rPr>
          <w:b w:val="0"/>
          <w:highlight w:val="yellow"/>
        </w:rPr>
        <w:t>0,70</w:t>
      </w:r>
      <w:r>
        <w:rPr>
          <w:b w:val="0"/>
        </w:rPr>
        <w:t xml:space="preserve"> po iteracjach. Decyzję podejmuje komitet sterujący w M26 (wersja RC) i w M30 (końcowa): ogranicza zakres funkcji CV albo wydziela je do prac po projekcie.</w:t>
      </w:r>
    </w:p>
    <w:p>
      <w:pPr>
        <w:pStyle w:val="Heading2"/>
      </w:pPr>
      <w:r>
        <w:t>R4</w:t>
      </w:r>
    </w:p>
    <w:p>
      <w:r>
        <w:rPr>
          <w:color w:val="666666"/>
        </w:rPr>
        <w:t>Rodzaj ryzyka: badawcze/technologiczne</w:t>
      </w:r>
    </w:p>
    <w:p>
      <w:pPr>
        <w:keepNext/>
        <w:spacing w:before="160" w:after="40"/>
      </w:pPr>
      <w:r>
        <w:rPr>
          <w:b/>
          <w:sz w:val="20"/>
        </w:rPr>
        <w:t>Nazwa ryzyka</w:t>
      </w:r>
      <w:r>
        <w:rPr>
          <w:color w:val="666666"/>
          <w:sz w:val="17"/>
        </w:rPr>
        <w:t xml:space="preserve"> [176 z 200 znaków]</w:t>
      </w:r>
    </w:p>
    <w:p>
      <w:pPr>
        <w:spacing w:after="60"/>
        <w:shd w:val="clear" w:color="auto" w:fill="FBF3E6"/>
      </w:pPr>
      <w:r>
        <w:rPr>
          <w:b w:val="0"/>
        </w:rPr>
        <w:t>Niedotrzymanie opóźnienia alertu, wydajności obliczeniowej i odporności środowiskowej po kompresji modeli AI oraz brak potwierdzenia w testach terenowych (zadania Z7 i Z9) - R4</w:t>
      </w:r>
    </w:p>
    <w:p>
      <w:pPr>
        <w:keepNext/>
        <w:spacing w:before="160" w:after="40"/>
      </w:pPr>
      <w:r>
        <w:rPr>
          <w:b/>
          <w:sz w:val="20"/>
        </w:rPr>
        <w:t>Opis ryzyka</w:t>
      </w:r>
      <w:r>
        <w:rPr>
          <w:color w:val="666666"/>
          <w:sz w:val="17"/>
        </w:rPr>
        <w:t xml:space="preserve"> [1047 z 2000 znaków]</w:t>
      </w:r>
    </w:p>
    <w:p>
      <w:pPr>
        <w:spacing w:after="60"/>
        <w:shd w:val="clear" w:color="auto" w:fill="FBF3E6"/>
      </w:pPr>
      <w:r>
        <w:rPr>
          <w:b w:val="0"/>
        </w:rPr>
        <w:t>Ryzyko dotyczy prac rozwojowych w zadaniu Z7 i testów terenowych w zadaniu Z9, realizowanych przez Everest11 (TRL 7 do 8). Polega na możliwości, że kompresja modeli (INT8, przycinanie, destylacja) nie utrzyma jednocześnie opóźnienia alertu lokalnego (percentyl 95 nie większy niż 1 s, bez łączności), degradacji dokładności nie większej niż 3 punkty procentowe (AUC-ROC co najmniej 0,82, mAP co najmniej 0,72), częstotliwości aktualizacji modelu 3D co najmniej 5 Hz oraz wymagań energetycznych, termicznych i środowiskowych (IP67, od -25 do +70 °C, drgania ISO 8608 klasy D). Ponadto modele potwierdzone w laboratorium mogą nie utrzymać dokładności w ruchu (domain shift) na co najmniej 3 pojazdach. Prawdopodobieństwo jest średnie. Skutkiem byłaby niższa jakość alertu offline, czyli cechy innowacyjnej, a negatywne wyniki terenowe mogłyby wymusić powrót do prac rozwojowych i wydłużyć realizację. Wydajność jednostki w operacjach na sekundę (40 TOPS w INT8, czyli 4 razy 10 do potęgi 13 na sekundę) jest jednostką branżową bez odpowiednika w SI.</w:t>
      </w:r>
    </w:p>
    <w:p>
      <w:pPr>
        <w:keepNext/>
        <w:spacing w:before="160" w:after="40"/>
      </w:pPr>
      <w:r>
        <w:rPr>
          <w:b/>
          <w:sz w:val="20"/>
        </w:rPr>
        <w:t>Sposoby zapobiegania i minimalizacji skutków</w:t>
      </w:r>
      <w:r>
        <w:rPr>
          <w:color w:val="666666"/>
          <w:sz w:val="17"/>
        </w:rPr>
        <w:t xml:space="preserve"> [1424 z 2000 znaków]</w:t>
      </w:r>
    </w:p>
    <w:p>
      <w:pPr>
        <w:spacing w:after="60"/>
        <w:shd w:val="clear" w:color="auto" w:fill="FBF3E6"/>
      </w:pPr>
      <w:r>
        <w:rPr>
          <w:b w:val="0"/>
        </w:rPr>
        <w:t>Ryzyku zapobiegamy czterema działaniami. Modele są trenowane z uwzględnieniem ograniczeń sprzętowych i profilowane na docelowej platformie o wydajności co najmniej 40 TOPS. Warianty kompresji są porównywane z kontrolą spadku dokładności względem FP32. Testy stanowiskowe (rig wibracyjny, komora termiczna, EMC) odbywają się przed zadaniem Z9. Testy terenowe są etapowe, na rosnącej liczbie pojazdów, z logowaniem opóźnienia (mediana, percentyl 95) i dokładności.</w:t>
      </w:r>
    </w:p>
    <w:p>
      <w:pPr>
        <w:spacing w:after="60"/>
        <w:shd w:val="clear" w:color="auto" w:fill="FBF3E6"/>
      </w:pPr>
      <w:r>
        <w:rPr>
          <w:b w:val="0"/>
        </w:rPr>
        <w:t>Skutki ograniczamy tak: wykonujemy nie więcej niż 2 iteracje w oknie od 4 do 6 tygodni przed M27 (silniejsza kompresja, batching, TensorRT, mieszana precyzja albo mocniejszy moduł). Wariant zawężony polega na uruchomieniu na platformie embedded modelu ML ryzyka i alertu, przy CV po stronie TMS, co zachowuje funkcję alertu offline, a wskaźnik opóźnienia dotyczy wtedy modelu ML i jest aktualizowany w trybie zmiany projektu. Przy domain shift w zadaniu Z9 wykonujemy rekalibrację progów i douczenie w oknie M30 oraz walidację potwierdzającą.</w:t>
      </w:r>
    </w:p>
    <w:p>
      <w:pPr>
        <w:spacing w:after="60"/>
        <w:shd w:val="clear" w:color="auto" w:fill="FBF3E6"/>
      </w:pPr>
      <w:r>
        <w:rPr>
          <w:b w:val="0"/>
        </w:rPr>
        <w:t xml:space="preserve">Warunki no-go po dwóch iteracjach: opóźnienie w percentylu 95 większe niż </w:t>
      </w:r>
      <w:r>
        <w:rPr>
          <w:b w:val="0"/>
          <w:highlight w:val="yellow"/>
        </w:rPr>
        <w:t>2 s</w:t>
      </w:r>
      <w:r>
        <w:rPr>
          <w:b w:val="0"/>
        </w:rPr>
        <w:t xml:space="preserve"> albo degradacja większa niż </w:t>
      </w:r>
      <w:r>
        <w:rPr>
          <w:b w:val="0"/>
          <w:highlight w:val="yellow"/>
        </w:rPr>
        <w:t>6 punktów procentowych</w:t>
      </w:r>
      <w:r>
        <w:rPr>
          <w:b w:val="0"/>
        </w:rPr>
        <w:t xml:space="preserve"> albo częstotliwość modelu 3D mniejsza niż </w:t>
      </w:r>
      <w:r>
        <w:rPr>
          <w:b w:val="0"/>
          <w:highlight w:val="yellow"/>
        </w:rPr>
        <w:t>2 Hz</w:t>
      </w:r>
      <w:r>
        <w:rPr>
          <w:b w:val="0"/>
        </w:rPr>
        <w:t>. Decyzję podejmuje komitet sterujący w M27: zmienia platformę sprzętową lub zakres funkcji offline albo przerywa zadanie. Parametry sprzętowe można potwierdzić stanowiskowo, ale AUC-ROC i mAP na zdarzeniach naturalnych są niezbędne dla TRL 8.</w:t>
      </w:r>
    </w:p>
    <w:p>
      <w:pPr>
        <w:pStyle w:val="Heading2"/>
      </w:pPr>
      <w:r>
        <w:t>R5</w:t>
      </w:r>
    </w:p>
    <w:p>
      <w:r>
        <w:rPr>
          <w:color w:val="666666"/>
        </w:rPr>
        <w:t>Rodzaj ryzyka: administracyjne</w:t>
      </w:r>
    </w:p>
    <w:p>
      <w:pPr>
        <w:keepNext/>
        <w:spacing w:before="160" w:after="40"/>
      </w:pPr>
      <w:r>
        <w:rPr>
          <w:b/>
          <w:sz w:val="20"/>
        </w:rPr>
        <w:t>Nazwa ryzyka</w:t>
      </w:r>
      <w:r>
        <w:rPr>
          <w:color w:val="666666"/>
          <w:sz w:val="17"/>
        </w:rPr>
        <w:t xml:space="preserve"> [153 z 200 znaków]</w:t>
      </w:r>
    </w:p>
    <w:p>
      <w:pPr>
        <w:spacing w:after="60"/>
        <w:shd w:val="clear" w:color="auto" w:fill="FBF3E6"/>
      </w:pPr>
      <w:r>
        <w:rPr>
          <w:b w:val="0"/>
        </w:rPr>
        <w:t>Opóźnienia administracyjne: dopuszczenie i montaż urządzenia na pojeździe do testów terenowych oraz zmiany aktów wykonawczych eFTI (zadania Z6 i Z9) - R5</w:t>
      </w:r>
    </w:p>
    <w:p>
      <w:pPr>
        <w:keepNext/>
        <w:spacing w:before="160" w:after="40"/>
      </w:pPr>
      <w:r>
        <w:rPr>
          <w:b/>
          <w:sz w:val="20"/>
        </w:rPr>
        <w:t>Opis ryzyka</w:t>
      </w:r>
      <w:r>
        <w:rPr>
          <w:color w:val="666666"/>
          <w:sz w:val="17"/>
        </w:rPr>
        <w:t xml:space="preserve"> [996 z 2000 znaków]</w:t>
      </w:r>
    </w:p>
    <w:p>
      <w:pPr>
        <w:spacing w:after="60"/>
        <w:shd w:val="clear" w:color="auto" w:fill="FBF3E6"/>
      </w:pPr>
      <w:r>
        <w:rPr>
          <w:b w:val="0"/>
        </w:rPr>
        <w:t>Ryzyko dotyczy prac rozwojowych w zadaniach Z6 i Z9. Składają się na nie dwa zagrożenia. Po pierwsze, montaż prototypu na pojazdach floty do testów drogowych może wymagać uzgodnień (bezpieczeństwo montażu, zasilanie, brak ingerencji w układy pojazdu), co opóźniłoby start Fazy A zadania Z9. Po drugie, rozporządzenie UE 2020/1056 i akty wykonawcze są wdrażane etapowo, więc zmiany specyfikacji eFTI mogą utrudnić osiągnięcie pokrycia co najmniej 95% pól obligatoryjnych i czasu PoC do 30 s. Prawdopodobieństwo jest niskie do średniego. Skutkiem byłoby przesunięcie walidacji TRL i kamieni milowych końcowych oraz korekta warstwy mapowania eFTI. Testy terenowe niezbędne do potwierdzenia TRL 8 i kluczowych KPI to AUC-ROC i mAP na zdarzeniach naturalnych w ruchu oraz pomiar błędu pozycji w ruchu. Bez utraty możliwości potwierdzenia rezultatu można zastąpić testami stanowiskowymi lub półpolowymi pomiary opóźnienia alertu, wydajności obliczeniowej oraz odporności IP67, termicznej i wibracyjnej.</w:t>
      </w:r>
    </w:p>
    <w:p>
      <w:pPr>
        <w:keepNext/>
        <w:spacing w:before="160" w:after="40"/>
      </w:pPr>
      <w:r>
        <w:rPr>
          <w:b/>
          <w:sz w:val="20"/>
        </w:rPr>
        <w:t>Sposoby zapobiegania i minimalizacji skutków</w:t>
      </w:r>
      <w:r>
        <w:rPr>
          <w:color w:val="666666"/>
          <w:sz w:val="17"/>
        </w:rPr>
        <w:t xml:space="preserve"> [1209 z 2000 znaków]</w:t>
      </w:r>
    </w:p>
    <w:p>
      <w:pPr>
        <w:spacing w:after="60"/>
        <w:shd w:val="clear" w:color="auto" w:fill="FBF3E6"/>
      </w:pPr>
      <w:r>
        <w:rPr>
          <w:b w:val="0"/>
        </w:rPr>
        <w:t>Ryzyku zapobiegamy trzema działaniami. Warunki montażu są uzgadniane z dysponentem floty i podwykonawcą wcześniej, z rezerwą w harmonogramie przed zadaniem Z9. Montaż i zasilanie są nieinwazyjne, co ogranicza wymogi formalne. Integracja eFTI opiera się na aktualnych, opublikowanych specyfikacjach, z warstwą adaptacyjną, a prace legislacyjne UE są monitorowane.</w:t>
      </w:r>
    </w:p>
    <w:p>
      <w:pPr>
        <w:spacing w:after="60"/>
        <w:shd w:val="clear" w:color="auto" w:fill="FBF3E6"/>
      </w:pPr>
      <w:r>
        <w:rPr>
          <w:b w:val="0"/>
        </w:rPr>
        <w:t xml:space="preserve">Skutki ograniczamy tak: przy opóźnieniu dopuszczenia o więcej niż </w:t>
      </w:r>
      <w:r>
        <w:rPr>
          <w:b w:val="0"/>
          <w:highlight w:val="yellow"/>
        </w:rPr>
        <w:t>8 tygodni</w:t>
      </w:r>
      <w:r>
        <w:rPr>
          <w:b w:val="0"/>
        </w:rPr>
        <w:t xml:space="preserve"> od planowanego startu Fazy A testy sprzętowe wykonujemy stanowiskowo, ale pomiarów AUC-ROC i mAP na zdarzeniach naturalnych nie zastępujemy testem stanowiskowym. Jeżeli opóźnienie przekroczy ten próg, TRL 8 przesuwa się poza projekt, a wynikiem projektu pozostaje TRL 7, co opisujemy wyłącznie jako skutek materializacji ryzyka, bez zmiany deklarowanych wskaźników. Przy zmianie specyfikacji eFTI walidacja w zadaniu Z9 jest wykonywana względem wersji obowiązującej w dniu testów, a zgodność z późniejszą wersją jest zadaniem po projekcie.</w:t>
      </w:r>
    </w:p>
    <w:p>
      <w:pPr>
        <w:spacing w:after="60"/>
        <w:shd w:val="clear" w:color="auto" w:fill="FBF3E6"/>
      </w:pPr>
      <w:r>
        <w:rPr>
          <w:b w:val="0"/>
        </w:rPr>
        <w:t>Warunek no-go: brak możliwości montażu na co najmniej 3 pojazdach do końca M27 przy braku pojazdu zastępczego (ryzyko R11). Wtedy ograniczamy zakres walidacji do elementów wykonalnych i modyfikujemy KM-Z9 w trybie zmiany projektu.</w:t>
      </w:r>
    </w:p>
    <w:p>
      <w:pPr>
        <w:pStyle w:val="Heading2"/>
      </w:pPr>
      <w:r>
        <w:t>R9</w:t>
      </w:r>
    </w:p>
    <w:p>
      <w:r>
        <w:rPr>
          <w:color w:val="666666"/>
        </w:rPr>
        <w:t>Rodzaj ryzyka: inne</w:t>
      </w:r>
    </w:p>
    <w:p>
      <w:pPr>
        <w:keepNext/>
        <w:spacing w:before="160" w:after="40"/>
      </w:pPr>
      <w:r>
        <w:rPr>
          <w:b/>
          <w:sz w:val="20"/>
        </w:rPr>
        <w:t>Nazwa ryzyka</w:t>
      </w:r>
      <w:r>
        <w:rPr>
          <w:color w:val="666666"/>
          <w:sz w:val="17"/>
        </w:rPr>
        <w:t xml:space="preserve"> [134 z 200 znaków]</w:t>
      </w:r>
    </w:p>
    <w:p>
      <w:pPr>
        <w:spacing w:after="60"/>
        <w:shd w:val="clear" w:color="auto" w:fill="FBF3E6"/>
      </w:pPr>
      <w:r>
        <w:rPr>
          <w:b w:val="0"/>
        </w:rPr>
        <w:t>Ryzyko konsorcjalne: opóźnienie przekazania modeli AI z PRz (zadania Z4, Z5, Z8) do optymalizacji embedded Everest11 (zadanie Z7) - R9</w:t>
      </w:r>
    </w:p>
    <w:p>
      <w:pPr>
        <w:keepNext/>
        <w:spacing w:before="160" w:after="40"/>
      </w:pPr>
      <w:r>
        <w:rPr>
          <w:b/>
          <w:sz w:val="20"/>
        </w:rPr>
        <w:t>Opis ryzyka</w:t>
      </w:r>
      <w:r>
        <w:rPr>
          <w:color w:val="666666"/>
          <w:sz w:val="17"/>
        </w:rPr>
        <w:t xml:space="preserve"> [1035 z 2000 znaków]</w:t>
      </w:r>
    </w:p>
    <w:p>
      <w:pPr>
        <w:spacing w:after="60"/>
        <w:shd w:val="clear" w:color="auto" w:fill="FBF3E6"/>
      </w:pPr>
      <w:r>
        <w:rPr>
          <w:b w:val="0"/>
        </w:rPr>
        <w:t xml:space="preserve">Ryzyko dotyczy prac rozwojowych i interfejsu konsorcjum między PRz i Everest11. Modele PRz (pozycjonowanie 3D, predykcja ryzyka, detekcja zabezpieczeń) są wejściem do optymalizacji embedded w zadaniu Z7. Opóźnienie lub niepełna gotowość modeli, wynikające z trudności algorytmicznych w osiąganiu progów, ograniczeń kadrowych albo czasowej niedostępności infrastruktury PRz, mogłoby przesunąć przekazanie do zadania Z7. Prawdopodobieństwo jest niskie do średniego. Skutkiem byłoby przesunięcie startu optymalizacji embedded, testów terenowych w zadaniu Z9 i kamieni milowych końcowych, a optymalizacja na niedojrzałych modelach obniżyłaby jakość rezultatu. Zadanie Z7 może zostać odebrane na modelach o obniżonych, lecz zmierzonych parametrach. Wartości minimalne to: AUC-ROC co najmniej </w:t>
      </w:r>
      <w:r>
        <w:rPr>
          <w:b w:val="0"/>
          <w:highlight w:val="yellow"/>
        </w:rPr>
        <w:t>0,75</w:t>
      </w:r>
      <w:r>
        <w:rPr>
          <w:b w:val="0"/>
        </w:rPr>
        <w:t xml:space="preserve"> (cel 0,85), mAP przy IoU 0,50 co najmniej </w:t>
      </w:r>
      <w:r>
        <w:rPr>
          <w:b w:val="0"/>
          <w:highlight w:val="yellow"/>
        </w:rPr>
        <w:t>0,70</w:t>
      </w:r>
      <w:r>
        <w:rPr>
          <w:b w:val="0"/>
        </w:rPr>
        <w:t xml:space="preserve"> w wersji RC (cel 0,75) oraz mediana błędu pozycji nie większa niż </w:t>
      </w:r>
      <w:r>
        <w:rPr>
          <w:b w:val="0"/>
          <w:highlight w:val="yellow"/>
        </w:rPr>
        <w:t>0,50 m</w:t>
      </w:r>
      <w:r>
        <w:rPr>
          <w:b w:val="0"/>
        </w:rPr>
        <w:t xml:space="preserve"> (cel 0,30 m). Poniżej tych wartości modele nie są przyjmowane do zadania Z7, co odpowiada warunkom no-go ryzyk R1, R2 i R3.</w:t>
      </w:r>
    </w:p>
    <w:p>
      <w:pPr>
        <w:keepNext/>
        <w:spacing w:before="160" w:after="40"/>
      </w:pPr>
      <w:r>
        <w:rPr>
          <w:b/>
          <w:sz w:val="20"/>
        </w:rPr>
        <w:t>Sposoby zapobiegania i minimalizacji skutków</w:t>
      </w:r>
      <w:r>
        <w:rPr>
          <w:color w:val="666666"/>
          <w:sz w:val="17"/>
        </w:rPr>
        <w:t xml:space="preserve"> [1317 z 2000 znaków]</w:t>
      </w:r>
    </w:p>
    <w:p>
      <w:pPr>
        <w:spacing w:after="60"/>
        <w:shd w:val="clear" w:color="auto" w:fill="FBF3E6"/>
      </w:pPr>
      <w:r>
        <w:rPr>
          <w:b w:val="0"/>
        </w:rPr>
        <w:t>Ryzyku zapobiegamy czterema działaniami. Modele są przekazywane etapowo, w wersjach release candidate o rosnącej dojrzałości, a optymalizacja embedded zaczyna się na wczesnych wersjach. Harmonogram ma bufor: wersje RC są gotowe w M26, a przekazanie następuje w M27. W umowie konsorcjum określamy format modeli, specyfikację API, kryteria odbioru, kamienie milowe integracyjne oraz zobowiązania PRz dotyczące dostępności infrastruktury laboratoryjnej i zasobów kadrowych. Odbywają się regularne spotkania koordynacyjne ze wspólnym backlogiem i wczesnym sygnalizowaniem opóźnień.</w:t>
      </w:r>
    </w:p>
    <w:p>
      <w:pPr>
        <w:spacing w:after="60"/>
        <w:shd w:val="clear" w:color="auto" w:fill="FBF3E6"/>
      </w:pPr>
      <w:r>
        <w:rPr>
          <w:b w:val="0"/>
        </w:rPr>
        <w:t>Skutki ograniczamy tak: przy opóźnieniu jednego modelu optymalizację zaczynamy od modeli gotowych (modułowa architektura zadania Z7), a brakujący model dołączamy w kolejnej iteracji. Przy ograniczeniach PRz przesuwamy zadanie w ramach rezerwy, bez zlecania prac między konsorcjantami. Zadanie Z7 może zostać odebrane na modelach o obniżonych parametrach w granicach wartości minimalnych, a zadanie Z9 waliduje wtedy model na danych terenowych i dostraja go w oknie M30. Zakres wskaźników AUC-ROC i mAP w KM-Z9 odnosi się do modelu po kompresji (co najmniej 0,82 i 0,72).</w:t>
      </w:r>
    </w:p>
    <w:p>
      <w:pPr>
        <w:spacing w:after="60"/>
        <w:shd w:val="clear" w:color="auto" w:fill="FBF3E6"/>
      </w:pPr>
      <w:r>
        <w:rPr>
          <w:b w:val="0"/>
        </w:rPr>
        <w:t>Warunek no-go: model poniżej wartości minimalnych w M27. Wtedy komitet sterujący ogranicza zakres funkcji uruchamianych na platformie embedded albo przerywa zadanie Z7.</w:t>
      </w:r>
    </w:p>
    <w:p>
      <w:pPr>
        <w:pStyle w:val="Heading2"/>
      </w:pPr>
      <w:r>
        <w:t>R10</w:t>
      </w:r>
    </w:p>
    <w:p>
      <w:r>
        <w:rPr>
          <w:color w:val="666666"/>
        </w:rPr>
        <w:t>Rodzaj ryzyka: inne (prawne)</w:t>
      </w:r>
    </w:p>
    <w:p>
      <w:pPr>
        <w:keepNext/>
        <w:spacing w:before="160" w:after="40"/>
      </w:pPr>
      <w:r>
        <w:rPr>
          <w:b/>
          <w:sz w:val="20"/>
        </w:rPr>
        <w:t>Nazwa ryzyka</w:t>
      </w:r>
      <w:r>
        <w:rPr>
          <w:color w:val="666666"/>
          <w:sz w:val="17"/>
        </w:rPr>
        <w:t xml:space="preserve"> [178 z 200 znaków]</w:t>
      </w:r>
    </w:p>
    <w:p>
      <w:pPr>
        <w:spacing w:after="60"/>
        <w:shd w:val="clear" w:color="auto" w:fill="FBF3E6"/>
      </w:pPr>
      <w:r>
        <w:rPr>
          <w:b w:val="0"/>
        </w:rPr>
        <w:t>Ryzyko prawne i regulacyjne: swoboda wdrożenia (FTO), przeniesienie praw PRz-Everest11, RODO i obraz w pojeździe, zmiany eFTI w CEE oraz odpowiedzialność za treść PoL i PoC - R10</w:t>
      </w:r>
    </w:p>
    <w:p>
      <w:pPr>
        <w:keepNext/>
        <w:spacing w:before="160" w:after="40"/>
      </w:pPr>
      <w:r>
        <w:rPr>
          <w:b/>
          <w:sz w:val="20"/>
        </w:rPr>
        <w:t>Opis ryzyka</w:t>
      </w:r>
      <w:r>
        <w:rPr>
          <w:color w:val="666666"/>
          <w:sz w:val="17"/>
        </w:rPr>
        <w:t xml:space="preserve"> [1060 z 2000 znaków]</w:t>
      </w:r>
    </w:p>
    <w:p>
      <w:pPr>
        <w:spacing w:after="60"/>
        <w:shd w:val="clear" w:color="auto" w:fill="FBF3E6"/>
      </w:pPr>
      <w:r>
        <w:rPr>
          <w:b w:val="0"/>
        </w:rPr>
        <w:t>Ryzyko dotyczy całego projektu i wdrożenia. Składa się z pięciu zagrożeń. Pierwsze to swoboda wdrożenia (FTO): analiza może nie wykryć blokującego patentu albo osoba trzecia zgłosi roszczenie w trakcie komercjalizacji; prawdopodobieństwo jest niskie, wpływ na wdrożenie wysoki. Drugie to prawa majątkowe: przeniesienie praw z PRz do Everest11 może nastąpić do 12 miesięcy po zakończeniu projektu, więc istnieje ryzyko opóźnienia lub sporu; prawdopodobieństwo jest niskie do średniego. Trzecie to RODO: kamery w przestrzeni ładunkowej mogą rejestrować wizerunek osób podczas załadunku i rozładunku oraz dane lokalizacyjne kierowcy; prawdopodobieństwo jest średnie, wpływ wysoki (zgodność, kary). Czwarte to eFTI: zmiana aktów wykonawczych albo różnice w transpozycji w krajach CEE wpływają na ważność generowanych dokumentów; prawdopodobieństwo jest średnie. Piąte to odpowiedzialność za treść dokumentów PoL i PoC użytych w sporze (błąd systemu, wynik fałszywie ujemny); prawdopodobieństwo jest niskie, wpływ średni na komercjalizację, bez wpływu na prace B+R.</w:t>
      </w:r>
    </w:p>
    <w:p>
      <w:pPr>
        <w:keepNext/>
        <w:spacing w:before="160" w:after="40"/>
      </w:pPr>
      <w:r>
        <w:rPr>
          <w:b/>
          <w:sz w:val="20"/>
        </w:rPr>
        <w:t>Sposoby zapobiegania i minimalizacji skutków</w:t>
      </w:r>
      <w:r>
        <w:rPr>
          <w:color w:val="666666"/>
          <w:sz w:val="17"/>
        </w:rPr>
        <w:t xml:space="preserve"> [1143 z 2000 znaków]</w:t>
      </w:r>
    </w:p>
    <w:p>
      <w:pPr>
        <w:spacing w:after="60"/>
        <w:shd w:val="clear" w:color="auto" w:fill="FBF3E6"/>
      </w:pPr>
      <w:r>
        <w:rPr>
          <w:b w:val="0"/>
        </w:rPr>
        <w:t>Pierwsze zagrożenie ograniczamy analizą FTO według elementów rozwiązania (zakres zastrzeżeń, status prawny, terytoria wdrożenia) przed wdrożeniem i przed zgłoszeniem do EPO oraz monitoringiem nowych zgłoszeń patentowych. Drugie zagrożenie ograniczamy zapisem w umowie konsorcjum: prawa dostępu i licencja dla Everest11 od zakończenia projektu albo wcześniejsze przeniesienie, za wynagrodzeniem rynkowym. Brak przeniesienia nie wstrzymuje wdrożenia. Trzecie zagrożenie ograniczamy oceną skutków dla ochrony danych (DPIA), anonimizacją obrazu na brzegu (rozmycie osób i twarzy), minimalizacją danych, polityką przetwarzania przygotowaną przez specjalistę ds. cyberbezpieczeństwa oraz umowami z wynajmującym i partnerem testowym. Czwarte zagrożenie ograniczamy warstwą adaptacyjną i monitoringiem legislacji, a w razie zmiany aktualizujemy mapowanie bez zmiany rdzenia systemu. Piąte zagrożenie ograniczamy zastrzeżeniami w umowach licencyjnych z klientami (ograniczenie odpowiedzialności, pomocniczy charakter dokumentu, procedura odwoławcza) i rejestrem zmian wersji modeli. Zgodność produktowa urządzenia (CE, EMC) jest planowana w zadaniu Z7.</w:t>
      </w:r>
    </w:p>
    <w:p>
      <w:pPr>
        <w:pStyle w:val="Heading2"/>
      </w:pPr>
      <w:r>
        <w:t>R11</w:t>
      </w:r>
    </w:p>
    <w:p>
      <w:r>
        <w:rPr>
          <w:color w:val="666666"/>
        </w:rPr>
        <w:t>Rodzaj ryzyka: inne</w:t>
      </w:r>
    </w:p>
    <w:p>
      <w:pPr>
        <w:keepNext/>
        <w:spacing w:before="160" w:after="40"/>
      </w:pPr>
      <w:r>
        <w:rPr>
          <w:b/>
          <w:sz w:val="20"/>
        </w:rPr>
        <w:t>Nazwa ryzyka</w:t>
      </w:r>
      <w:r>
        <w:rPr>
          <w:color w:val="666666"/>
          <w:sz w:val="17"/>
        </w:rPr>
        <w:t xml:space="preserve"> [136 z 200 znaków]</w:t>
      </w:r>
    </w:p>
    <w:p>
      <w:pPr>
        <w:spacing w:after="60"/>
        <w:shd w:val="clear" w:color="auto" w:fill="FBF3E6"/>
      </w:pPr>
      <w:r>
        <w:rPr>
          <w:b w:val="0"/>
        </w:rPr>
        <w:t>Ryzyko utraty lub ograniczenia dostępu do floty testowej Natanek Logistics (zadania Z2 i Z9, zbiór in-transit, walidacja terenowa) - R11</w:t>
      </w:r>
    </w:p>
    <w:p>
      <w:pPr>
        <w:keepNext/>
        <w:spacing w:before="160" w:after="40"/>
      </w:pPr>
      <w:r>
        <w:rPr>
          <w:b/>
          <w:sz w:val="20"/>
        </w:rPr>
        <w:t>Opis ryzyka</w:t>
      </w:r>
      <w:r>
        <w:rPr>
          <w:color w:val="666666"/>
          <w:sz w:val="17"/>
        </w:rPr>
        <w:t xml:space="preserve"> [806 z 2000 znaków]</w:t>
      </w:r>
    </w:p>
    <w:p>
      <w:pPr>
        <w:spacing w:after="60"/>
        <w:shd w:val="clear" w:color="auto" w:fill="FBF3E6"/>
      </w:pPr>
      <w:r>
        <w:rPr>
          <w:b w:val="0"/>
        </w:rPr>
        <w:t xml:space="preserve">Ryzyko dotyczy zadań Z2 (akwizycja) i Z9 (walidacja terenowa). Montaż i dane z obu zadań zależą od dostępu do co najmniej 3 pojazdów partnera testowego na podstawie umowy partnerskiej. Zagrożeniem jest utrata albo ograniczenie dostępu: zmiana relacji biznesowej, wycofanie pojazdów, ograniczenia ubezpieczeniowe, brak zgody na instalację sprzętu eksperymentalnego albo ograniczony dostęp do danych o ładunkach i dokumentacji inspekcyjnej. Prawdopodobieństwo jest niskie, bo umowa jest podpisana, a wpływ wysoki. Skutkiem byłoby zagrożenie liczności zbioru w zadaniu Z2 (co najmniej 500 h i 50 kursów), samego zbioru in-transit, walidacji terenowej w zadaniu Z9 (co najmniej 180 kursów), KPI oraz kamieni milowych KM-Z2 i KM-Z9, z opóźnieniem o czas pozyskania nowego partnera i montażu, około </w:t>
      </w:r>
      <w:r>
        <w:rPr>
          <w:b w:val="0"/>
          <w:highlight w:val="yellow"/>
        </w:rPr>
        <w:t>6-10 tygodni</w:t>
      </w:r>
      <w:r>
        <w:rPr>
          <w:b w:val="0"/>
        </w:rPr>
        <w:t>.</w:t>
      </w:r>
    </w:p>
    <w:p>
      <w:pPr>
        <w:keepNext/>
        <w:spacing w:before="160" w:after="40"/>
      </w:pPr>
      <w:r>
        <w:rPr>
          <w:b/>
          <w:sz w:val="20"/>
        </w:rPr>
        <w:t>Sposoby zapobiegania i minimalizacji skutków</w:t>
      </w:r>
      <w:r>
        <w:rPr>
          <w:color w:val="666666"/>
          <w:sz w:val="17"/>
        </w:rPr>
        <w:t xml:space="preserve"> [1164 z 2000 znaków]</w:t>
      </w:r>
    </w:p>
    <w:p>
      <w:pPr>
        <w:spacing w:after="60"/>
        <w:shd w:val="clear" w:color="auto" w:fill="FBF3E6"/>
      </w:pPr>
      <w:r>
        <w:rPr>
          <w:b w:val="0"/>
        </w:rPr>
        <w:t>Plan zastępczy składa się z czterech elementów. Pierwszym jest umowa partnerska z drugim przewoźnikiem spośród aktywnych kontrahentów Everest11, przygotowywana warunkowo przed M13 (start kampanii) i uruchamiana, gdy dostępność floty spadnie poniżej 3 pojazdów lub 2 tras. Drugim są pojazdy w najmie Everest11 (5 zestawów ciągnik z naczepą, z planowanym wzrostem do 20) jako rezerwa do montażu zestawów, przy czym ground truth i rola partnera w odbiorze pozostają rozdzielone ścieżką audytu z zadania Z9. Trzecim jest metodyka anotacji i taksonomia niezależne od źródła pojazdów, więc zmiana floty nie wymaga powtórzenia anotacji. Czwartym są gwarancje dostępu do danych o ładunkach, tras i dokumentacji inspekcyjnej w umowach. Dywersyfikacja floty wzmacnia także niezależność walidacji, bo żaden pojedynczy podmiot nie jest jednocześnie partnerem testowym i odbiorcą.</w:t>
      </w:r>
    </w:p>
    <w:p>
      <w:pPr>
        <w:spacing w:after="60"/>
        <w:shd w:val="clear" w:color="auto" w:fill="FBF3E6"/>
      </w:pPr>
      <w:r>
        <w:rPr>
          <w:b w:val="0"/>
        </w:rPr>
        <w:t>Skutki ograniczamy tak: przesuwamy kampanię w ramach rezerwy czasowej zadania Z2 (przed M18) i wydłużamy Fazę A zadania Z9. Jeżeli do M22 nie ma floty zastępczej, ograniczamy walidację w zadaniu Z9 do liczby kursów osiągalnej na pojazdach Everest11 i aktualizujemy KM-Z9 w trybie zmiany projektu.</w:t>
      </w:r>
    </w:p>
    <w:p>
      <w:pPr>
        <w:pStyle w:val="Heading2"/>
      </w:pPr>
      <w:r>
        <w:t>R12</w:t>
      </w:r>
    </w:p>
    <w:p>
      <w:r>
        <w:rPr>
          <w:color w:val="666666"/>
        </w:rPr>
        <w:t>Rodzaj ryzyka: finansowe/inne</w:t>
      </w:r>
    </w:p>
    <w:p>
      <w:pPr>
        <w:keepNext/>
        <w:spacing w:before="160" w:after="40"/>
      </w:pPr>
      <w:r>
        <w:rPr>
          <w:b/>
          <w:sz w:val="20"/>
        </w:rPr>
        <w:t>Nazwa ryzyka</w:t>
      </w:r>
      <w:r>
        <w:rPr>
          <w:color w:val="666666"/>
          <w:sz w:val="17"/>
        </w:rPr>
        <w:t xml:space="preserve"> [111 z 200 znaków]</w:t>
      </w:r>
    </w:p>
    <w:p>
      <w:pPr>
        <w:spacing w:after="60"/>
        <w:shd w:val="clear" w:color="auto" w:fill="FBF3E6"/>
      </w:pPr>
      <w:r>
        <w:rPr>
          <w:b w:val="0"/>
        </w:rPr>
        <w:t>Ryzyko cen transferowych i transakcji z podmiotami powiązanymi z przyszłym Inwestorem (Natanek Logistics) - R12</w:t>
      </w:r>
    </w:p>
    <w:p>
      <w:pPr>
        <w:keepNext/>
        <w:spacing w:before="160" w:after="40"/>
      </w:pPr>
      <w:r>
        <w:rPr>
          <w:b/>
          <w:sz w:val="20"/>
        </w:rPr>
        <w:t>Opis ryzyka</w:t>
      </w:r>
      <w:r>
        <w:rPr>
          <w:color w:val="666666"/>
          <w:sz w:val="17"/>
        </w:rPr>
        <w:t xml:space="preserve"> [739 z 2000 znaków]</w:t>
      </w:r>
    </w:p>
    <w:p>
      <w:pPr>
        <w:spacing w:after="60"/>
        <w:shd w:val="clear" w:color="auto" w:fill="FBF3E6"/>
      </w:pPr>
      <w:r>
        <w:rPr>
          <w:b w:val="0"/>
        </w:rPr>
        <w:t>Ryzyko dotyczy całego okresu realizacji i wdrożenia. Po wejściu Inwestora (Zbigniew Natanek, do 20% udziałów Everest11) transakcje Everest11 z podmiotami Inwestora, w szczególności z Natanek Logistics (udostępnienie floty testowej, kontrakty sprzedażowe CargoDT), mogą zostać zakwestionowane jako niezgodne z warunkami rynkowymi. Dotyczy to przepisów o podmiotach powiązanych (próg 25% udziałów), zasad pomocy publicznej i racjonalności wydatków. Natanek Logistics jest jednym z trzech niezależnych, potwierdzonych klientów (listy intencyjne), co ogranicza skalę zależności. Prawdopodobieństwo jest niskie. Skutkiem byłoby zakwestionowanie wydatków lub przychodów, opóźnienie rozliczeń i ryzyko reputacyjne. Ryzyko nie wpływa na prace B+R.</w:t>
      </w:r>
    </w:p>
    <w:p>
      <w:pPr>
        <w:keepNext/>
        <w:spacing w:before="160" w:after="40"/>
      </w:pPr>
      <w:r>
        <w:rPr>
          <w:b/>
          <w:sz w:val="20"/>
        </w:rPr>
        <w:t>Sposoby zapobiegania i minimalizacji skutków</w:t>
      </w:r>
      <w:r>
        <w:rPr>
          <w:color w:val="666666"/>
          <w:sz w:val="17"/>
        </w:rPr>
        <w:t xml:space="preserve"> [873 z 2000 znaków]</w:t>
      </w:r>
    </w:p>
    <w:p>
      <w:pPr>
        <w:spacing w:after="60"/>
        <w:shd w:val="clear" w:color="auto" w:fill="FBF3E6"/>
      </w:pPr>
      <w:r>
        <w:rPr>
          <w:b w:val="0"/>
        </w:rPr>
        <w:t>Ryzyko ograniczamy czterema działaniami. Wszystkie transakcje z podmiotami powiązanymi z Inwestorem zawieramy na warunkach rynkowych, weryfikowanych tą samą metodą, którą stosujemy do cen rynkowych praw majątkowych między konsorcjantami: rozeznaniem rynku, niezależną wyceną albo negocjacjami w warunkach pełnej konkurencji. Umowę partnerską dotyczącą floty testowej dokumentujemy odniesieniem do porównywalnych ofert rynkowych (koszty wynajmu floty u innych podmiotów) i wpisujemy do rejestru transakcji. Formalnie ustalamy, czy Everest11 i Natanek Logistics są powiązane w rozumieniu przepisów o podatku dochodowym (próg 25% udziałów, a Inwestor ma najwyżej 20%), a niezależnie od wyniku dokumentujemy warunki rynkowe transakcji. Niezależność walidacji zabezpiecza ścieżka audytu z zadania Z9 i dywersyfikacja floty (R11). Ocena transakcji jest prowadzona raz na kwartał.</w:t>
      </w:r>
    </w:p>
    <w:p>
      <w:r>
        <w:br w:type="page"/>
      </w:r>
    </w:p>
    <w:p>
      <w:pPr>
        <w:pStyle w:val="Heading1"/>
      </w:pPr>
      <w:r>
        <w:t>Aneks A. Personel w zadaniach (zgodność z budżetem i punktem 6.1)</w:t>
      </w:r>
    </w:p>
    <w:p>
      <w:pPr>
        <w:spacing w:after="60"/>
      </w:pPr>
      <w:r>
        <w:rPr>
          <w:b w:val="0"/>
        </w:rPr>
        <w:t>Tabela zestawia osoby i wymiar pracy tak, jak wynikają z kosztów personelu w obecnym wniosku. Opisy zadań są z nią zgodne.</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3175"/>
            <w:shd w:val="clear" w:color="auto" w:fill="D9E2F3"/>
          </w:tcPr>
          <w:p>
            <w:pPr>
              <w:spacing w:after="20"/>
            </w:pPr>
            <w:r/>
            <w:r>
              <w:rPr>
                <w:b/>
                <w:sz w:val="16"/>
              </w:rPr>
              <w:t>Osoba i rola (6.1)</w:t>
            </w:r>
          </w:p>
        </w:tc>
        <w:tc>
          <w:tcPr>
            <w:tcW w:type="dxa" w:w="567"/>
            <w:shd w:val="clear" w:color="auto" w:fill="D9E2F3"/>
          </w:tcPr>
          <w:p>
            <w:pPr>
              <w:spacing w:after="20"/>
            </w:pPr>
            <w:r/>
            <w:r>
              <w:rPr>
                <w:b/>
                <w:sz w:val="16"/>
              </w:rPr>
              <w:t>Z1</w:t>
            </w:r>
          </w:p>
        </w:tc>
        <w:tc>
          <w:tcPr>
            <w:tcW w:type="dxa" w:w="567"/>
            <w:shd w:val="clear" w:color="auto" w:fill="D9E2F3"/>
          </w:tcPr>
          <w:p>
            <w:pPr>
              <w:spacing w:after="20"/>
            </w:pPr>
            <w:r/>
            <w:r>
              <w:rPr>
                <w:b/>
                <w:sz w:val="16"/>
              </w:rPr>
              <w:t>Z2</w:t>
            </w:r>
          </w:p>
        </w:tc>
        <w:tc>
          <w:tcPr>
            <w:tcW w:type="dxa" w:w="567"/>
            <w:shd w:val="clear" w:color="auto" w:fill="D9E2F3"/>
          </w:tcPr>
          <w:p>
            <w:pPr>
              <w:spacing w:after="20"/>
            </w:pPr>
            <w:r/>
            <w:r>
              <w:rPr>
                <w:b/>
                <w:sz w:val="16"/>
              </w:rPr>
              <w:t>Z3</w:t>
            </w:r>
          </w:p>
        </w:tc>
        <w:tc>
          <w:tcPr>
            <w:tcW w:type="dxa" w:w="567"/>
            <w:shd w:val="clear" w:color="auto" w:fill="D9E2F3"/>
          </w:tcPr>
          <w:p>
            <w:pPr>
              <w:spacing w:after="20"/>
            </w:pPr>
            <w:r/>
            <w:r>
              <w:rPr>
                <w:b/>
                <w:sz w:val="16"/>
              </w:rPr>
              <w:t>Z4</w:t>
            </w:r>
          </w:p>
        </w:tc>
        <w:tc>
          <w:tcPr>
            <w:tcW w:type="dxa" w:w="567"/>
            <w:shd w:val="clear" w:color="auto" w:fill="D9E2F3"/>
          </w:tcPr>
          <w:p>
            <w:pPr>
              <w:spacing w:after="20"/>
            </w:pPr>
            <w:r/>
            <w:r>
              <w:rPr>
                <w:b/>
                <w:sz w:val="16"/>
              </w:rPr>
              <w:t>Z5</w:t>
            </w:r>
          </w:p>
        </w:tc>
        <w:tc>
          <w:tcPr>
            <w:tcW w:type="dxa" w:w="567"/>
            <w:shd w:val="clear" w:color="auto" w:fill="D9E2F3"/>
          </w:tcPr>
          <w:p>
            <w:pPr>
              <w:spacing w:after="20"/>
            </w:pPr>
            <w:r/>
            <w:r>
              <w:rPr>
                <w:b/>
                <w:sz w:val="16"/>
              </w:rPr>
              <w:t>Z6</w:t>
            </w:r>
          </w:p>
        </w:tc>
        <w:tc>
          <w:tcPr>
            <w:tcW w:type="dxa" w:w="567"/>
            <w:shd w:val="clear" w:color="auto" w:fill="D9E2F3"/>
          </w:tcPr>
          <w:p>
            <w:pPr>
              <w:spacing w:after="20"/>
            </w:pPr>
            <w:r/>
            <w:r>
              <w:rPr>
                <w:b/>
                <w:sz w:val="16"/>
              </w:rPr>
              <w:t>Z7</w:t>
            </w:r>
          </w:p>
        </w:tc>
        <w:tc>
          <w:tcPr>
            <w:tcW w:type="dxa" w:w="567"/>
            <w:shd w:val="clear" w:color="auto" w:fill="D9E2F3"/>
          </w:tcPr>
          <w:p>
            <w:pPr>
              <w:spacing w:after="20"/>
            </w:pPr>
            <w:r/>
            <w:r>
              <w:rPr>
                <w:b/>
                <w:sz w:val="16"/>
              </w:rPr>
              <w:t>Z8</w:t>
            </w:r>
          </w:p>
        </w:tc>
        <w:tc>
          <w:tcPr>
            <w:tcW w:type="dxa" w:w="567"/>
            <w:shd w:val="clear" w:color="auto" w:fill="D9E2F3"/>
          </w:tcPr>
          <w:p>
            <w:pPr>
              <w:spacing w:after="20"/>
            </w:pPr>
            <w:r/>
            <w:r>
              <w:rPr>
                <w:b/>
                <w:sz w:val="16"/>
              </w:rPr>
              <w:t>Z9</w:t>
            </w:r>
          </w:p>
        </w:tc>
        <w:tc>
          <w:tcPr>
            <w:tcW w:type="dxa" w:w="850"/>
            <w:shd w:val="clear" w:color="auto" w:fill="D9E2F3"/>
          </w:tcPr>
          <w:p>
            <w:pPr>
              <w:spacing w:after="20"/>
            </w:pPr>
            <w:r/>
            <w:r>
              <w:rPr>
                <w:b/>
                <w:sz w:val="16"/>
              </w:rPr>
              <w:t>Razem</w:t>
            </w:r>
          </w:p>
        </w:tc>
      </w:tr>
      <w:tr>
        <w:tc>
          <w:tcPr>
            <w:tcW w:type="dxa" w:w="3175"/>
          </w:tcPr>
          <w:p>
            <w:pPr>
              <w:spacing w:after="20"/>
            </w:pPr>
            <w:r/>
            <w:r>
              <w:rPr>
                <w:b w:val="0"/>
                <w:sz w:val="16"/>
              </w:rPr>
              <w:t>Dariusz Nowak, główny specjalista, systemy wizyjne i percepcja 3D (PRz)</w:t>
            </w:r>
          </w:p>
        </w:tc>
        <w:tc>
          <w:tcPr>
            <w:tcW w:type="dxa" w:w="567"/>
          </w:tcPr>
          <w:p>
            <w:pPr>
              <w:spacing w:after="20"/>
            </w:pPr>
            <w:r/>
            <w:r>
              <w:rPr>
                <w:b w:val="0"/>
                <w:sz w:val="16"/>
              </w:rPr>
              <w:t>455</w:t>
            </w:r>
          </w:p>
        </w:tc>
        <w:tc>
          <w:tcPr>
            <w:tcW w:type="dxa" w:w="567"/>
          </w:tcPr>
          <w:p>
            <w:pPr>
              <w:spacing w:after="20"/>
            </w:pPr>
            <w:r/>
          </w:p>
        </w:tc>
        <w:tc>
          <w:tcPr>
            <w:tcW w:type="dxa" w:w="567"/>
          </w:tcPr>
          <w:p>
            <w:pPr>
              <w:spacing w:after="20"/>
            </w:pPr>
            <w:r/>
            <w:r>
              <w:rPr>
                <w:b w:val="0"/>
                <w:sz w:val="16"/>
              </w:rPr>
              <w:t>715</w:t>
            </w:r>
          </w:p>
        </w:tc>
        <w:tc>
          <w:tcPr>
            <w:tcW w:type="dxa" w:w="567"/>
          </w:tcPr>
          <w:p>
            <w:pPr>
              <w:spacing w:after="20"/>
            </w:pPr>
            <w:r/>
            <w:r>
              <w:rPr>
                <w:b w:val="0"/>
                <w:sz w:val="16"/>
              </w:rPr>
              <w:t>227</w:t>
            </w:r>
          </w:p>
        </w:tc>
        <w:tc>
          <w:tcPr>
            <w:tcW w:type="dxa" w:w="567"/>
          </w:tcPr>
          <w:p>
            <w:pPr>
              <w:spacing w:after="20"/>
            </w:pPr>
            <w:r/>
            <w:r>
              <w:rPr>
                <w:b w:val="0"/>
                <w:sz w:val="16"/>
              </w:rPr>
              <w:t>227</w:t>
            </w:r>
          </w:p>
        </w:tc>
        <w:tc>
          <w:tcPr>
            <w:tcW w:type="dxa" w:w="567"/>
          </w:tcPr>
          <w:p>
            <w:pPr>
              <w:spacing w:after="20"/>
            </w:pPr>
            <w:r/>
          </w:p>
        </w:tc>
        <w:tc>
          <w:tcPr>
            <w:tcW w:type="dxa" w:w="567"/>
          </w:tcPr>
          <w:p>
            <w:pPr>
              <w:spacing w:after="20"/>
            </w:pPr>
            <w:r/>
          </w:p>
        </w:tc>
        <w:tc>
          <w:tcPr>
            <w:tcW w:type="dxa" w:w="567"/>
          </w:tcPr>
          <w:p>
            <w:pPr>
              <w:spacing w:after="20"/>
            </w:pPr>
            <w:r/>
            <w:r>
              <w:rPr>
                <w:b w:val="0"/>
                <w:sz w:val="16"/>
              </w:rPr>
              <w:t>325</w:t>
            </w:r>
          </w:p>
        </w:tc>
        <w:tc>
          <w:tcPr>
            <w:tcW w:type="dxa" w:w="567"/>
          </w:tcPr>
          <w:p>
            <w:pPr>
              <w:spacing w:after="20"/>
            </w:pPr>
            <w:r/>
          </w:p>
        </w:tc>
        <w:tc>
          <w:tcPr>
            <w:tcW w:type="dxa" w:w="850"/>
          </w:tcPr>
          <w:p>
            <w:pPr>
              <w:spacing w:after="20"/>
            </w:pPr>
            <w:r/>
            <w:r>
              <w:rPr>
                <w:b w:val="0"/>
                <w:sz w:val="16"/>
              </w:rPr>
              <w:t>1949 godz.</w:t>
            </w:r>
          </w:p>
        </w:tc>
      </w:tr>
      <w:tr>
        <w:tc>
          <w:tcPr>
            <w:tcW w:type="dxa" w:w="3175"/>
          </w:tcPr>
          <w:p>
            <w:pPr>
              <w:spacing w:after="20"/>
            </w:pPr>
            <w:r/>
            <w:r>
              <w:rPr>
                <w:b w:val="0"/>
                <w:sz w:val="16"/>
              </w:rPr>
              <w:t>Michał Batsch, główny specjalista, computer vision i kalibracja (PRz)</w:t>
            </w:r>
          </w:p>
        </w:tc>
        <w:tc>
          <w:tcPr>
            <w:tcW w:type="dxa" w:w="567"/>
          </w:tcPr>
          <w:p>
            <w:pPr>
              <w:spacing w:after="20"/>
            </w:pPr>
            <w:r/>
            <w:r>
              <w:rPr>
                <w:b w:val="0"/>
                <w:sz w:val="16"/>
              </w:rPr>
              <w:t>455</w:t>
            </w:r>
          </w:p>
        </w:tc>
        <w:tc>
          <w:tcPr>
            <w:tcW w:type="dxa" w:w="567"/>
          </w:tcPr>
          <w:p>
            <w:pPr>
              <w:spacing w:after="20"/>
            </w:pPr>
            <w:r/>
          </w:p>
        </w:tc>
        <w:tc>
          <w:tcPr>
            <w:tcW w:type="dxa" w:w="567"/>
          </w:tcPr>
          <w:p>
            <w:pPr>
              <w:spacing w:after="20"/>
            </w:pPr>
            <w:r/>
            <w:r>
              <w:rPr>
                <w:b w:val="0"/>
                <w:sz w:val="16"/>
              </w:rPr>
              <w:t>715</w:t>
            </w:r>
          </w:p>
        </w:tc>
        <w:tc>
          <w:tcPr>
            <w:tcW w:type="dxa" w:w="567"/>
          </w:tcPr>
          <w:p>
            <w:pPr>
              <w:spacing w:after="20"/>
            </w:pPr>
            <w:r/>
            <w:r>
              <w:rPr>
                <w:b w:val="0"/>
                <w:sz w:val="16"/>
              </w:rPr>
              <w:t>227</w:t>
            </w:r>
          </w:p>
        </w:tc>
        <w:tc>
          <w:tcPr>
            <w:tcW w:type="dxa" w:w="567"/>
          </w:tcPr>
          <w:p>
            <w:pPr>
              <w:spacing w:after="20"/>
            </w:pPr>
            <w:r/>
            <w:r>
              <w:rPr>
                <w:b w:val="0"/>
                <w:sz w:val="16"/>
              </w:rPr>
              <w:t>227</w:t>
            </w:r>
          </w:p>
        </w:tc>
        <w:tc>
          <w:tcPr>
            <w:tcW w:type="dxa" w:w="567"/>
          </w:tcPr>
          <w:p>
            <w:pPr>
              <w:spacing w:after="20"/>
            </w:pPr>
            <w:r/>
          </w:p>
        </w:tc>
        <w:tc>
          <w:tcPr>
            <w:tcW w:type="dxa" w:w="567"/>
          </w:tcPr>
          <w:p>
            <w:pPr>
              <w:spacing w:after="20"/>
            </w:pPr>
            <w:r/>
          </w:p>
        </w:tc>
        <w:tc>
          <w:tcPr>
            <w:tcW w:type="dxa" w:w="567"/>
          </w:tcPr>
          <w:p>
            <w:pPr>
              <w:spacing w:after="20"/>
            </w:pPr>
            <w:r/>
            <w:r>
              <w:rPr>
                <w:b w:val="0"/>
                <w:sz w:val="16"/>
              </w:rPr>
              <w:t>325</w:t>
            </w:r>
          </w:p>
        </w:tc>
        <w:tc>
          <w:tcPr>
            <w:tcW w:type="dxa" w:w="567"/>
          </w:tcPr>
          <w:p>
            <w:pPr>
              <w:spacing w:after="20"/>
            </w:pPr>
            <w:r/>
          </w:p>
        </w:tc>
        <w:tc>
          <w:tcPr>
            <w:tcW w:type="dxa" w:w="850"/>
          </w:tcPr>
          <w:p>
            <w:pPr>
              <w:spacing w:after="20"/>
            </w:pPr>
            <w:r/>
            <w:r>
              <w:rPr>
                <w:b w:val="0"/>
                <w:sz w:val="16"/>
              </w:rPr>
              <w:t>1949 godz.</w:t>
            </w:r>
          </w:p>
        </w:tc>
      </w:tr>
      <w:tr>
        <w:tc>
          <w:tcPr>
            <w:tcW w:type="dxa" w:w="3175"/>
          </w:tcPr>
          <w:p>
            <w:pPr>
              <w:spacing w:after="20"/>
            </w:pPr>
            <w:r/>
            <w:r>
              <w:rPr>
                <w:b w:val="0"/>
                <w:sz w:val="16"/>
              </w:rPr>
              <w:t>Maciej Kusy, specjalista ds. uczenia maszynowego (PRz)</w:t>
            </w:r>
          </w:p>
        </w:tc>
        <w:tc>
          <w:tcPr>
            <w:tcW w:type="dxa" w:w="567"/>
          </w:tcPr>
          <w:p>
            <w:pPr>
              <w:spacing w:after="20"/>
            </w:pPr>
            <w:r/>
            <w:r>
              <w:rPr>
                <w:b w:val="0"/>
                <w:sz w:val="16"/>
              </w:rPr>
              <w:t>124</w:t>
            </w:r>
          </w:p>
        </w:tc>
        <w:tc>
          <w:tcPr>
            <w:tcW w:type="dxa" w:w="567"/>
          </w:tcPr>
          <w:p>
            <w:pPr>
              <w:spacing w:after="20"/>
            </w:pPr>
            <w:r/>
          </w:p>
        </w:tc>
        <w:tc>
          <w:tcPr>
            <w:tcW w:type="dxa" w:w="567"/>
          </w:tcPr>
          <w:p>
            <w:pPr>
              <w:spacing w:after="20"/>
            </w:pPr>
            <w:r/>
            <w:r>
              <w:rPr>
                <w:b w:val="0"/>
                <w:sz w:val="16"/>
              </w:rPr>
              <w:t>460</w:t>
            </w:r>
          </w:p>
        </w:tc>
        <w:tc>
          <w:tcPr>
            <w:tcW w:type="dxa" w:w="567"/>
          </w:tcPr>
          <w:p>
            <w:pPr>
              <w:spacing w:after="20"/>
            </w:pPr>
            <w:r/>
            <w:r>
              <w:rPr>
                <w:b w:val="0"/>
                <w:sz w:val="16"/>
              </w:rPr>
              <w:t>270</w:t>
            </w:r>
          </w:p>
        </w:tc>
        <w:tc>
          <w:tcPr>
            <w:tcW w:type="dxa" w:w="567"/>
          </w:tcPr>
          <w:p>
            <w:pPr>
              <w:spacing w:after="20"/>
            </w:pPr>
            <w:r/>
            <w:r>
              <w:rPr>
                <w:b w:val="0"/>
                <w:sz w:val="16"/>
              </w:rPr>
              <w:t>70</w:t>
            </w:r>
          </w:p>
        </w:tc>
        <w:tc>
          <w:tcPr>
            <w:tcW w:type="dxa" w:w="567"/>
          </w:tcPr>
          <w:p>
            <w:pPr>
              <w:spacing w:after="20"/>
            </w:pPr>
            <w:r/>
          </w:p>
        </w:tc>
        <w:tc>
          <w:tcPr>
            <w:tcW w:type="dxa" w:w="567"/>
          </w:tcPr>
          <w:p>
            <w:pPr>
              <w:spacing w:after="20"/>
            </w:pPr>
            <w:r/>
          </w:p>
        </w:tc>
        <w:tc>
          <w:tcPr>
            <w:tcW w:type="dxa" w:w="567"/>
          </w:tcPr>
          <w:p>
            <w:pPr>
              <w:spacing w:after="20"/>
            </w:pPr>
            <w:r/>
            <w:r>
              <w:rPr>
                <w:b w:val="0"/>
                <w:sz w:val="16"/>
              </w:rPr>
              <w:t>120</w:t>
            </w:r>
          </w:p>
        </w:tc>
        <w:tc>
          <w:tcPr>
            <w:tcW w:type="dxa" w:w="567"/>
          </w:tcPr>
          <w:p>
            <w:pPr>
              <w:spacing w:after="20"/>
            </w:pPr>
            <w:r/>
          </w:p>
        </w:tc>
        <w:tc>
          <w:tcPr>
            <w:tcW w:type="dxa" w:w="850"/>
          </w:tcPr>
          <w:p>
            <w:pPr>
              <w:spacing w:after="20"/>
            </w:pPr>
            <w:r/>
            <w:r>
              <w:rPr>
                <w:b w:val="0"/>
                <w:sz w:val="16"/>
              </w:rPr>
              <w:t>1044 godz.</w:t>
            </w:r>
          </w:p>
        </w:tc>
      </w:tr>
      <w:tr>
        <w:tc>
          <w:tcPr>
            <w:tcW w:type="dxa" w:w="3175"/>
          </w:tcPr>
          <w:p>
            <w:pPr>
              <w:spacing w:after="20"/>
            </w:pPr>
            <w:r/>
            <w:r>
              <w:rPr>
                <w:b w:val="0"/>
                <w:sz w:val="16"/>
              </w:rPr>
              <w:t>Andrzej Włoch, specjalista ds. modelowania matematycznego (PRz)</w:t>
            </w:r>
          </w:p>
        </w:tc>
        <w:tc>
          <w:tcPr>
            <w:tcW w:type="dxa" w:w="567"/>
          </w:tcPr>
          <w:p>
            <w:pPr>
              <w:spacing w:after="20"/>
            </w:pPr>
            <w:r/>
            <w:r>
              <w:rPr>
                <w:b w:val="0"/>
                <w:sz w:val="16"/>
              </w:rPr>
              <w:t>120</w:t>
            </w:r>
          </w:p>
        </w:tc>
        <w:tc>
          <w:tcPr>
            <w:tcW w:type="dxa" w:w="567"/>
          </w:tcPr>
          <w:p>
            <w:pPr>
              <w:spacing w:after="20"/>
            </w:pPr>
            <w:r/>
          </w:p>
        </w:tc>
        <w:tc>
          <w:tcPr>
            <w:tcW w:type="dxa" w:w="567"/>
          </w:tcPr>
          <w:p>
            <w:pPr>
              <w:spacing w:after="20"/>
            </w:pPr>
            <w:r/>
            <w:r>
              <w:rPr>
                <w:b w:val="0"/>
                <w:sz w:val="16"/>
              </w:rPr>
              <w:t>404</w:t>
            </w:r>
          </w:p>
        </w:tc>
        <w:tc>
          <w:tcPr>
            <w:tcW w:type="dxa" w:w="567"/>
          </w:tcPr>
          <w:p>
            <w:pPr>
              <w:spacing w:after="20"/>
            </w:pPr>
            <w:r/>
            <w:r>
              <w:rPr>
                <w:b w:val="0"/>
                <w:sz w:val="16"/>
              </w:rPr>
              <w:t>190</w:t>
            </w:r>
          </w:p>
        </w:tc>
        <w:tc>
          <w:tcPr>
            <w:tcW w:type="dxa" w:w="567"/>
          </w:tcPr>
          <w:p>
            <w:pPr>
              <w:spacing w:after="20"/>
            </w:pPr>
            <w:r/>
            <w:r>
              <w:rPr>
                <w:b w:val="0"/>
                <w:sz w:val="16"/>
              </w:rPr>
              <w:t>76</w:t>
            </w:r>
          </w:p>
        </w:tc>
        <w:tc>
          <w:tcPr>
            <w:tcW w:type="dxa" w:w="567"/>
          </w:tcPr>
          <w:p>
            <w:pPr>
              <w:spacing w:after="20"/>
            </w:pPr>
            <w:r/>
          </w:p>
        </w:tc>
        <w:tc>
          <w:tcPr>
            <w:tcW w:type="dxa" w:w="567"/>
          </w:tcPr>
          <w:p>
            <w:pPr>
              <w:spacing w:after="20"/>
            </w:pPr>
            <w:r/>
          </w:p>
        </w:tc>
        <w:tc>
          <w:tcPr>
            <w:tcW w:type="dxa" w:w="567"/>
          </w:tcPr>
          <w:p>
            <w:pPr>
              <w:spacing w:after="20"/>
            </w:pPr>
            <w:r/>
            <w:r>
              <w:rPr>
                <w:b w:val="0"/>
                <w:sz w:val="16"/>
              </w:rPr>
              <w:t>110</w:t>
            </w:r>
          </w:p>
        </w:tc>
        <w:tc>
          <w:tcPr>
            <w:tcW w:type="dxa" w:w="567"/>
          </w:tcPr>
          <w:p>
            <w:pPr>
              <w:spacing w:after="20"/>
            </w:pPr>
            <w:r/>
          </w:p>
        </w:tc>
        <w:tc>
          <w:tcPr>
            <w:tcW w:type="dxa" w:w="850"/>
          </w:tcPr>
          <w:p>
            <w:pPr>
              <w:spacing w:after="20"/>
            </w:pPr>
            <w:r/>
            <w:r>
              <w:rPr>
                <w:b w:val="0"/>
                <w:sz w:val="16"/>
              </w:rPr>
              <w:t>900 godz.</w:t>
            </w:r>
          </w:p>
        </w:tc>
      </w:tr>
      <w:tr>
        <w:tc>
          <w:tcPr>
            <w:tcW w:type="dxa" w:w="3175"/>
          </w:tcPr>
          <w:p>
            <w:pPr>
              <w:spacing w:after="20"/>
            </w:pPr>
            <w:r/>
            <w:r>
              <w:rPr>
                <w:b w:val="0"/>
                <w:sz w:val="16"/>
              </w:rPr>
              <w:t>Karolina Król, młodszy specjalista ML (PRz)</w:t>
            </w:r>
          </w:p>
        </w:tc>
        <w:tc>
          <w:tcPr>
            <w:tcW w:type="dxa" w:w="567"/>
          </w:tcPr>
          <w:p>
            <w:pPr>
              <w:spacing w:after="20"/>
            </w:pPr>
            <w:r/>
            <w:r>
              <w:rPr>
                <w:b w:val="0"/>
                <w:sz w:val="16"/>
              </w:rPr>
              <w:t>80</w:t>
            </w:r>
          </w:p>
        </w:tc>
        <w:tc>
          <w:tcPr>
            <w:tcW w:type="dxa" w:w="567"/>
          </w:tcPr>
          <w:p>
            <w:pPr>
              <w:spacing w:after="20"/>
            </w:pPr>
            <w:r/>
          </w:p>
        </w:tc>
        <w:tc>
          <w:tcPr>
            <w:tcW w:type="dxa" w:w="567"/>
          </w:tcPr>
          <w:p>
            <w:pPr>
              <w:spacing w:after="20"/>
            </w:pPr>
            <w:r/>
            <w:r>
              <w:rPr>
                <w:b w:val="0"/>
                <w:sz w:val="16"/>
              </w:rPr>
              <w:t>340</w:t>
            </w:r>
          </w:p>
        </w:tc>
        <w:tc>
          <w:tcPr>
            <w:tcW w:type="dxa" w:w="567"/>
          </w:tcPr>
          <w:p>
            <w:pPr>
              <w:spacing w:after="20"/>
            </w:pPr>
            <w:r/>
            <w:r>
              <w:rPr>
                <w:b w:val="0"/>
                <w:sz w:val="16"/>
              </w:rPr>
              <w:t>120</w:t>
            </w:r>
          </w:p>
        </w:tc>
        <w:tc>
          <w:tcPr>
            <w:tcW w:type="dxa" w:w="567"/>
          </w:tcPr>
          <w:p>
            <w:pPr>
              <w:spacing w:after="20"/>
            </w:pPr>
            <w:r/>
            <w:r>
              <w:rPr>
                <w:b w:val="0"/>
                <w:sz w:val="16"/>
              </w:rPr>
              <w:t>100</w:t>
            </w:r>
          </w:p>
        </w:tc>
        <w:tc>
          <w:tcPr>
            <w:tcW w:type="dxa" w:w="567"/>
          </w:tcPr>
          <w:p>
            <w:pPr>
              <w:spacing w:after="20"/>
            </w:pPr>
            <w:r/>
          </w:p>
        </w:tc>
        <w:tc>
          <w:tcPr>
            <w:tcW w:type="dxa" w:w="567"/>
          </w:tcPr>
          <w:p>
            <w:pPr>
              <w:spacing w:after="20"/>
            </w:pPr>
            <w:r/>
          </w:p>
        </w:tc>
        <w:tc>
          <w:tcPr>
            <w:tcW w:type="dxa" w:w="567"/>
          </w:tcPr>
          <w:p>
            <w:pPr>
              <w:spacing w:after="20"/>
            </w:pPr>
            <w:r/>
            <w:r>
              <w:rPr>
                <w:b w:val="0"/>
                <w:sz w:val="16"/>
              </w:rPr>
              <w:t>200</w:t>
            </w:r>
          </w:p>
        </w:tc>
        <w:tc>
          <w:tcPr>
            <w:tcW w:type="dxa" w:w="567"/>
          </w:tcPr>
          <w:p>
            <w:pPr>
              <w:spacing w:after="20"/>
            </w:pPr>
            <w:r/>
          </w:p>
        </w:tc>
        <w:tc>
          <w:tcPr>
            <w:tcW w:type="dxa" w:w="850"/>
          </w:tcPr>
          <w:p>
            <w:pPr>
              <w:spacing w:after="20"/>
            </w:pPr>
            <w:r/>
            <w:r>
              <w:rPr>
                <w:b w:val="0"/>
                <w:sz w:val="16"/>
              </w:rPr>
              <w:t>840 godz.</w:t>
            </w:r>
          </w:p>
        </w:tc>
      </w:tr>
      <w:tr>
        <w:tc>
          <w:tcPr>
            <w:tcW w:type="dxa" w:w="3175"/>
          </w:tcPr>
          <w:p>
            <w:pPr>
              <w:spacing w:after="20"/>
            </w:pPr>
            <w:r/>
            <w:r>
              <w:rPr>
                <w:b w:val="0"/>
                <w:sz w:val="16"/>
              </w:rPr>
              <w:t>Specjalista ds. danych AI/CV i anotacji, zlecenie (PRz)</w:t>
            </w:r>
          </w:p>
        </w:tc>
        <w:tc>
          <w:tcPr>
            <w:tcW w:type="dxa" w:w="567"/>
          </w:tcPr>
          <w:p>
            <w:pPr>
              <w:spacing w:after="20"/>
            </w:pPr>
            <w:r/>
            <w:r>
              <w:rPr>
                <w:b w:val="0"/>
                <w:sz w:val="16"/>
              </w:rPr>
              <w:t>60</w:t>
            </w:r>
          </w:p>
        </w:tc>
        <w:tc>
          <w:tcPr>
            <w:tcW w:type="dxa" w:w="567"/>
          </w:tcPr>
          <w:p>
            <w:pPr>
              <w:spacing w:after="20"/>
            </w:pPr>
            <w:r/>
          </w:p>
        </w:tc>
        <w:tc>
          <w:tcPr>
            <w:tcW w:type="dxa" w:w="567"/>
          </w:tcPr>
          <w:p>
            <w:pPr>
              <w:spacing w:after="20"/>
            </w:pPr>
            <w:r/>
            <w:r>
              <w:rPr>
                <w:b w:val="0"/>
                <w:sz w:val="16"/>
              </w:rPr>
              <w:t>408</w:t>
            </w:r>
          </w:p>
        </w:tc>
        <w:tc>
          <w:tcPr>
            <w:tcW w:type="dxa" w:w="567"/>
          </w:tcPr>
          <w:p>
            <w:pPr>
              <w:spacing w:after="20"/>
            </w:pPr>
            <w:r/>
            <w:r>
              <w:rPr>
                <w:b w:val="0"/>
                <w:sz w:val="16"/>
              </w:rPr>
              <w:t>130</w:t>
            </w:r>
          </w:p>
        </w:tc>
        <w:tc>
          <w:tcPr>
            <w:tcW w:type="dxa" w:w="567"/>
          </w:tcPr>
          <w:p>
            <w:pPr>
              <w:spacing w:after="20"/>
            </w:pPr>
            <w:r/>
            <w:r>
              <w:rPr>
                <w:b w:val="0"/>
                <w:sz w:val="16"/>
              </w:rPr>
              <w:t>100</w:t>
            </w:r>
          </w:p>
        </w:tc>
        <w:tc>
          <w:tcPr>
            <w:tcW w:type="dxa" w:w="567"/>
          </w:tcPr>
          <w:p>
            <w:pPr>
              <w:spacing w:after="20"/>
            </w:pPr>
            <w:r/>
          </w:p>
        </w:tc>
        <w:tc>
          <w:tcPr>
            <w:tcW w:type="dxa" w:w="567"/>
          </w:tcPr>
          <w:p>
            <w:pPr>
              <w:spacing w:after="20"/>
            </w:pPr>
            <w:r/>
          </w:p>
        </w:tc>
        <w:tc>
          <w:tcPr>
            <w:tcW w:type="dxa" w:w="567"/>
          </w:tcPr>
          <w:p>
            <w:pPr>
              <w:spacing w:after="20"/>
            </w:pPr>
            <w:r/>
            <w:r>
              <w:rPr>
                <w:b w:val="0"/>
                <w:sz w:val="16"/>
              </w:rPr>
              <w:t>242</w:t>
            </w:r>
          </w:p>
        </w:tc>
        <w:tc>
          <w:tcPr>
            <w:tcW w:type="dxa" w:w="567"/>
          </w:tcPr>
          <w:p>
            <w:pPr>
              <w:spacing w:after="20"/>
            </w:pPr>
            <w:r/>
          </w:p>
        </w:tc>
        <w:tc>
          <w:tcPr>
            <w:tcW w:type="dxa" w:w="850"/>
          </w:tcPr>
          <w:p>
            <w:pPr>
              <w:spacing w:after="20"/>
            </w:pPr>
            <w:r/>
            <w:r>
              <w:rPr>
                <w:b w:val="0"/>
                <w:sz w:val="16"/>
              </w:rPr>
              <w:t>940 godz.</w:t>
            </w:r>
          </w:p>
        </w:tc>
      </w:tr>
      <w:tr>
        <w:tc>
          <w:tcPr>
            <w:tcW w:type="dxa" w:w="3175"/>
          </w:tcPr>
          <w:p>
            <w:pPr>
              <w:spacing w:after="20"/>
            </w:pPr>
            <w:r/>
            <w:r>
              <w:rPr>
                <w:b w:val="0"/>
                <w:sz w:val="16"/>
              </w:rPr>
              <w:t>Specjalista ds. przetwarzania danych wielomodalnych, zlecenie (PRz)</w:t>
            </w:r>
          </w:p>
        </w:tc>
        <w:tc>
          <w:tcPr>
            <w:tcW w:type="dxa" w:w="567"/>
          </w:tcPr>
          <w:p>
            <w:pPr>
              <w:spacing w:after="20"/>
            </w:pPr>
            <w:r/>
            <w:r>
              <w:rPr>
                <w:b w:val="0"/>
                <w:sz w:val="16"/>
              </w:rPr>
              <w:t>60</w:t>
            </w:r>
          </w:p>
        </w:tc>
        <w:tc>
          <w:tcPr>
            <w:tcW w:type="dxa" w:w="567"/>
          </w:tcPr>
          <w:p>
            <w:pPr>
              <w:spacing w:after="20"/>
            </w:pPr>
            <w:r/>
          </w:p>
        </w:tc>
        <w:tc>
          <w:tcPr>
            <w:tcW w:type="dxa" w:w="567"/>
          </w:tcPr>
          <w:p>
            <w:pPr>
              <w:spacing w:after="20"/>
            </w:pPr>
            <w:r/>
            <w:r>
              <w:rPr>
                <w:b w:val="0"/>
                <w:sz w:val="16"/>
              </w:rPr>
              <w:t>382</w:t>
            </w:r>
          </w:p>
        </w:tc>
        <w:tc>
          <w:tcPr>
            <w:tcW w:type="dxa" w:w="567"/>
          </w:tcPr>
          <w:p>
            <w:pPr>
              <w:spacing w:after="20"/>
            </w:pPr>
            <w:r/>
            <w:r>
              <w:rPr>
                <w:b w:val="0"/>
                <w:sz w:val="16"/>
              </w:rPr>
              <w:t>122</w:t>
            </w:r>
          </w:p>
        </w:tc>
        <w:tc>
          <w:tcPr>
            <w:tcW w:type="dxa" w:w="567"/>
          </w:tcPr>
          <w:p>
            <w:pPr>
              <w:spacing w:after="20"/>
            </w:pPr>
            <w:r/>
            <w:r>
              <w:rPr>
                <w:b w:val="0"/>
                <w:sz w:val="16"/>
              </w:rPr>
              <w:t>104</w:t>
            </w:r>
          </w:p>
        </w:tc>
        <w:tc>
          <w:tcPr>
            <w:tcW w:type="dxa" w:w="567"/>
          </w:tcPr>
          <w:p>
            <w:pPr>
              <w:spacing w:after="20"/>
            </w:pPr>
            <w:r/>
          </w:p>
        </w:tc>
        <w:tc>
          <w:tcPr>
            <w:tcW w:type="dxa" w:w="567"/>
          </w:tcPr>
          <w:p>
            <w:pPr>
              <w:spacing w:after="20"/>
            </w:pPr>
            <w:r/>
          </w:p>
        </w:tc>
        <w:tc>
          <w:tcPr>
            <w:tcW w:type="dxa" w:w="567"/>
          </w:tcPr>
          <w:p>
            <w:pPr>
              <w:spacing w:after="20"/>
            </w:pPr>
            <w:r/>
            <w:r>
              <w:rPr>
                <w:b w:val="0"/>
                <w:sz w:val="16"/>
              </w:rPr>
              <w:t>200</w:t>
            </w:r>
          </w:p>
        </w:tc>
        <w:tc>
          <w:tcPr>
            <w:tcW w:type="dxa" w:w="567"/>
          </w:tcPr>
          <w:p>
            <w:pPr>
              <w:spacing w:after="20"/>
            </w:pPr>
            <w:r/>
          </w:p>
        </w:tc>
        <w:tc>
          <w:tcPr>
            <w:tcW w:type="dxa" w:w="850"/>
          </w:tcPr>
          <w:p>
            <w:pPr>
              <w:spacing w:after="20"/>
            </w:pPr>
            <w:r/>
            <w:r>
              <w:rPr>
                <w:b w:val="0"/>
                <w:sz w:val="16"/>
              </w:rPr>
              <w:t>868 godz.</w:t>
            </w:r>
          </w:p>
        </w:tc>
      </w:tr>
      <w:tr>
        <w:tc>
          <w:tcPr>
            <w:tcW w:type="dxa" w:w="3175"/>
          </w:tcPr>
          <w:p>
            <w:pPr>
              <w:spacing w:after="20"/>
            </w:pPr>
            <w:r/>
            <w:r>
              <w:rPr>
                <w:b w:val="0"/>
                <w:sz w:val="16"/>
              </w:rPr>
              <w:t>Specjalista ds. implementacji AI/CV i edge AI, zlecenie (PRz)</w:t>
            </w:r>
          </w:p>
        </w:tc>
        <w:tc>
          <w:tcPr>
            <w:tcW w:type="dxa" w:w="567"/>
          </w:tcPr>
          <w:p>
            <w:pPr>
              <w:spacing w:after="20"/>
            </w:pPr>
            <w:r/>
            <w:r>
              <w:rPr>
                <w:b w:val="0"/>
                <w:sz w:val="16"/>
              </w:rPr>
              <w:t>84</w:t>
            </w:r>
          </w:p>
        </w:tc>
        <w:tc>
          <w:tcPr>
            <w:tcW w:type="dxa" w:w="567"/>
          </w:tcPr>
          <w:p>
            <w:pPr>
              <w:spacing w:after="20"/>
            </w:pPr>
            <w:r/>
          </w:p>
        </w:tc>
        <w:tc>
          <w:tcPr>
            <w:tcW w:type="dxa" w:w="567"/>
          </w:tcPr>
          <w:p>
            <w:pPr>
              <w:spacing w:after="20"/>
            </w:pPr>
            <w:r/>
            <w:r>
              <w:rPr>
                <w:b w:val="0"/>
                <w:sz w:val="16"/>
              </w:rPr>
              <w:t>356</w:t>
            </w:r>
          </w:p>
        </w:tc>
        <w:tc>
          <w:tcPr>
            <w:tcW w:type="dxa" w:w="567"/>
          </w:tcPr>
          <w:p>
            <w:pPr>
              <w:spacing w:after="20"/>
            </w:pPr>
            <w:r/>
            <w:r>
              <w:rPr>
                <w:b w:val="0"/>
                <w:sz w:val="16"/>
              </w:rPr>
              <w:t>120</w:t>
            </w:r>
          </w:p>
        </w:tc>
        <w:tc>
          <w:tcPr>
            <w:tcW w:type="dxa" w:w="567"/>
          </w:tcPr>
          <w:p>
            <w:pPr>
              <w:spacing w:after="20"/>
            </w:pPr>
            <w:r/>
            <w:r>
              <w:rPr>
                <w:b w:val="0"/>
                <w:sz w:val="16"/>
              </w:rPr>
              <w:t>112</w:t>
            </w:r>
          </w:p>
        </w:tc>
        <w:tc>
          <w:tcPr>
            <w:tcW w:type="dxa" w:w="567"/>
          </w:tcPr>
          <w:p>
            <w:pPr>
              <w:spacing w:after="20"/>
            </w:pPr>
            <w:r/>
          </w:p>
        </w:tc>
        <w:tc>
          <w:tcPr>
            <w:tcW w:type="dxa" w:w="567"/>
          </w:tcPr>
          <w:p>
            <w:pPr>
              <w:spacing w:after="20"/>
            </w:pPr>
            <w:r/>
          </w:p>
        </w:tc>
        <w:tc>
          <w:tcPr>
            <w:tcW w:type="dxa" w:w="567"/>
          </w:tcPr>
          <w:p>
            <w:pPr>
              <w:spacing w:after="20"/>
            </w:pPr>
            <w:r/>
            <w:r>
              <w:rPr>
                <w:b w:val="0"/>
                <w:sz w:val="16"/>
              </w:rPr>
              <w:t>204</w:t>
            </w:r>
          </w:p>
        </w:tc>
        <w:tc>
          <w:tcPr>
            <w:tcW w:type="dxa" w:w="567"/>
          </w:tcPr>
          <w:p>
            <w:pPr>
              <w:spacing w:after="20"/>
            </w:pPr>
            <w:r/>
          </w:p>
        </w:tc>
        <w:tc>
          <w:tcPr>
            <w:tcW w:type="dxa" w:w="850"/>
          </w:tcPr>
          <w:p>
            <w:pPr>
              <w:spacing w:after="20"/>
            </w:pPr>
            <w:r/>
            <w:r>
              <w:rPr>
                <w:b w:val="0"/>
                <w:sz w:val="16"/>
              </w:rPr>
              <w:t>876 godz.</w:t>
            </w:r>
          </w:p>
        </w:tc>
      </w:tr>
    </w:tbl>
    <w:p/>
    <w:p>
      <w:pPr>
        <w:spacing w:after="60"/>
      </w:pPr>
      <w:r>
        <w:rPr>
          <w:b w:val="0"/>
        </w:rPr>
        <w:t>Godziny dotyczą personelu PRz. Zgodnie z punktem 6.1 sumy to: Nowak i Batsch po 1949, Kusy 1044, Włoch 900, Król 840 godzin.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608"/>
            <w:shd w:val="clear" w:color="auto" w:fill="D9E2F3"/>
          </w:tcPr>
          <w:p>
            <w:pPr>
              <w:spacing w:after="20"/>
            </w:pPr>
            <w:r/>
            <w:r>
              <w:rPr>
                <w:b/>
                <w:sz w:val="16"/>
              </w:rPr>
              <w:t>Stanowisko Everest11 (osoba w 6.1)</w:t>
            </w:r>
          </w:p>
        </w:tc>
        <w:tc>
          <w:tcPr>
            <w:tcW w:type="dxa" w:w="1474"/>
            <w:shd w:val="clear" w:color="auto" w:fill="D9E2F3"/>
          </w:tcPr>
          <w:p>
            <w:pPr>
              <w:spacing w:after="20"/>
            </w:pPr>
            <w:r/>
            <w:r>
              <w:rPr>
                <w:b/>
                <w:sz w:val="16"/>
              </w:rPr>
              <w:t>Z2</w:t>
            </w:r>
          </w:p>
        </w:tc>
        <w:tc>
          <w:tcPr>
            <w:tcW w:type="dxa" w:w="1247"/>
            <w:shd w:val="clear" w:color="auto" w:fill="D9E2F3"/>
          </w:tcPr>
          <w:p>
            <w:pPr>
              <w:spacing w:after="20"/>
            </w:pPr>
            <w:r/>
            <w:r>
              <w:rPr>
                <w:b/>
                <w:sz w:val="16"/>
              </w:rPr>
              <w:t>Z6</w:t>
            </w:r>
          </w:p>
        </w:tc>
        <w:tc>
          <w:tcPr>
            <w:tcW w:type="dxa" w:w="1077"/>
            <w:shd w:val="clear" w:color="auto" w:fill="D9E2F3"/>
          </w:tcPr>
          <w:p>
            <w:pPr>
              <w:spacing w:after="20"/>
            </w:pPr>
            <w:r/>
            <w:r>
              <w:rPr>
                <w:b/>
                <w:sz w:val="16"/>
              </w:rPr>
              <w:t>Z7</w:t>
            </w:r>
          </w:p>
        </w:tc>
        <w:tc>
          <w:tcPr>
            <w:tcW w:type="dxa" w:w="1247"/>
            <w:shd w:val="clear" w:color="auto" w:fill="D9E2F3"/>
          </w:tcPr>
          <w:p>
            <w:pPr>
              <w:spacing w:after="20"/>
            </w:pPr>
            <w:r/>
            <w:r>
              <w:rPr>
                <w:b/>
                <w:sz w:val="16"/>
              </w:rPr>
              <w:t>Z9</w:t>
            </w:r>
          </w:p>
        </w:tc>
        <w:tc>
          <w:tcPr>
            <w:tcW w:type="dxa" w:w="1984"/>
            <w:shd w:val="clear" w:color="auto" w:fill="D9E2F3"/>
          </w:tcPr>
          <w:p>
            <w:pPr>
              <w:spacing w:after="20"/>
            </w:pPr>
            <w:r/>
            <w:r>
              <w:rPr>
                <w:b/>
                <w:sz w:val="16"/>
              </w:rPr>
              <w:t>Uwagi</w:t>
            </w:r>
          </w:p>
        </w:tc>
      </w:tr>
      <w:tr>
        <w:tc>
          <w:tcPr>
            <w:tcW w:type="dxa" w:w="2608"/>
          </w:tcPr>
          <w:p>
            <w:pPr>
              <w:spacing w:after="20"/>
            </w:pPr>
            <w:r/>
            <w:r>
              <w:rPr>
                <w:b w:val="0"/>
                <w:sz w:val="16"/>
              </w:rPr>
              <w:t>AI Lead (Jakub Kosterna)</w:t>
            </w:r>
          </w:p>
        </w:tc>
        <w:tc>
          <w:tcPr>
            <w:tcW w:type="dxa" w:w="1474"/>
          </w:tcPr>
          <w:p>
            <w:pPr>
              <w:spacing w:after="20"/>
            </w:pPr>
            <w:r/>
            <w:r>
              <w:rPr>
                <w:b w:val="0"/>
                <w:sz w:val="16"/>
              </w:rPr>
              <w:t>0,75 etatu, 18 mc</w:t>
            </w:r>
          </w:p>
        </w:tc>
        <w:tc>
          <w:tcPr>
            <w:tcW w:type="dxa" w:w="1247"/>
          </w:tcPr>
          <w:p>
            <w:pPr>
              <w:spacing w:after="20"/>
            </w:pPr>
            <w:r/>
            <w:r>
              <w:rPr>
                <w:b w:val="0"/>
                <w:sz w:val="16"/>
              </w:rPr>
              <w:t>podział etatu*</w:t>
            </w:r>
          </w:p>
        </w:tc>
        <w:tc>
          <w:tcPr>
            <w:tcW w:type="dxa" w:w="1077"/>
          </w:tcPr>
          <w:p>
            <w:pPr>
              <w:spacing w:after="20"/>
            </w:pPr>
            <w:r/>
            <w:r>
              <w:rPr>
                <w:b w:val="0"/>
                <w:sz w:val="16"/>
              </w:rPr>
              <w:t>podział etatu*</w:t>
            </w:r>
          </w:p>
        </w:tc>
        <w:tc>
          <w:tcPr>
            <w:tcW w:type="dxa" w:w="1247"/>
          </w:tcPr>
          <w:p>
            <w:pPr>
              <w:spacing w:after="20"/>
            </w:pPr>
            <w:r/>
            <w:r>
              <w:rPr>
                <w:b w:val="0"/>
                <w:sz w:val="16"/>
              </w:rPr>
              <w:t>podział etatu*</w:t>
            </w:r>
          </w:p>
        </w:tc>
        <w:tc>
          <w:tcPr>
            <w:tcW w:type="dxa" w:w="1984"/>
          </w:tcPr>
          <w:p>
            <w:pPr>
              <w:spacing w:after="20"/>
            </w:pPr>
            <w:r/>
            <w:r>
              <w:rPr>
                <w:b w:val="0"/>
                <w:sz w:val="16"/>
              </w:rPr>
              <w:t>Budżet: 12 mc fazy PR podzielone na 3 zadania</w:t>
            </w:r>
          </w:p>
        </w:tc>
      </w:tr>
      <w:tr>
        <w:tc>
          <w:tcPr>
            <w:tcW w:type="dxa" w:w="2608"/>
          </w:tcPr>
          <w:p>
            <w:pPr>
              <w:spacing w:after="20"/>
            </w:pPr>
            <w:r/>
            <w:r>
              <w:rPr>
                <w:b w:val="0"/>
                <w:sz w:val="16"/>
              </w:rPr>
              <w:t>AI Senior Engineer (Natalia Wojdat)</w:t>
            </w:r>
          </w:p>
        </w:tc>
        <w:tc>
          <w:tcPr>
            <w:tcW w:type="dxa" w:w="1474"/>
          </w:tcPr>
          <w:p>
            <w:pPr>
              <w:spacing w:after="20"/>
            </w:pPr>
            <w:r/>
            <w:r>
              <w:rPr>
                <w:b w:val="0"/>
                <w:sz w:val="16"/>
              </w:rPr>
              <w:t>0,75 etatu, 18 mc</w:t>
            </w:r>
          </w:p>
        </w:tc>
        <w:tc>
          <w:tcPr>
            <w:tcW w:type="dxa" w:w="1247"/>
          </w:tcPr>
          <w:p>
            <w:pPr>
              <w:spacing w:after="20"/>
            </w:pPr>
            <w:r/>
            <w:r>
              <w:rPr>
                <w:b w:val="0"/>
                <w:sz w:val="16"/>
              </w:rPr>
              <w:t>podział etatu*</w:t>
            </w:r>
          </w:p>
        </w:tc>
        <w:tc>
          <w:tcPr>
            <w:tcW w:type="dxa" w:w="1077"/>
          </w:tcPr>
          <w:p>
            <w:pPr>
              <w:spacing w:after="20"/>
            </w:pPr>
            <w:r/>
            <w:r>
              <w:rPr>
                <w:b w:val="0"/>
                <w:sz w:val="16"/>
              </w:rPr>
              <w:t>podział etatu*</w:t>
            </w:r>
          </w:p>
        </w:tc>
        <w:tc>
          <w:tcPr>
            <w:tcW w:type="dxa" w:w="1247"/>
          </w:tcPr>
          <w:p>
            <w:pPr>
              <w:spacing w:after="20"/>
            </w:pPr>
            <w:r/>
            <w:r>
              <w:rPr>
                <w:b w:val="0"/>
                <w:sz w:val="16"/>
              </w:rPr>
              <w:t>podział etatu*</w:t>
            </w:r>
          </w:p>
        </w:tc>
        <w:tc>
          <w:tcPr>
            <w:tcW w:type="dxa" w:w="1984"/>
          </w:tcPr>
          <w:p>
            <w:pPr>
              <w:spacing w:after="20"/>
            </w:pPr>
            <w:r/>
            <w:r>
              <w:rPr>
                <w:b w:val="0"/>
                <w:sz w:val="16"/>
              </w:rPr>
              <w:t>jak wyżej</w:t>
            </w:r>
          </w:p>
        </w:tc>
      </w:tr>
      <w:tr>
        <w:tc>
          <w:tcPr>
            <w:tcW w:type="dxa" w:w="2608"/>
          </w:tcPr>
          <w:p>
            <w:pPr>
              <w:spacing w:after="20"/>
            </w:pPr>
            <w:r/>
            <w:r>
              <w:rPr>
                <w:b w:val="0"/>
                <w:sz w:val="16"/>
              </w:rPr>
              <w:t>Cybersecurity / AI Act Specialist (Paweł Maziarz)</w:t>
            </w:r>
          </w:p>
        </w:tc>
        <w:tc>
          <w:tcPr>
            <w:tcW w:type="dxa" w:w="1474"/>
          </w:tcPr>
          <w:p>
            <w:pPr>
              <w:spacing w:after="20"/>
            </w:pPr>
            <w:r/>
            <w:r>
              <w:rPr>
                <w:b w:val="0"/>
                <w:sz w:val="16"/>
              </w:rPr>
              <w:t>0,25 etatu, 18 mc</w:t>
            </w:r>
          </w:p>
        </w:tc>
        <w:tc>
          <w:tcPr>
            <w:tcW w:type="dxa" w:w="1247"/>
          </w:tcPr>
          <w:p>
            <w:pPr>
              <w:spacing w:after="20"/>
            </w:pPr>
            <w:r/>
            <w:r>
              <w:rPr>
                <w:b w:val="0"/>
                <w:sz w:val="16"/>
              </w:rPr>
              <w:t>podział etatu*</w:t>
            </w:r>
          </w:p>
        </w:tc>
        <w:tc>
          <w:tcPr>
            <w:tcW w:type="dxa" w:w="1077"/>
          </w:tcPr>
          <w:p>
            <w:pPr>
              <w:spacing w:after="20"/>
            </w:pPr>
            <w:r/>
            <w:r>
              <w:rPr>
                <w:b w:val="0"/>
                <w:sz w:val="16"/>
              </w:rPr>
              <w:t>podział etatu*</w:t>
            </w:r>
          </w:p>
        </w:tc>
        <w:tc>
          <w:tcPr>
            <w:tcW w:type="dxa" w:w="1247"/>
          </w:tcPr>
          <w:p>
            <w:pPr>
              <w:spacing w:after="20"/>
            </w:pPr>
            <w:r/>
            <w:r>
              <w:rPr>
                <w:b w:val="0"/>
                <w:sz w:val="16"/>
              </w:rPr>
              <w:t>podział etatu*</w:t>
            </w:r>
          </w:p>
        </w:tc>
        <w:tc>
          <w:tcPr>
            <w:tcW w:type="dxa" w:w="1984"/>
          </w:tcPr>
          <w:p>
            <w:pPr>
              <w:spacing w:after="20"/>
            </w:pPr>
            <w:r/>
            <w:r>
              <w:rPr>
                <w:b w:val="0"/>
                <w:sz w:val="16"/>
              </w:rPr>
              <w:t>bez prac prawnych, AI Act, RODO i patentowych w kosztach B+R</w:t>
            </w:r>
          </w:p>
        </w:tc>
      </w:tr>
      <w:tr>
        <w:tc>
          <w:tcPr>
            <w:tcW w:type="dxa" w:w="2608"/>
          </w:tcPr>
          <w:p>
            <w:pPr>
              <w:spacing w:after="20"/>
            </w:pPr>
            <w:r/>
            <w:r>
              <w:rPr>
                <w:b w:val="0"/>
                <w:sz w:val="16"/>
              </w:rPr>
              <w:t>IT Specialist (Patryk Ruciński)</w:t>
            </w:r>
          </w:p>
        </w:tc>
        <w:tc>
          <w:tcPr>
            <w:tcW w:type="dxa" w:w="1474"/>
          </w:tcPr>
          <w:p>
            <w:pPr>
              <w:spacing w:after="20"/>
            </w:pPr>
            <w:r/>
            <w:r>
              <w:rPr>
                <w:b w:val="0"/>
                <w:sz w:val="16"/>
              </w:rPr>
              <w:t>1,0 etatu, 18 mc</w:t>
            </w:r>
          </w:p>
        </w:tc>
        <w:tc>
          <w:tcPr>
            <w:tcW w:type="dxa" w:w="1247"/>
          </w:tcPr>
          <w:p>
            <w:pPr>
              <w:spacing w:after="20"/>
            </w:pPr>
            <w:r/>
            <w:r>
              <w:rPr>
                <w:b w:val="0"/>
                <w:sz w:val="16"/>
              </w:rPr>
              <w:t>podział etatu*</w:t>
            </w:r>
          </w:p>
        </w:tc>
        <w:tc>
          <w:tcPr>
            <w:tcW w:type="dxa" w:w="1077"/>
          </w:tcPr>
          <w:p>
            <w:pPr>
              <w:spacing w:after="20"/>
            </w:pPr>
            <w:r/>
            <w:r>
              <w:rPr>
                <w:b w:val="0"/>
                <w:sz w:val="16"/>
              </w:rPr>
              <w:t>podział etatu*</w:t>
            </w:r>
          </w:p>
        </w:tc>
        <w:tc>
          <w:tcPr>
            <w:tcW w:type="dxa" w:w="1247"/>
          </w:tcPr>
          <w:p>
            <w:pPr>
              <w:spacing w:after="20"/>
            </w:pPr>
            <w:r/>
            <w:r>
              <w:rPr>
                <w:b w:val="0"/>
                <w:sz w:val="16"/>
              </w:rPr>
              <w:t>podział etatu*</w:t>
            </w:r>
          </w:p>
        </w:tc>
        <w:tc>
          <w:tcPr>
            <w:tcW w:type="dxa" w:w="1984"/>
          </w:tcPr>
          <w:p>
            <w:pPr>
              <w:spacing w:after="20"/>
            </w:pPr>
            <w:r/>
            <w:r>
              <w:rPr>
                <w:b w:val="0"/>
                <w:sz w:val="16"/>
              </w:rPr>
              <w:t>bez rutynowej integracji i utrzymania</w:t>
            </w:r>
          </w:p>
        </w:tc>
      </w:tr>
      <w:tr>
        <w:tc>
          <w:tcPr>
            <w:tcW w:type="dxa" w:w="2608"/>
          </w:tcPr>
          <w:p>
            <w:pPr>
              <w:spacing w:after="20"/>
            </w:pPr>
            <w:r/>
            <w:r>
              <w:rPr>
                <w:b w:val="0"/>
                <w:sz w:val="16"/>
              </w:rPr>
              <w:t>IoT Specialist (Stanisław Kozioł)</w:t>
            </w:r>
          </w:p>
        </w:tc>
        <w:tc>
          <w:tcPr>
            <w:tcW w:type="dxa" w:w="1474"/>
          </w:tcPr>
          <w:p>
            <w:pPr>
              <w:spacing w:after="20"/>
            </w:pPr>
            <w:r/>
            <w:r>
              <w:rPr>
                <w:b w:val="0"/>
                <w:sz w:val="16"/>
              </w:rPr>
              <w:t>0,5 etatu, 18 mc</w:t>
            </w:r>
          </w:p>
        </w:tc>
        <w:tc>
          <w:tcPr>
            <w:tcW w:type="dxa" w:w="1247"/>
          </w:tcPr>
          <w:p>
            <w:pPr>
              <w:spacing w:after="20"/>
            </w:pPr>
            <w:r/>
            <w:r>
              <w:rPr>
                <w:b w:val="0"/>
                <w:sz w:val="16"/>
              </w:rPr>
              <w:t>podział etatu*</w:t>
            </w:r>
          </w:p>
        </w:tc>
        <w:tc>
          <w:tcPr>
            <w:tcW w:type="dxa" w:w="1077"/>
          </w:tcPr>
          <w:p>
            <w:pPr>
              <w:spacing w:after="20"/>
            </w:pPr>
            <w:r/>
            <w:r>
              <w:rPr>
                <w:b w:val="0"/>
                <w:sz w:val="16"/>
              </w:rPr>
              <w:t>podział etatu*</w:t>
            </w:r>
          </w:p>
        </w:tc>
        <w:tc>
          <w:tcPr>
            <w:tcW w:type="dxa" w:w="1247"/>
          </w:tcPr>
          <w:p>
            <w:pPr>
              <w:spacing w:after="20"/>
            </w:pPr>
            <w:r/>
            <w:r>
              <w:rPr>
                <w:b w:val="0"/>
                <w:sz w:val="16"/>
              </w:rPr>
              <w:t>podział etatu*</w:t>
            </w:r>
          </w:p>
        </w:tc>
        <w:tc>
          <w:tcPr>
            <w:tcW w:type="dxa" w:w="1984"/>
          </w:tcPr>
          <w:p>
            <w:pPr>
              <w:spacing w:after="20"/>
            </w:pPr>
            <w:r/>
            <w:r>
              <w:rPr>
                <w:b w:val="0"/>
                <w:sz w:val="16"/>
              </w:rPr>
              <w:t>montaż wykonuje podwykonawca</w:t>
            </w:r>
          </w:p>
        </w:tc>
      </w:tr>
      <w:tr>
        <w:tc>
          <w:tcPr>
            <w:tcW w:type="dxa" w:w="2608"/>
          </w:tcPr>
          <w:p>
            <w:pPr>
              <w:spacing w:after="20"/>
            </w:pPr>
            <w:r/>
            <w:r>
              <w:rPr>
                <w:b w:val="0"/>
                <w:sz w:val="16"/>
              </w:rPr>
              <w:t>Specjalista ds. logistyki TSL (Michał Hajduk)</w:t>
            </w:r>
          </w:p>
        </w:tc>
        <w:tc>
          <w:tcPr>
            <w:tcW w:type="dxa" w:w="1474"/>
          </w:tcPr>
          <w:p>
            <w:pPr>
              <w:spacing w:after="20"/>
            </w:pPr>
            <w:r/>
            <w:r>
              <w:rPr>
                <w:b w:val="0"/>
                <w:sz w:val="16"/>
              </w:rPr>
              <w:t>0,5 etatu, 18 mc</w:t>
            </w:r>
          </w:p>
        </w:tc>
        <w:tc>
          <w:tcPr>
            <w:tcW w:type="dxa" w:w="1247"/>
          </w:tcPr>
          <w:p>
            <w:pPr>
              <w:spacing w:after="20"/>
            </w:pPr>
            <w:r/>
            <w:r>
              <w:rPr>
                <w:b w:val="0"/>
                <w:sz w:val="16"/>
              </w:rPr>
              <w:t>podział etatu*</w:t>
            </w:r>
          </w:p>
        </w:tc>
        <w:tc>
          <w:tcPr>
            <w:tcW w:type="dxa" w:w="1077"/>
          </w:tcPr>
          <w:p>
            <w:pPr>
              <w:spacing w:after="20"/>
            </w:pPr>
            <w:r/>
            <w:r>
              <w:rPr>
                <w:b w:val="0"/>
                <w:sz w:val="16"/>
              </w:rPr>
              <w:t>podział etatu*</w:t>
            </w:r>
          </w:p>
        </w:tc>
        <w:tc>
          <w:tcPr>
            <w:tcW w:type="dxa" w:w="1247"/>
          </w:tcPr>
          <w:p>
            <w:pPr>
              <w:spacing w:after="20"/>
            </w:pPr>
            <w:r/>
            <w:r>
              <w:rPr>
                <w:b w:val="0"/>
                <w:sz w:val="16"/>
              </w:rPr>
              <w:t>podział etatu*</w:t>
            </w:r>
          </w:p>
        </w:tc>
        <w:tc>
          <w:tcPr>
            <w:tcW w:type="dxa" w:w="1984"/>
          </w:tcPr>
          <w:p>
            <w:pPr>
              <w:spacing w:after="20"/>
            </w:pPr>
            <w:r/>
            <w:r>
              <w:rPr>
                <w:b w:val="0"/>
                <w:sz w:val="16"/>
              </w:rPr>
              <w:t>w Z9 tylko ground truth, bez oceny alertów i bez podpisu odbioru</w:t>
            </w:r>
          </w:p>
        </w:tc>
      </w:tr>
      <w:tr>
        <w:tc>
          <w:tcPr>
            <w:tcW w:type="dxa" w:w="2608"/>
          </w:tcPr>
          <w:p>
            <w:pPr>
              <w:spacing w:after="20"/>
            </w:pPr>
            <w:r/>
            <w:r>
              <w:rPr>
                <w:b w:val="0"/>
                <w:sz w:val="16"/>
              </w:rPr>
              <w:t>Backend/Full-Stack Developer (nowa osoba)</w:t>
            </w:r>
          </w:p>
        </w:tc>
        <w:tc>
          <w:tcPr>
            <w:tcW w:type="dxa" w:w="1474"/>
          </w:tcPr>
          <w:p>
            <w:pPr>
              <w:spacing w:after="20"/>
            </w:pPr>
            <w:r/>
            <w:r>
              <w:rPr>
                <w:b w:val="0"/>
                <w:sz w:val="16"/>
              </w:rPr>
              <w:t>1,0 etatu, 6 mc (M13-M18)</w:t>
            </w:r>
          </w:p>
        </w:tc>
        <w:tc>
          <w:tcPr>
            <w:tcW w:type="dxa" w:w="1247"/>
          </w:tcPr>
          <w:p>
            <w:pPr>
              <w:spacing w:after="20"/>
            </w:pPr>
            <w:r/>
            <w:r>
              <w:rPr>
                <w:b w:val="0"/>
                <w:sz w:val="16"/>
              </w:rPr>
              <w:t>1,0 etatu, 9 mc (M19-M27)</w:t>
            </w:r>
          </w:p>
        </w:tc>
        <w:tc>
          <w:tcPr>
            <w:tcW w:type="dxa" w:w="1077"/>
          </w:tcPr>
          <w:p>
            <w:pPr>
              <w:spacing w:after="20"/>
            </w:pPr>
            <w:r/>
          </w:p>
        </w:tc>
        <w:tc>
          <w:tcPr>
            <w:tcW w:type="dxa" w:w="1247"/>
          </w:tcPr>
          <w:p>
            <w:pPr>
              <w:spacing w:after="20"/>
            </w:pPr>
            <w:r/>
            <w:r>
              <w:rPr>
                <w:b w:val="0"/>
                <w:sz w:val="16"/>
              </w:rPr>
              <w:t>1,0 etatu, 3 mc (M28-M30)</w:t>
            </w:r>
          </w:p>
        </w:tc>
        <w:tc>
          <w:tcPr>
            <w:tcW w:type="dxa" w:w="1984"/>
          </w:tcPr>
          <w:p>
            <w:pPr>
              <w:spacing w:after="20"/>
            </w:pPr>
            <w:r/>
            <w:r>
              <w:rPr>
                <w:b w:val="0"/>
                <w:sz w:val="16"/>
              </w:rPr>
              <w:t>Z6 i Z9 według przyjętego podziału 9 + 3 mc, koszt łączny bez zmian</w:t>
            </w:r>
          </w:p>
        </w:tc>
      </w:tr>
      <w:tr>
        <w:tc>
          <w:tcPr>
            <w:tcW w:type="dxa" w:w="2608"/>
          </w:tcPr>
          <w:p>
            <w:pPr>
              <w:spacing w:after="20"/>
            </w:pPr>
            <w:r/>
            <w:r>
              <w:rPr>
                <w:b w:val="0"/>
                <w:sz w:val="16"/>
              </w:rPr>
              <w:t>Anotatorzy, 3 osoby (nowe)</w:t>
            </w:r>
          </w:p>
        </w:tc>
        <w:tc>
          <w:tcPr>
            <w:tcW w:type="dxa" w:w="1474"/>
          </w:tcPr>
          <w:p>
            <w:pPr>
              <w:spacing w:after="20"/>
            </w:pPr>
            <w:r/>
            <w:r>
              <w:rPr>
                <w:b w:val="0"/>
                <w:sz w:val="16"/>
              </w:rPr>
              <w:t xml:space="preserve">1,0 etatu każdy, 10 mc </w:t>
            </w:r>
            <w:r>
              <w:rPr>
                <w:b w:val="0"/>
                <w:sz w:val="16"/>
                <w:highlight w:val="yellow"/>
              </w:rPr>
              <w:t>M9-M18</w:t>
            </w:r>
          </w:p>
        </w:tc>
        <w:tc>
          <w:tcPr>
            <w:tcW w:type="dxa" w:w="1247"/>
          </w:tcPr>
          <w:p>
            <w:pPr>
              <w:spacing w:after="20"/>
            </w:pPr>
            <w:r/>
          </w:p>
        </w:tc>
        <w:tc>
          <w:tcPr>
            <w:tcW w:type="dxa" w:w="1077"/>
          </w:tcPr>
          <w:p>
            <w:pPr>
              <w:spacing w:after="20"/>
            </w:pPr>
            <w:r/>
          </w:p>
        </w:tc>
        <w:tc>
          <w:tcPr>
            <w:tcW w:type="dxa" w:w="1247"/>
          </w:tcPr>
          <w:p>
            <w:pPr>
              <w:spacing w:after="20"/>
            </w:pPr>
            <w:r/>
          </w:p>
        </w:tc>
        <w:tc>
          <w:tcPr>
            <w:tcW w:type="dxa" w:w="1984"/>
          </w:tcPr>
          <w:p>
            <w:pPr>
              <w:spacing w:after="20"/>
            </w:pPr>
            <w:r/>
            <w:r>
              <w:rPr>
                <w:b w:val="0"/>
                <w:sz w:val="16"/>
              </w:rPr>
              <w:t>umowa zlecenia, personel Everest11</w:t>
            </w:r>
          </w:p>
        </w:tc>
      </w:tr>
    </w:tbl>
    <w:p/>
    <w:p>
      <w:pPr>
        <w:spacing w:after="60"/>
      </w:pPr>
      <w:r>
        <w:rPr>
          <w:b w:val="0"/>
        </w:rPr>
        <w:t>* Dla sześciu stanowisk Everest11 budżet dzieli 12 miesięcy fazy prac rozwojowych na trzy równe części (Z6, Z7, Z9). Ekspert w uwagach 36 i 37 pyta o rzeczywisty podział. Opisy zadań podają zakres czynności bez liczby miesięcy i odsyłają do budżetu. Decyzja o rzeczywistym podziale należy do bloku budżetowego (patrz Aneks C, pozycja 6).</w:t>
      </w:r>
    </w:p>
    <w:p>
      <w:r>
        <w:br w:type="page"/>
      </w:r>
    </w:p>
    <w:p>
      <w:pPr>
        <w:pStyle w:val="Heading1"/>
      </w:pPr>
      <w:r>
        <w:t>Aneks B. Pokrycie uwag eksperta w polach zadań i kamieni milowych</w:t>
      </w:r>
    </w:p>
    <w:tbl>
      <w:tblPr>
        <w:tblStyle w:val="TableGrid"/>
        <w:tblW w:type="auto" w:w="0"/>
        <w:jc w:val="center"/>
        <w:tblLook w:firstColumn="1" w:firstRow="1" w:lastColumn="0" w:lastRow="0" w:noHBand="0" w:noVBand="1" w:val="04A0"/>
      </w:tblPr>
      <w:tblGrid>
        <w:gridCol w:w="3213"/>
        <w:gridCol w:w="3213"/>
        <w:gridCol w:w="3213"/>
      </w:tblGrid>
      <w:tr>
        <w:tc>
          <w:tcPr>
            <w:tcW w:type="dxa" w:w="1361"/>
            <w:shd w:val="clear" w:color="auto" w:fill="D9E2F3"/>
          </w:tcPr>
          <w:p>
            <w:pPr>
              <w:spacing w:after="20"/>
            </w:pPr>
            <w:r/>
            <w:r>
              <w:rPr>
                <w:b/>
                <w:sz w:val="17"/>
              </w:rPr>
              <w:t>Uwaga</w:t>
            </w:r>
          </w:p>
        </w:tc>
        <w:tc>
          <w:tcPr>
            <w:tcW w:type="dxa" w:w="3515"/>
            <w:shd w:val="clear" w:color="auto" w:fill="D9E2F3"/>
          </w:tcPr>
          <w:p>
            <w:pPr>
              <w:spacing w:after="20"/>
            </w:pPr>
            <w:r/>
            <w:r>
              <w:rPr>
                <w:b/>
                <w:sz w:val="17"/>
              </w:rPr>
              <w:t>Treść w skrócie</w:t>
            </w:r>
          </w:p>
        </w:tc>
        <w:tc>
          <w:tcPr>
            <w:tcW w:type="dxa" w:w="4762"/>
            <w:shd w:val="clear" w:color="auto" w:fill="D9E2F3"/>
          </w:tcPr>
          <w:p>
            <w:pPr>
              <w:spacing w:after="20"/>
            </w:pPr>
            <w:r/>
            <w:r>
              <w:rPr>
                <w:b/>
                <w:sz w:val="17"/>
              </w:rPr>
              <w:t>Gdzie rozwiązana</w:t>
            </w:r>
          </w:p>
        </w:tc>
      </w:tr>
      <w:tr>
        <w:tc>
          <w:tcPr>
            <w:tcW w:type="dxa" w:w="1361"/>
          </w:tcPr>
          <w:p>
            <w:pPr>
              <w:spacing w:after="20"/>
            </w:pPr>
            <w:r/>
            <w:r>
              <w:rPr>
                <w:b w:val="0"/>
                <w:sz w:val="17"/>
              </w:rPr>
              <w:t>K3-1</w:t>
            </w:r>
          </w:p>
        </w:tc>
        <w:tc>
          <w:tcPr>
            <w:tcW w:type="dxa" w:w="3515"/>
          </w:tcPr>
          <w:p>
            <w:pPr>
              <w:spacing w:after="20"/>
            </w:pPr>
            <w:r/>
            <w:r>
              <w:rPr>
                <w:b w:val="0"/>
                <w:sz w:val="17"/>
              </w:rPr>
              <w:t>Opis szczegółowy ma odpowiadać zakresowi i metodzie dla kategorii prac</w:t>
            </w:r>
          </w:p>
        </w:tc>
        <w:tc>
          <w:tcPr>
            <w:tcW w:type="dxa" w:w="4762"/>
          </w:tcPr>
          <w:p>
            <w:pPr>
              <w:spacing w:after="20"/>
            </w:pPr>
            <w:r/>
            <w:r>
              <w:rPr>
                <w:b w:val="0"/>
                <w:sz w:val="17"/>
              </w:rPr>
              <w:t>Wszystkie zadania: opis zaczyna się od problemu i charakteru prac, potem metoda, uzasadnienie, powiązania</w:t>
            </w:r>
          </w:p>
        </w:tc>
      </w:tr>
      <w:tr>
        <w:tc>
          <w:tcPr>
            <w:tcW w:type="dxa" w:w="1361"/>
          </w:tcPr>
          <w:p>
            <w:pPr>
              <w:spacing w:after="20"/>
            </w:pPr>
            <w:r/>
            <w:r>
              <w:rPr>
                <w:b w:val="0"/>
                <w:sz w:val="17"/>
              </w:rPr>
              <w:t>K3-2</w:t>
            </w:r>
          </w:p>
        </w:tc>
        <w:tc>
          <w:tcPr>
            <w:tcW w:type="dxa" w:w="3515"/>
          </w:tcPr>
          <w:p>
            <w:pPr>
              <w:spacing w:after="20"/>
            </w:pPr>
            <w:r/>
            <w:r>
              <w:rPr>
                <w:b w:val="0"/>
                <w:sz w:val="17"/>
              </w:rPr>
              <w:t>Z1: jaka nowa wiedza powstanie</w:t>
            </w:r>
          </w:p>
        </w:tc>
        <w:tc>
          <w:tcPr>
            <w:tcW w:type="dxa" w:w="4762"/>
          </w:tcPr>
          <w:p>
            <w:pPr>
              <w:spacing w:after="20"/>
            </w:pPr>
            <w:r/>
            <w:r>
              <w:rPr>
                <w:b w:val="0"/>
                <w:sz w:val="17"/>
              </w:rPr>
              <w:t>Z1: trzy obszary nowej wiedzy, hipotezy H1 i H2, eksperyment kontrolowany</w:t>
            </w:r>
          </w:p>
        </w:tc>
      </w:tr>
      <w:tr>
        <w:tc>
          <w:tcPr>
            <w:tcW w:type="dxa" w:w="1361"/>
          </w:tcPr>
          <w:p>
            <w:pPr>
              <w:spacing w:after="20"/>
            </w:pPr>
            <w:r/>
            <w:r>
              <w:rPr>
                <w:b w:val="0"/>
                <w:sz w:val="17"/>
              </w:rPr>
              <w:t>K3-3</w:t>
            </w:r>
          </w:p>
        </w:tc>
        <w:tc>
          <w:tcPr>
            <w:tcW w:type="dxa" w:w="3515"/>
          </w:tcPr>
          <w:p>
            <w:pPr>
              <w:spacing w:after="20"/>
            </w:pPr>
            <w:r/>
            <w:r>
              <w:rPr>
                <w:b w:val="0"/>
                <w:sz w:val="17"/>
              </w:rPr>
              <w:t>Z2: rozdzielić badania od czynności technicznych</w:t>
            </w:r>
          </w:p>
        </w:tc>
        <w:tc>
          <w:tcPr>
            <w:tcW w:type="dxa" w:w="4762"/>
          </w:tcPr>
          <w:p>
            <w:pPr>
              <w:spacing w:after="20"/>
            </w:pPr>
            <w:r/>
            <w:r>
              <w:rPr>
                <w:b w:val="0"/>
                <w:sz w:val="17"/>
              </w:rPr>
              <w:t>Z2: prace badawcze 1-5, osobno czynności techniczne i podwykonawca</w:t>
            </w:r>
          </w:p>
        </w:tc>
      </w:tr>
      <w:tr>
        <w:tc>
          <w:tcPr>
            <w:tcW w:type="dxa" w:w="1361"/>
          </w:tcPr>
          <w:p>
            <w:pPr>
              <w:spacing w:after="20"/>
            </w:pPr>
            <w:r/>
            <w:r>
              <w:rPr>
                <w:b w:val="0"/>
                <w:sz w:val="17"/>
              </w:rPr>
              <w:t>K3-4</w:t>
            </w:r>
          </w:p>
        </w:tc>
        <w:tc>
          <w:tcPr>
            <w:tcW w:type="dxa" w:w="3515"/>
          </w:tcPr>
          <w:p>
            <w:pPr>
              <w:spacing w:after="20"/>
            </w:pPr>
            <w:r/>
            <w:r>
              <w:rPr>
                <w:b w:val="0"/>
                <w:sz w:val="17"/>
              </w:rPr>
              <w:t>Z2: struktura zbioru i podział danych</w:t>
            </w:r>
          </w:p>
        </w:tc>
        <w:tc>
          <w:tcPr>
            <w:tcW w:type="dxa" w:w="4762"/>
          </w:tcPr>
          <w:p>
            <w:pPr>
              <w:spacing w:after="20"/>
            </w:pPr>
            <w:r/>
            <w:r>
              <w:rPr>
                <w:b w:val="0"/>
                <w:sz w:val="17"/>
              </w:rPr>
              <w:t>Z2: opis i parametry, KM-Z2</w:t>
            </w:r>
          </w:p>
        </w:tc>
      </w:tr>
      <w:tr>
        <w:tc>
          <w:tcPr>
            <w:tcW w:type="dxa" w:w="1361"/>
          </w:tcPr>
          <w:p>
            <w:pPr>
              <w:spacing w:after="20"/>
            </w:pPr>
            <w:r/>
            <w:r>
              <w:rPr>
                <w:b w:val="0"/>
                <w:sz w:val="17"/>
              </w:rPr>
              <w:t>K3-5</w:t>
            </w:r>
          </w:p>
        </w:tc>
        <w:tc>
          <w:tcPr>
            <w:tcW w:type="dxa" w:w="3515"/>
          </w:tcPr>
          <w:p>
            <w:pPr>
              <w:spacing w:after="20"/>
            </w:pPr>
            <w:r/>
            <w:r>
              <w:rPr>
                <w:b w:val="0"/>
                <w:sz w:val="17"/>
              </w:rPr>
              <w:t>Z2: procedura kappa, losowanie, konsensus, reanotacja</w:t>
            </w:r>
          </w:p>
        </w:tc>
        <w:tc>
          <w:tcPr>
            <w:tcW w:type="dxa" w:w="4762"/>
          </w:tcPr>
          <w:p>
            <w:pPr>
              <w:spacing w:after="20"/>
            </w:pPr>
            <w:r/>
            <w:r>
              <w:rPr>
                <w:b w:val="0"/>
                <w:sz w:val="17"/>
              </w:rPr>
              <w:t>Z2: opis, akapit o etykietowaniu i zgodności anotacji</w:t>
            </w:r>
          </w:p>
        </w:tc>
      </w:tr>
      <w:tr>
        <w:tc>
          <w:tcPr>
            <w:tcW w:type="dxa" w:w="1361"/>
          </w:tcPr>
          <w:p>
            <w:pPr>
              <w:spacing w:after="20"/>
            </w:pPr>
            <w:r/>
            <w:r>
              <w:rPr>
                <w:b w:val="0"/>
                <w:sz w:val="17"/>
              </w:rPr>
              <w:t>K3-6</w:t>
            </w:r>
          </w:p>
        </w:tc>
        <w:tc>
          <w:tcPr>
            <w:tcW w:type="dxa" w:w="3515"/>
          </w:tcPr>
          <w:p>
            <w:pPr>
              <w:spacing w:after="20"/>
            </w:pPr>
            <w:r/>
            <w:r>
              <w:rPr>
                <w:b w:val="0"/>
                <w:sz w:val="17"/>
              </w:rPr>
              <w:t>Z3: stanowisko laboratoryjne jako badania przemysłowe</w:t>
            </w:r>
          </w:p>
        </w:tc>
        <w:tc>
          <w:tcPr>
            <w:tcW w:type="dxa" w:w="4762"/>
          </w:tcPr>
          <w:p>
            <w:pPr>
              <w:spacing w:after="20"/>
            </w:pPr>
            <w:r/>
            <w:r>
              <w:rPr>
                <w:b w:val="0"/>
                <w:sz w:val="17"/>
              </w:rPr>
              <w:t>Z3: art. 2 pkt 85 rozporządzenia 651/2014, uzasadnienie potrzeby stanowiska</w:t>
            </w:r>
          </w:p>
        </w:tc>
      </w:tr>
      <w:tr>
        <w:tc>
          <w:tcPr>
            <w:tcW w:type="dxa" w:w="1361"/>
          </w:tcPr>
          <w:p>
            <w:pPr>
              <w:spacing w:after="20"/>
            </w:pPr>
            <w:r/>
            <w:r>
              <w:rPr>
                <w:b w:val="0"/>
                <w:sz w:val="17"/>
              </w:rPr>
              <w:t>K3-7</w:t>
            </w:r>
          </w:p>
        </w:tc>
        <w:tc>
          <w:tcPr>
            <w:tcW w:type="dxa" w:w="3515"/>
          </w:tcPr>
          <w:p>
            <w:pPr>
              <w:spacing w:after="20"/>
            </w:pPr>
            <w:r/>
            <w:r>
              <w:rPr>
                <w:b w:val="0"/>
                <w:sz w:val="17"/>
              </w:rPr>
              <w:t>Z4: dlaczego prace rozwojowe, a nie rutyna IT</w:t>
            </w:r>
          </w:p>
        </w:tc>
        <w:tc>
          <w:tcPr>
            <w:tcW w:type="dxa" w:w="4762"/>
          </w:tcPr>
          <w:p>
            <w:pPr>
              <w:spacing w:after="20"/>
            </w:pPr>
            <w:r/>
            <w:r>
              <w:rPr>
                <w:b w:val="0"/>
                <w:sz w:val="17"/>
              </w:rPr>
              <w:t>Z4: opis, trzy niepewności, badanie ablacyjne, wartość bazowa</w:t>
            </w:r>
          </w:p>
        </w:tc>
      </w:tr>
      <w:tr>
        <w:tc>
          <w:tcPr>
            <w:tcW w:type="dxa" w:w="1361"/>
          </w:tcPr>
          <w:p>
            <w:pPr>
              <w:spacing w:after="20"/>
            </w:pPr>
            <w:r/>
            <w:r>
              <w:rPr>
                <w:b w:val="0"/>
                <w:sz w:val="17"/>
              </w:rPr>
              <w:t>K3-8</w:t>
            </w:r>
          </w:p>
        </w:tc>
        <w:tc>
          <w:tcPr>
            <w:tcW w:type="dxa" w:w="3515"/>
          </w:tcPr>
          <w:p>
            <w:pPr>
              <w:spacing w:after="20"/>
            </w:pPr>
            <w:r/>
            <w:r>
              <w:rPr>
                <w:b w:val="0"/>
                <w:sz w:val="17"/>
              </w:rPr>
              <w:t>Z6: rozdzielić prace rozwojowe od standardowej integracji</w:t>
            </w:r>
          </w:p>
        </w:tc>
        <w:tc>
          <w:tcPr>
            <w:tcW w:type="dxa" w:w="4762"/>
          </w:tcPr>
          <w:p>
            <w:pPr>
              <w:spacing w:after="20"/>
            </w:pPr>
            <w:r/>
            <w:r>
              <w:rPr>
                <w:b w:val="0"/>
                <w:sz w:val="17"/>
              </w:rPr>
              <w:t>Z6: wykaz prac poza zakresem B+R i poza kosztami, trzy niepewności</w:t>
            </w:r>
          </w:p>
        </w:tc>
      </w:tr>
      <w:tr>
        <w:tc>
          <w:tcPr>
            <w:tcW w:type="dxa" w:w="1361"/>
          </w:tcPr>
          <w:p>
            <w:pPr>
              <w:spacing w:after="20"/>
            </w:pPr>
            <w:r/>
            <w:r>
              <w:rPr>
                <w:b w:val="0"/>
                <w:sz w:val="17"/>
              </w:rPr>
              <w:t>K3-9</w:t>
            </w:r>
          </w:p>
        </w:tc>
        <w:tc>
          <w:tcPr>
            <w:tcW w:type="dxa" w:w="3515"/>
          </w:tcPr>
          <w:p>
            <w:pPr>
              <w:spacing w:after="20"/>
            </w:pPr>
            <w:r/>
            <w:r>
              <w:rPr>
                <w:b w:val="0"/>
                <w:sz w:val="17"/>
              </w:rPr>
              <w:t>Czas na analizę, korekty i ponowną walidację w Z8 i Z9</w:t>
            </w:r>
          </w:p>
        </w:tc>
        <w:tc>
          <w:tcPr>
            <w:tcW w:type="dxa" w:w="4762"/>
          </w:tcPr>
          <w:p>
            <w:pPr>
              <w:spacing w:after="20"/>
            </w:pPr>
            <w:r/>
            <w:r>
              <w:rPr>
                <w:b w:val="0"/>
                <w:sz w:val="17"/>
              </w:rPr>
              <w:t>Z8 i Z9: harmonogram faz A i B, okno korekt w M30, wyjątek dla Z8</w:t>
            </w:r>
          </w:p>
        </w:tc>
      </w:tr>
      <w:tr>
        <w:tc>
          <w:tcPr>
            <w:tcW w:type="dxa" w:w="1361"/>
          </w:tcPr>
          <w:p>
            <w:pPr>
              <w:spacing w:after="20"/>
            </w:pPr>
            <w:r/>
            <w:r>
              <w:rPr>
                <w:b w:val="0"/>
                <w:sz w:val="17"/>
              </w:rPr>
              <w:t>K3-10, K3-39</w:t>
            </w:r>
          </w:p>
        </w:tc>
        <w:tc>
          <w:tcPr>
            <w:tcW w:type="dxa" w:w="3515"/>
          </w:tcPr>
          <w:p>
            <w:pPr>
              <w:spacing w:after="20"/>
            </w:pPr>
            <w:r/>
            <w:r>
              <w:rPr>
                <w:b w:val="0"/>
                <w:sz w:val="17"/>
              </w:rPr>
              <w:t>Anotacja: personel Everest11 czy podwykonawca; kwalifikowalność anotatorów</w:t>
            </w:r>
          </w:p>
        </w:tc>
        <w:tc>
          <w:tcPr>
            <w:tcW w:type="dxa" w:w="4762"/>
          </w:tcPr>
          <w:p>
            <w:pPr>
              <w:spacing w:after="20"/>
            </w:pPr>
            <w:r/>
            <w:r>
              <w:rPr>
                <w:b w:val="0"/>
                <w:sz w:val="17"/>
              </w:rPr>
              <w:t>Z2: trzej anotatorzy w wymiarze 1,0 etatu przez 10 miesięcy, udział w pracach badawczych</w:t>
            </w:r>
          </w:p>
        </w:tc>
      </w:tr>
      <w:tr>
        <w:tc>
          <w:tcPr>
            <w:tcW w:type="dxa" w:w="1361"/>
          </w:tcPr>
          <w:p>
            <w:pPr>
              <w:spacing w:after="20"/>
            </w:pPr>
            <w:r/>
            <w:r>
              <w:rPr>
                <w:b w:val="0"/>
                <w:sz w:val="17"/>
              </w:rPr>
              <w:t>K3-11</w:t>
            </w:r>
          </w:p>
        </w:tc>
        <w:tc>
          <w:tcPr>
            <w:tcW w:type="dxa" w:w="3515"/>
          </w:tcPr>
          <w:p>
            <w:pPr>
              <w:spacing w:after="20"/>
            </w:pPr>
            <w:r/>
            <w:r>
              <w:rPr>
                <w:b w:val="0"/>
                <w:sz w:val="17"/>
              </w:rPr>
              <w:t>Z9: niezależność walidacji, rozdzielenie ról</w:t>
            </w:r>
          </w:p>
        </w:tc>
        <w:tc>
          <w:tcPr>
            <w:tcW w:type="dxa" w:w="4762"/>
          </w:tcPr>
          <w:p>
            <w:pPr>
              <w:spacing w:after="20"/>
            </w:pPr>
            <w:r/>
            <w:r>
              <w:rPr>
                <w:b w:val="0"/>
                <w:sz w:val="17"/>
              </w:rPr>
              <w:t>Z9: ścieżka audytu, rola TSL tylko ground truth, ewaluator niezależny, podpis kierowników</w:t>
            </w:r>
          </w:p>
        </w:tc>
      </w:tr>
      <w:tr>
        <w:tc>
          <w:tcPr>
            <w:tcW w:type="dxa" w:w="1361"/>
          </w:tcPr>
          <w:p>
            <w:pPr>
              <w:spacing w:after="20"/>
            </w:pPr>
            <w:r/>
            <w:r>
              <w:rPr>
                <w:b w:val="0"/>
                <w:sz w:val="17"/>
              </w:rPr>
              <w:t>K3-12</w:t>
            </w:r>
          </w:p>
        </w:tc>
        <w:tc>
          <w:tcPr>
            <w:tcW w:type="dxa" w:w="3515"/>
          </w:tcPr>
          <w:p>
            <w:pPr>
              <w:spacing w:after="20"/>
            </w:pPr>
            <w:r/>
            <w:r>
              <w:rPr>
                <w:b w:val="0"/>
                <w:sz w:val="17"/>
              </w:rPr>
              <w:t>Podział odpowiedzialności PRz i Everest11</w:t>
            </w:r>
          </w:p>
        </w:tc>
        <w:tc>
          <w:tcPr>
            <w:tcW w:type="dxa" w:w="4762"/>
          </w:tcPr>
          <w:p>
            <w:pPr>
              <w:spacing w:after="20"/>
            </w:pPr>
            <w:r/>
            <w:r>
              <w:rPr>
                <w:b w:val="0"/>
                <w:sz w:val="17"/>
              </w:rPr>
              <w:t>Wszystkie zadania: wskazanie wykonawcy; Z9: PRz tylko odbiór metodyczny w Z8</w:t>
            </w:r>
          </w:p>
        </w:tc>
      </w:tr>
      <w:tr>
        <w:tc>
          <w:tcPr>
            <w:tcW w:type="dxa" w:w="1361"/>
          </w:tcPr>
          <w:p>
            <w:pPr>
              <w:spacing w:after="20"/>
            </w:pPr>
            <w:r/>
            <w:r>
              <w:rPr>
                <w:b w:val="0"/>
                <w:sz w:val="17"/>
              </w:rPr>
              <w:t>K3-13, K3-15</w:t>
            </w:r>
          </w:p>
        </w:tc>
        <w:tc>
          <w:tcPr>
            <w:tcW w:type="dxa" w:w="3515"/>
          </w:tcPr>
          <w:p>
            <w:pPr>
              <w:spacing w:after="20"/>
            </w:pPr>
            <w:r/>
            <w:r>
              <w:rPr>
                <w:b w:val="0"/>
                <w:sz w:val="17"/>
              </w:rPr>
              <w:t>Spójność progów, AUC FP32 a po kompresji</w:t>
            </w:r>
          </w:p>
        </w:tc>
        <w:tc>
          <w:tcPr>
            <w:tcW w:type="dxa" w:w="4762"/>
          </w:tcPr>
          <w:p>
            <w:pPr>
              <w:spacing w:after="20"/>
            </w:pPr>
            <w:r/>
            <w:r>
              <w:rPr>
                <w:b w:val="0"/>
                <w:sz w:val="17"/>
              </w:rPr>
              <w:t>KM-Z4 (0,85 FP32), KM-Z7 i KM-Z9 (0,82 po kompresji), mAP 0,75 i 0,72</w:t>
            </w:r>
          </w:p>
        </w:tc>
      </w:tr>
      <w:tr>
        <w:tc>
          <w:tcPr>
            <w:tcW w:type="dxa" w:w="1361"/>
          </w:tcPr>
          <w:p>
            <w:pPr>
              <w:spacing w:after="20"/>
            </w:pPr>
            <w:r/>
            <w:r>
              <w:rPr>
                <w:b w:val="0"/>
                <w:sz w:val="17"/>
              </w:rPr>
              <w:t>K3-14</w:t>
            </w:r>
          </w:p>
        </w:tc>
        <w:tc>
          <w:tcPr>
            <w:tcW w:type="dxa" w:w="3515"/>
          </w:tcPr>
          <w:p>
            <w:pPr>
              <w:spacing w:after="20"/>
            </w:pPr>
            <w:r/>
            <w:r>
              <w:rPr>
                <w:b w:val="0"/>
                <w:sz w:val="17"/>
              </w:rPr>
              <w:t>Kamień Z1 i parametry jednoznaczne</w:t>
            </w:r>
          </w:p>
        </w:tc>
        <w:tc>
          <w:tcPr>
            <w:tcW w:type="dxa" w:w="4762"/>
          </w:tcPr>
          <w:p>
            <w:pPr>
              <w:spacing w:after="20"/>
            </w:pPr>
            <w:r/>
            <w:r>
              <w:rPr>
                <w:b w:val="0"/>
                <w:sz w:val="17"/>
              </w:rPr>
              <w:t>KM-Z1 w SI, pokrycie 83,7 z 88,1 m3</w:t>
            </w:r>
          </w:p>
        </w:tc>
      </w:tr>
      <w:tr>
        <w:tc>
          <w:tcPr>
            <w:tcW w:type="dxa" w:w="1361"/>
          </w:tcPr>
          <w:p>
            <w:pPr>
              <w:spacing w:after="20"/>
            </w:pPr>
            <w:r/>
            <w:r>
              <w:rPr>
                <w:b w:val="0"/>
                <w:sz w:val="17"/>
              </w:rPr>
              <w:t>K3-16, K3-17</w:t>
            </w:r>
          </w:p>
        </w:tc>
        <w:tc>
          <w:tcPr>
            <w:tcW w:type="dxa" w:w="3515"/>
          </w:tcPr>
          <w:p>
            <w:pPr>
              <w:spacing w:after="20"/>
            </w:pPr>
            <w:r/>
            <w:r>
              <w:rPr>
                <w:b w:val="0"/>
                <w:sz w:val="17"/>
              </w:rPr>
              <w:t>Błąd pozycji i 5 Hz w KM-Z9 i po kompresji</w:t>
            </w:r>
          </w:p>
        </w:tc>
        <w:tc>
          <w:tcPr>
            <w:tcW w:type="dxa" w:w="4762"/>
          </w:tcPr>
          <w:p>
            <w:pPr>
              <w:spacing w:after="20"/>
            </w:pPr>
            <w:r/>
            <w:r>
              <w:rPr>
                <w:b w:val="0"/>
                <w:sz w:val="17"/>
              </w:rPr>
              <w:t>KM-Z9 punkty e i f, KM-Z7 punkt 2, KM-Z5 punkt 3</w:t>
            </w:r>
          </w:p>
        </w:tc>
      </w:tr>
      <w:tr>
        <w:tc>
          <w:tcPr>
            <w:tcW w:type="dxa" w:w="1361"/>
          </w:tcPr>
          <w:p>
            <w:pPr>
              <w:spacing w:after="20"/>
            </w:pPr>
            <w:r/>
            <w:r>
              <w:rPr>
                <w:b w:val="0"/>
                <w:sz w:val="17"/>
              </w:rPr>
              <w:t>K3-18, K3-19</w:t>
            </w:r>
          </w:p>
        </w:tc>
        <w:tc>
          <w:tcPr>
            <w:tcW w:type="dxa" w:w="3515"/>
          </w:tcPr>
          <w:p>
            <w:pPr>
              <w:spacing w:after="20"/>
            </w:pPr>
            <w:r/>
            <w:r>
              <w:rPr>
                <w:b w:val="0"/>
                <w:sz w:val="17"/>
              </w:rPr>
              <w:t>Liczba zdarzeń, model walidowany w Z9</w:t>
            </w:r>
          </w:p>
        </w:tc>
        <w:tc>
          <w:tcPr>
            <w:tcW w:type="dxa" w:w="4762"/>
          </w:tcPr>
          <w:p>
            <w:pPr>
              <w:spacing w:after="20"/>
            </w:pPr>
            <w:r/>
            <w:r>
              <w:rPr>
                <w:b w:val="0"/>
                <w:sz w:val="17"/>
              </w:rPr>
              <w:t>KM-Z2, KM-Z4, KM-Z9 punkt a</w:t>
            </w:r>
          </w:p>
        </w:tc>
      </w:tr>
      <w:tr>
        <w:tc>
          <w:tcPr>
            <w:tcW w:type="dxa" w:w="1361"/>
          </w:tcPr>
          <w:p>
            <w:pPr>
              <w:spacing w:after="20"/>
            </w:pPr>
            <w:r/>
            <w:r>
              <w:rPr>
                <w:b w:val="0"/>
                <w:sz w:val="17"/>
              </w:rPr>
              <w:t>K3-20</w:t>
            </w:r>
          </w:p>
        </w:tc>
        <w:tc>
          <w:tcPr>
            <w:tcW w:type="dxa" w:w="3515"/>
          </w:tcPr>
          <w:p>
            <w:pPr>
              <w:spacing w:after="20"/>
            </w:pPr>
            <w:r/>
            <w:r>
              <w:rPr>
                <w:b w:val="0"/>
                <w:sz w:val="17"/>
              </w:rPr>
              <w:t>KM-Z6: jakość merytoryczna dokumentów, mianownik eFTI</w:t>
            </w:r>
          </w:p>
        </w:tc>
        <w:tc>
          <w:tcPr>
            <w:tcW w:type="dxa" w:w="4762"/>
          </w:tcPr>
          <w:p>
            <w:pPr>
              <w:spacing w:after="20"/>
            </w:pPr>
            <w:r/>
            <w:r>
              <w:rPr>
                <w:b w:val="0"/>
                <w:sz w:val="17"/>
              </w:rPr>
              <w:t>KM-Z6 punkty 1 i 2</w:t>
            </w:r>
          </w:p>
        </w:tc>
      </w:tr>
      <w:tr>
        <w:tc>
          <w:tcPr>
            <w:tcW w:type="dxa" w:w="1361"/>
          </w:tcPr>
          <w:p>
            <w:pPr>
              <w:spacing w:after="20"/>
            </w:pPr>
            <w:r/>
            <w:r>
              <w:rPr>
                <w:b w:val="0"/>
                <w:sz w:val="17"/>
              </w:rPr>
              <w:t>K3-21, K3-27, K3-28</w:t>
            </w:r>
          </w:p>
        </w:tc>
        <w:tc>
          <w:tcPr>
            <w:tcW w:type="dxa" w:w="3515"/>
          </w:tcPr>
          <w:p>
            <w:pPr>
              <w:spacing w:after="20"/>
            </w:pPr>
            <w:r/>
            <w:r>
              <w:rPr>
                <w:b w:val="0"/>
                <w:sz w:val="17"/>
              </w:rPr>
              <w:t>Warunki no-go, iteracje, moment decyzji, zawężenie</w:t>
            </w:r>
          </w:p>
        </w:tc>
        <w:tc>
          <w:tcPr>
            <w:tcW w:type="dxa" w:w="4762"/>
          </w:tcPr>
          <w:p>
            <w:pPr>
              <w:spacing w:after="20"/>
            </w:pPr>
            <w:r/>
            <w:r>
              <w:rPr>
                <w:b w:val="0"/>
                <w:sz w:val="17"/>
              </w:rPr>
              <w:t>Pole wpływu w każdym kamieniu: wartości graniczne, do 2 iteracji, miesiąc decyzji</w:t>
            </w:r>
          </w:p>
        </w:tc>
      </w:tr>
      <w:tr>
        <w:tc>
          <w:tcPr>
            <w:tcW w:type="dxa" w:w="1361"/>
          </w:tcPr>
          <w:p>
            <w:pPr>
              <w:spacing w:after="20"/>
            </w:pPr>
            <w:r/>
            <w:r>
              <w:rPr>
                <w:b w:val="0"/>
                <w:sz w:val="17"/>
              </w:rPr>
              <w:t>K3-22</w:t>
            </w:r>
          </w:p>
        </w:tc>
        <w:tc>
          <w:tcPr>
            <w:tcW w:type="dxa" w:w="3515"/>
          </w:tcPr>
          <w:p>
            <w:pPr>
              <w:spacing w:after="20"/>
            </w:pPr>
            <w:r/>
            <w:r>
              <w:rPr>
                <w:b w:val="0"/>
                <w:sz w:val="17"/>
              </w:rPr>
              <w:t>Terminy kamieni a punkty decyzyjne</w:t>
            </w:r>
          </w:p>
        </w:tc>
        <w:tc>
          <w:tcPr>
            <w:tcW w:type="dxa" w:w="4762"/>
          </w:tcPr>
          <w:p>
            <w:pPr>
              <w:spacing w:after="20"/>
            </w:pPr>
            <w:r/>
            <w:r>
              <w:rPr>
                <w:b w:val="0"/>
                <w:sz w:val="17"/>
              </w:rPr>
              <w:t>KM-Z3 z punktem kontrolnym M10, KM-Z8 z wersją RC w M26</w:t>
            </w:r>
          </w:p>
        </w:tc>
      </w:tr>
      <w:tr>
        <w:tc>
          <w:tcPr>
            <w:tcW w:type="dxa" w:w="1361"/>
          </w:tcPr>
          <w:p>
            <w:pPr>
              <w:spacing w:after="20"/>
            </w:pPr>
            <w:r/>
            <w:r>
              <w:rPr>
                <w:b w:val="0"/>
                <w:sz w:val="17"/>
              </w:rPr>
              <w:t>K3-33, K3-38, K3-40</w:t>
            </w:r>
          </w:p>
        </w:tc>
        <w:tc>
          <w:tcPr>
            <w:tcW w:type="dxa" w:w="3515"/>
          </w:tcPr>
          <w:p>
            <w:pPr>
              <w:spacing w:after="20"/>
            </w:pPr>
            <w:r/>
            <w:r>
              <w:rPr>
                <w:b w:val="0"/>
                <w:sz w:val="17"/>
              </w:rPr>
              <w:t>Funkcje kierownicze, charakter czynności IT, IoT, backend, cyber; EPO w Z9</w:t>
            </w:r>
          </w:p>
        </w:tc>
        <w:tc>
          <w:tcPr>
            <w:tcW w:type="dxa" w:w="4762"/>
          </w:tcPr>
          <w:p>
            <w:pPr>
              <w:spacing w:after="20"/>
            </w:pPr>
            <w:r/>
            <w:r>
              <w:rPr>
                <w:b w:val="0"/>
                <w:sz w:val="17"/>
              </w:rPr>
              <w:t>Opisy Z6, Z7, Z9: zakres wyłącznie B+R, bez utrzymania, montażu i prac prawnych; EPO usunięte z Z9</w:t>
            </w:r>
          </w:p>
        </w:tc>
      </w:tr>
      <w:tr>
        <w:tc>
          <w:tcPr>
            <w:tcW w:type="dxa" w:w="1361"/>
          </w:tcPr>
          <w:p>
            <w:pPr>
              <w:spacing w:after="20"/>
            </w:pPr>
            <w:r/>
            <w:r>
              <w:rPr>
                <w:b w:val="0"/>
                <w:sz w:val="17"/>
              </w:rPr>
              <w:t>K3-36, K3-37</w:t>
            </w:r>
          </w:p>
        </w:tc>
        <w:tc>
          <w:tcPr>
            <w:tcW w:type="dxa" w:w="3515"/>
          </w:tcPr>
          <w:p>
            <w:pPr>
              <w:spacing w:after="20"/>
            </w:pPr>
            <w:r/>
            <w:r>
              <w:rPr>
                <w:b w:val="0"/>
                <w:sz w:val="17"/>
              </w:rPr>
              <w:t>Podział miesięcy między Z6, Z7, Z9</w:t>
            </w:r>
          </w:p>
        </w:tc>
        <w:tc>
          <w:tcPr>
            <w:tcW w:type="dxa" w:w="4762"/>
          </w:tcPr>
          <w:p>
            <w:pPr>
              <w:spacing w:after="20"/>
            </w:pPr>
            <w:r/>
            <w:r>
              <w:rPr>
                <w:b w:val="0"/>
                <w:sz w:val="17"/>
              </w:rPr>
              <w:t>Backend 9 + 3 mc; pozostałe stanowiska otwarte (Aneks C, poz. 6)</w:t>
            </w:r>
          </w:p>
        </w:tc>
      </w:tr>
      <w:tr>
        <w:tc>
          <w:tcPr>
            <w:tcW w:type="dxa" w:w="1361"/>
          </w:tcPr>
          <w:p>
            <w:pPr>
              <w:spacing w:after="20"/>
            </w:pPr>
            <w:r/>
            <w:r>
              <w:rPr>
                <w:b w:val="0"/>
                <w:sz w:val="17"/>
              </w:rPr>
              <w:t>K3-43 do K3-46</w:t>
            </w:r>
          </w:p>
        </w:tc>
        <w:tc>
          <w:tcPr>
            <w:tcW w:type="dxa" w:w="3515"/>
          </w:tcPr>
          <w:p>
            <w:pPr>
              <w:spacing w:after="20"/>
            </w:pPr>
            <w:r/>
            <w:r>
              <w:rPr>
                <w:b w:val="0"/>
                <w:sz w:val="17"/>
              </w:rPr>
              <w:t>Podwykonawstwo Z2 i Z9, podział z personelem</w:t>
            </w:r>
          </w:p>
        </w:tc>
        <w:tc>
          <w:tcPr>
            <w:tcW w:type="dxa" w:w="4762"/>
          </w:tcPr>
          <w:p>
            <w:pPr>
              <w:spacing w:after="20"/>
            </w:pPr>
            <w:r/>
            <w:r>
              <w:rPr>
                <w:b w:val="0"/>
                <w:sz w:val="17"/>
              </w:rPr>
              <w:t>Z2 i Z9: podwykonawca tylko montaż, instalacja, demontaż; kalkulacje i oferty w części budżetowej</w:t>
            </w:r>
          </w:p>
        </w:tc>
      </w:tr>
      <w:tr>
        <w:tc>
          <w:tcPr>
            <w:tcW w:type="dxa" w:w="1361"/>
          </w:tcPr>
          <w:p>
            <w:pPr>
              <w:spacing w:after="20"/>
            </w:pPr>
            <w:r/>
            <w:r>
              <w:rPr>
                <w:b w:val="0"/>
                <w:sz w:val="17"/>
              </w:rPr>
              <w:t>K5-3, K5-5, K5-9</w:t>
            </w:r>
          </w:p>
        </w:tc>
        <w:tc>
          <w:tcPr>
            <w:tcW w:type="dxa" w:w="3515"/>
          </w:tcPr>
          <w:p>
            <w:pPr>
              <w:spacing w:after="20"/>
            </w:pPr>
            <w:r/>
            <w:r>
              <w:rPr>
                <w:b w:val="0"/>
                <w:sz w:val="17"/>
              </w:rPr>
              <w:t>Wymiar anotatorów; odpowiedzialność za KM; niezależny nadzór nad PRz</w:t>
            </w:r>
          </w:p>
        </w:tc>
        <w:tc>
          <w:tcPr>
            <w:tcW w:type="dxa" w:w="4762"/>
          </w:tcPr>
          <w:p>
            <w:pPr>
              <w:spacing w:after="20"/>
            </w:pPr>
            <w:r/>
            <w:r>
              <w:rPr>
                <w:b w:val="0"/>
                <w:sz w:val="17"/>
              </w:rPr>
              <w:t>Z2; pole weryfikacji każdego kamienia (kto odpowiada, kto odbiera, kto decyduje, niezależne przeliczenie przez Everest11)</w:t>
            </w:r>
          </w:p>
        </w:tc>
      </w:tr>
    </w:tbl>
    <w:p/>
    <w:p>
      <w:pPr>
        <w:spacing w:after="60"/>
      </w:pPr>
      <w:r>
        <w:rPr>
          <w:b w:val="0"/>
        </w:rPr>
        <w:t>Uwagi dotyczące stawek PRz (K3-41, K3-42), raportów płacowych (K3-35), kosztów aparatury i innych części wniosku nie dotyczą pól zadań i będą w kolejnych blokach prac.</w:t>
      </w:r>
    </w:p>
    <w:p>
      <w:r>
        <w:br w:type="page"/>
      </w:r>
    </w:p>
    <w:p>
      <w:pPr>
        <w:pStyle w:val="Heading1"/>
      </w:pPr>
      <w:r>
        <w:t>Aneks C. Do potwierdzenia przed wklejeniem</w:t>
      </w:r>
    </w:p>
    <w:p>
      <w:pPr>
        <w:pStyle w:val="Heading2"/>
      </w:pPr>
      <w:r>
        <w:t>1. Wartości podświetlone w tekście</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D9E2F3"/>
          </w:tcPr>
          <w:p>
            <w:pPr>
              <w:spacing w:after="20"/>
            </w:pPr>
            <w:r/>
            <w:r>
              <w:rPr>
                <w:b/>
                <w:sz w:val="17"/>
              </w:rPr>
              <w:t>Zadanie</w:t>
            </w:r>
          </w:p>
        </w:tc>
        <w:tc>
          <w:tcPr>
            <w:tcW w:type="dxa" w:w="2268"/>
            <w:shd w:val="clear" w:color="auto" w:fill="D9E2F3"/>
          </w:tcPr>
          <w:p>
            <w:pPr>
              <w:spacing w:after="20"/>
            </w:pPr>
            <w:r/>
            <w:r>
              <w:rPr>
                <w:b/>
                <w:sz w:val="17"/>
              </w:rPr>
              <w:t>Pole</w:t>
            </w:r>
          </w:p>
        </w:tc>
        <w:tc>
          <w:tcPr>
            <w:tcW w:type="dxa" w:w="6236"/>
            <w:shd w:val="clear" w:color="auto" w:fill="D9E2F3"/>
          </w:tcPr>
          <w:p>
            <w:pPr>
              <w:spacing w:after="20"/>
            </w:pPr>
            <w:r/>
            <w:r>
              <w:rPr>
                <w:b/>
                <w:sz w:val="17"/>
              </w:rPr>
              <w:t>Wartość</w:t>
            </w:r>
          </w:p>
        </w:tc>
      </w:tr>
      <w:tr>
        <w:tc>
          <w:tcPr>
            <w:tcW w:type="dxa" w:w="1134"/>
          </w:tcPr>
          <w:p>
            <w:pPr>
              <w:spacing w:after="20"/>
            </w:pPr>
            <w:r/>
            <w:r>
              <w:rPr>
                <w:b w:val="0"/>
                <w:sz w:val="17"/>
              </w:rPr>
              <w:t>Z1</w:t>
            </w:r>
          </w:p>
        </w:tc>
        <w:tc>
          <w:tcPr>
            <w:tcW w:type="dxa" w:w="2268"/>
          </w:tcPr>
          <w:p>
            <w:pPr>
              <w:spacing w:after="20"/>
            </w:pPr>
            <w:r/>
            <w:r>
              <w:rPr>
                <w:b w:val="0"/>
                <w:sz w:val="17"/>
              </w:rPr>
              <w:t>Opis</w:t>
            </w:r>
          </w:p>
        </w:tc>
        <w:tc>
          <w:tcPr>
            <w:tcW w:type="dxa" w:w="6236"/>
          </w:tcPr>
          <w:p>
            <w:pPr>
              <w:spacing w:after="20"/>
            </w:pPr>
            <w:r/>
            <w:r>
              <w:rPr>
                <w:b w:val="0"/>
                <w:sz w:val="17"/>
              </w:rPr>
              <w:t>co najmniej 200 serii</w:t>
            </w:r>
          </w:p>
        </w:tc>
      </w:tr>
      <w:tr>
        <w:tc>
          <w:tcPr>
            <w:tcW w:type="dxa" w:w="1134"/>
          </w:tcPr>
          <w:p>
            <w:pPr>
              <w:spacing w:after="20"/>
            </w:pPr>
            <w:r/>
            <w:r>
              <w:rPr>
                <w:b w:val="0"/>
                <w:sz w:val="17"/>
              </w:rPr>
              <w:t>Z1</w:t>
            </w:r>
          </w:p>
        </w:tc>
        <w:tc>
          <w:tcPr>
            <w:tcW w:type="dxa" w:w="2268"/>
          </w:tcPr>
          <w:p>
            <w:pPr>
              <w:spacing w:after="20"/>
            </w:pPr>
            <w:r/>
            <w:r>
              <w:rPr>
                <w:b w:val="0"/>
                <w:sz w:val="17"/>
              </w:rPr>
              <w:t>Opis</w:t>
            </w:r>
          </w:p>
        </w:tc>
        <w:tc>
          <w:tcPr>
            <w:tcW w:type="dxa" w:w="6236"/>
          </w:tcPr>
          <w:p>
            <w:pPr>
              <w:spacing w:after="20"/>
            </w:pPr>
            <w:r/>
            <w:r>
              <w:rPr>
                <w:b w:val="0"/>
                <w:sz w:val="17"/>
              </w:rPr>
              <w:t>M1-M3</w:t>
            </w:r>
          </w:p>
        </w:tc>
      </w:tr>
      <w:tr>
        <w:tc>
          <w:tcPr>
            <w:tcW w:type="dxa" w:w="1134"/>
          </w:tcPr>
          <w:p>
            <w:pPr>
              <w:spacing w:after="20"/>
            </w:pPr>
            <w:r/>
            <w:r>
              <w:rPr>
                <w:b w:val="0"/>
                <w:sz w:val="17"/>
              </w:rPr>
              <w:t>Z1</w:t>
            </w:r>
          </w:p>
        </w:tc>
        <w:tc>
          <w:tcPr>
            <w:tcW w:type="dxa" w:w="2268"/>
          </w:tcPr>
          <w:p>
            <w:pPr>
              <w:spacing w:after="20"/>
            </w:pPr>
            <w:r/>
            <w:r>
              <w:rPr>
                <w:b w:val="0"/>
                <w:sz w:val="17"/>
              </w:rPr>
              <w:t>Opis</w:t>
            </w:r>
          </w:p>
        </w:tc>
        <w:tc>
          <w:tcPr>
            <w:tcW w:type="dxa" w:w="6236"/>
          </w:tcPr>
          <w:p>
            <w:pPr>
              <w:spacing w:after="20"/>
            </w:pPr>
            <w:r/>
            <w:r>
              <w:rPr>
                <w:b w:val="0"/>
                <w:sz w:val="17"/>
              </w:rPr>
              <w:t>M4-M6</w:t>
            </w:r>
          </w:p>
        </w:tc>
      </w:tr>
      <w:tr>
        <w:tc>
          <w:tcPr>
            <w:tcW w:type="dxa" w:w="1134"/>
          </w:tcPr>
          <w:p>
            <w:pPr>
              <w:spacing w:after="20"/>
            </w:pPr>
            <w:r/>
            <w:r>
              <w:rPr>
                <w:b w:val="0"/>
                <w:sz w:val="17"/>
              </w:rPr>
              <w:t>Z1</w:t>
            </w:r>
          </w:p>
        </w:tc>
        <w:tc>
          <w:tcPr>
            <w:tcW w:type="dxa" w:w="2268"/>
          </w:tcPr>
          <w:p>
            <w:pPr>
              <w:spacing w:after="20"/>
            </w:pPr>
            <w:r/>
            <w:r>
              <w:rPr>
                <w:b w:val="0"/>
                <w:sz w:val="17"/>
              </w:rPr>
              <w:t>Opis</w:t>
            </w:r>
          </w:p>
        </w:tc>
        <w:tc>
          <w:tcPr>
            <w:tcW w:type="dxa" w:w="6236"/>
          </w:tcPr>
          <w:p>
            <w:pPr>
              <w:spacing w:after="20"/>
            </w:pPr>
            <w:r/>
            <w:r>
              <w:rPr>
                <w:b w:val="0"/>
                <w:sz w:val="17"/>
              </w:rPr>
              <w:t>M7-M9</w:t>
            </w:r>
          </w:p>
        </w:tc>
      </w:tr>
      <w:tr>
        <w:tc>
          <w:tcPr>
            <w:tcW w:type="dxa" w:w="1134"/>
          </w:tcPr>
          <w:p>
            <w:pPr>
              <w:spacing w:after="20"/>
            </w:pPr>
            <w:r/>
            <w:r>
              <w:rPr>
                <w:b w:val="0"/>
                <w:sz w:val="17"/>
              </w:rPr>
              <w:t>Z1</w:t>
            </w:r>
          </w:p>
        </w:tc>
        <w:tc>
          <w:tcPr>
            <w:tcW w:type="dxa" w:w="2268"/>
          </w:tcPr>
          <w:p>
            <w:pPr>
              <w:spacing w:after="20"/>
            </w:pPr>
            <w:r/>
            <w:r>
              <w:rPr>
                <w:b w:val="0"/>
                <w:sz w:val="17"/>
              </w:rPr>
              <w:t>KM parametry</w:t>
            </w:r>
          </w:p>
        </w:tc>
        <w:tc>
          <w:tcPr>
            <w:tcW w:type="dxa" w:w="6236"/>
          </w:tcPr>
          <w:p>
            <w:pPr>
              <w:spacing w:after="20"/>
            </w:pPr>
            <w:r/>
            <w:r>
              <w:rPr>
                <w:b w:val="0"/>
                <w:sz w:val="17"/>
              </w:rPr>
              <w:t>10%</w:t>
            </w:r>
          </w:p>
        </w:tc>
      </w:tr>
      <w:tr>
        <w:tc>
          <w:tcPr>
            <w:tcW w:type="dxa" w:w="1134"/>
          </w:tcPr>
          <w:p>
            <w:pPr>
              <w:spacing w:after="20"/>
            </w:pPr>
            <w:r/>
            <w:r>
              <w:rPr>
                <w:b w:val="0"/>
                <w:sz w:val="17"/>
              </w:rPr>
              <w:t>Z1</w:t>
            </w:r>
          </w:p>
        </w:tc>
        <w:tc>
          <w:tcPr>
            <w:tcW w:type="dxa" w:w="2268"/>
          </w:tcPr>
          <w:p>
            <w:pPr>
              <w:spacing w:after="20"/>
            </w:pPr>
            <w:r/>
            <w:r>
              <w:rPr>
                <w:b w:val="0"/>
                <w:sz w:val="17"/>
              </w:rPr>
              <w:t>KM weryfikacja</w:t>
            </w:r>
          </w:p>
        </w:tc>
        <w:tc>
          <w:tcPr>
            <w:tcW w:type="dxa" w:w="6236"/>
          </w:tcPr>
          <w:p>
            <w:pPr>
              <w:spacing w:after="20"/>
            </w:pPr>
            <w:r/>
            <w:r>
              <w:rPr>
                <w:b w:val="0"/>
                <w:sz w:val="17"/>
              </w:rPr>
              <w:t>co najmniej 200</w:t>
            </w:r>
          </w:p>
        </w:tc>
      </w:tr>
      <w:tr>
        <w:tc>
          <w:tcPr>
            <w:tcW w:type="dxa" w:w="1134"/>
          </w:tcPr>
          <w:p>
            <w:pPr>
              <w:spacing w:after="20"/>
            </w:pPr>
            <w:r/>
            <w:r>
              <w:rPr>
                <w:b w:val="0"/>
                <w:sz w:val="17"/>
              </w:rPr>
              <w:t>Z1</w:t>
            </w:r>
          </w:p>
        </w:tc>
        <w:tc>
          <w:tcPr>
            <w:tcW w:type="dxa" w:w="2268"/>
          </w:tcPr>
          <w:p>
            <w:pPr>
              <w:spacing w:after="20"/>
            </w:pPr>
            <w:r/>
            <w:r>
              <w:rPr>
                <w:b w:val="0"/>
                <w:sz w:val="17"/>
              </w:rPr>
              <w:t>KM wpływ</w:t>
            </w:r>
          </w:p>
        </w:tc>
        <w:tc>
          <w:tcPr>
            <w:tcW w:type="dxa" w:w="6236"/>
          </w:tcPr>
          <w:p>
            <w:pPr>
              <w:spacing w:after="20"/>
            </w:pPr>
            <w:r/>
            <w:r>
              <w:rPr>
                <w:b w:val="0"/>
                <w:sz w:val="17"/>
              </w:rPr>
              <w:t>85%</w:t>
            </w:r>
          </w:p>
        </w:tc>
      </w:tr>
      <w:tr>
        <w:tc>
          <w:tcPr>
            <w:tcW w:type="dxa" w:w="1134"/>
          </w:tcPr>
          <w:p>
            <w:pPr>
              <w:spacing w:after="20"/>
            </w:pPr>
            <w:r/>
            <w:r>
              <w:rPr>
                <w:b w:val="0"/>
                <w:sz w:val="17"/>
              </w:rPr>
              <w:t>Z2</w:t>
            </w:r>
          </w:p>
        </w:tc>
        <w:tc>
          <w:tcPr>
            <w:tcW w:type="dxa" w:w="2268"/>
          </w:tcPr>
          <w:p>
            <w:pPr>
              <w:spacing w:after="20"/>
            </w:pPr>
            <w:r/>
            <w:r>
              <w:rPr>
                <w:b w:val="0"/>
                <w:sz w:val="17"/>
              </w:rPr>
              <w:t>Zakres</w:t>
            </w:r>
          </w:p>
        </w:tc>
        <w:tc>
          <w:tcPr>
            <w:tcW w:type="dxa" w:w="6236"/>
          </w:tcPr>
          <w:p>
            <w:pPr>
              <w:spacing w:after="20"/>
            </w:pPr>
            <w:r/>
            <w:r>
              <w:rPr>
                <w:b w:val="0"/>
                <w:sz w:val="17"/>
              </w:rPr>
              <w:t>od M9 do M18</w:t>
            </w:r>
          </w:p>
        </w:tc>
      </w:tr>
      <w:tr>
        <w:tc>
          <w:tcPr>
            <w:tcW w:type="dxa" w:w="1134"/>
          </w:tcPr>
          <w:p>
            <w:pPr>
              <w:spacing w:after="20"/>
            </w:pPr>
            <w:r/>
            <w:r>
              <w:rPr>
                <w:b w:val="0"/>
                <w:sz w:val="17"/>
              </w:rPr>
              <w:t>Z2</w:t>
            </w:r>
          </w:p>
        </w:tc>
        <w:tc>
          <w:tcPr>
            <w:tcW w:type="dxa" w:w="2268"/>
          </w:tcPr>
          <w:p>
            <w:pPr>
              <w:spacing w:after="20"/>
            </w:pPr>
            <w:r/>
            <w:r>
              <w:rPr>
                <w:b w:val="0"/>
                <w:sz w:val="17"/>
              </w:rPr>
              <w:t>Opis</w:t>
            </w:r>
          </w:p>
        </w:tc>
        <w:tc>
          <w:tcPr>
            <w:tcW w:type="dxa" w:w="6236"/>
          </w:tcPr>
          <w:p>
            <w:pPr>
              <w:spacing w:after="20"/>
            </w:pPr>
            <w:r/>
            <w:r>
              <w:rPr>
                <w:b w:val="0"/>
                <w:sz w:val="17"/>
              </w:rPr>
              <w:t>8</w:t>
            </w:r>
          </w:p>
        </w:tc>
      </w:tr>
      <w:tr>
        <w:tc>
          <w:tcPr>
            <w:tcW w:type="dxa" w:w="1134"/>
          </w:tcPr>
          <w:p>
            <w:pPr>
              <w:spacing w:after="20"/>
            </w:pPr>
            <w:r/>
            <w:r>
              <w:rPr>
                <w:b w:val="0"/>
                <w:sz w:val="17"/>
              </w:rPr>
              <w:t>Z2</w:t>
            </w:r>
          </w:p>
        </w:tc>
        <w:tc>
          <w:tcPr>
            <w:tcW w:type="dxa" w:w="2268"/>
          </w:tcPr>
          <w:p>
            <w:pPr>
              <w:spacing w:after="20"/>
            </w:pPr>
            <w:r/>
            <w:r>
              <w:rPr>
                <w:b w:val="0"/>
                <w:sz w:val="17"/>
              </w:rPr>
              <w:t>Opis</w:t>
            </w:r>
          </w:p>
        </w:tc>
        <w:tc>
          <w:tcPr>
            <w:tcW w:type="dxa" w:w="6236"/>
          </w:tcPr>
          <w:p>
            <w:pPr>
              <w:spacing w:after="20"/>
            </w:pPr>
            <w:r/>
            <w:r>
              <w:rPr>
                <w:b w:val="0"/>
                <w:sz w:val="17"/>
              </w:rPr>
              <w:t>5-10%</w:t>
            </w:r>
          </w:p>
        </w:tc>
      </w:tr>
      <w:tr>
        <w:tc>
          <w:tcPr>
            <w:tcW w:type="dxa" w:w="1134"/>
          </w:tcPr>
          <w:p>
            <w:pPr>
              <w:spacing w:after="20"/>
            </w:pPr>
            <w:r/>
            <w:r>
              <w:rPr>
                <w:b w:val="0"/>
                <w:sz w:val="17"/>
              </w:rPr>
              <w:t>Z2</w:t>
            </w:r>
          </w:p>
        </w:tc>
        <w:tc>
          <w:tcPr>
            <w:tcW w:type="dxa" w:w="2268"/>
          </w:tcPr>
          <w:p>
            <w:pPr>
              <w:spacing w:after="20"/>
            </w:pPr>
            <w:r/>
            <w:r>
              <w:rPr>
                <w:b w:val="0"/>
                <w:sz w:val="17"/>
              </w:rPr>
              <w:t>Opis</w:t>
            </w:r>
          </w:p>
        </w:tc>
        <w:tc>
          <w:tcPr>
            <w:tcW w:type="dxa" w:w="6236"/>
          </w:tcPr>
          <w:p>
            <w:pPr>
              <w:spacing w:after="20"/>
            </w:pPr>
            <w:r/>
            <w:r>
              <w:rPr>
                <w:b w:val="0"/>
                <w:sz w:val="17"/>
              </w:rPr>
              <w:t>20-40</w:t>
            </w:r>
          </w:p>
        </w:tc>
      </w:tr>
      <w:tr>
        <w:tc>
          <w:tcPr>
            <w:tcW w:type="dxa" w:w="1134"/>
          </w:tcPr>
          <w:p>
            <w:pPr>
              <w:spacing w:after="20"/>
            </w:pPr>
            <w:r/>
            <w:r>
              <w:rPr>
                <w:b w:val="0"/>
                <w:sz w:val="17"/>
              </w:rPr>
              <w:t>Z2</w:t>
            </w:r>
          </w:p>
        </w:tc>
        <w:tc>
          <w:tcPr>
            <w:tcW w:type="dxa" w:w="2268"/>
          </w:tcPr>
          <w:p>
            <w:pPr>
              <w:spacing w:after="20"/>
            </w:pPr>
            <w:r/>
            <w:r>
              <w:rPr>
                <w:b w:val="0"/>
                <w:sz w:val="17"/>
              </w:rPr>
              <w:t>KM wpływ</w:t>
            </w:r>
          </w:p>
        </w:tc>
        <w:tc>
          <w:tcPr>
            <w:tcW w:type="dxa" w:w="6236"/>
          </w:tcPr>
          <w:p>
            <w:pPr>
              <w:spacing w:after="20"/>
            </w:pPr>
            <w:r/>
            <w:r>
              <w:rPr>
                <w:b w:val="0"/>
                <w:sz w:val="17"/>
              </w:rPr>
              <w:t>30</w:t>
            </w:r>
          </w:p>
        </w:tc>
      </w:tr>
      <w:tr>
        <w:tc>
          <w:tcPr>
            <w:tcW w:type="dxa" w:w="1134"/>
          </w:tcPr>
          <w:p>
            <w:pPr>
              <w:spacing w:after="20"/>
            </w:pPr>
            <w:r/>
            <w:r>
              <w:rPr>
                <w:b w:val="0"/>
                <w:sz w:val="17"/>
              </w:rPr>
              <w:t>Z2</w:t>
            </w:r>
          </w:p>
        </w:tc>
        <w:tc>
          <w:tcPr>
            <w:tcW w:type="dxa" w:w="2268"/>
          </w:tcPr>
          <w:p>
            <w:pPr>
              <w:spacing w:after="20"/>
            </w:pPr>
            <w:r/>
            <w:r>
              <w:rPr>
                <w:b w:val="0"/>
                <w:sz w:val="17"/>
              </w:rPr>
              <w:t>KM wpływ</w:t>
            </w:r>
          </w:p>
        </w:tc>
        <w:tc>
          <w:tcPr>
            <w:tcW w:type="dxa" w:w="6236"/>
          </w:tcPr>
          <w:p>
            <w:pPr>
              <w:spacing w:after="20"/>
            </w:pPr>
            <w:r/>
            <w:r>
              <w:rPr>
                <w:b w:val="0"/>
                <w:sz w:val="17"/>
              </w:rPr>
              <w:t>0,70</w:t>
            </w:r>
          </w:p>
        </w:tc>
      </w:tr>
      <w:tr>
        <w:tc>
          <w:tcPr>
            <w:tcW w:type="dxa" w:w="1134"/>
          </w:tcPr>
          <w:p>
            <w:pPr>
              <w:spacing w:after="20"/>
            </w:pPr>
            <w:r/>
            <w:r>
              <w:rPr>
                <w:b w:val="0"/>
                <w:sz w:val="17"/>
              </w:rPr>
              <w:t>Z3</w:t>
            </w:r>
          </w:p>
        </w:tc>
        <w:tc>
          <w:tcPr>
            <w:tcW w:type="dxa" w:w="2268"/>
          </w:tcPr>
          <w:p>
            <w:pPr>
              <w:spacing w:after="20"/>
            </w:pPr>
            <w:r/>
            <w:r>
              <w:rPr>
                <w:b w:val="0"/>
                <w:sz w:val="17"/>
              </w:rPr>
              <w:t>Zakres</w:t>
            </w:r>
          </w:p>
        </w:tc>
        <w:tc>
          <w:tcPr>
            <w:tcW w:type="dxa" w:w="6236"/>
          </w:tcPr>
          <w:p>
            <w:pPr>
              <w:spacing w:after="20"/>
            </w:pPr>
            <w:r/>
            <w:r>
              <w:rPr>
                <w:b w:val="0"/>
                <w:sz w:val="17"/>
              </w:rPr>
              <w:t>M8</w:t>
            </w:r>
          </w:p>
        </w:tc>
      </w:tr>
      <w:tr>
        <w:tc>
          <w:tcPr>
            <w:tcW w:type="dxa" w:w="1134"/>
          </w:tcPr>
          <w:p>
            <w:pPr>
              <w:spacing w:after="20"/>
            </w:pPr>
            <w:r/>
            <w:r>
              <w:rPr>
                <w:b w:val="0"/>
                <w:sz w:val="17"/>
              </w:rPr>
              <w:t>Z3</w:t>
            </w:r>
          </w:p>
        </w:tc>
        <w:tc>
          <w:tcPr>
            <w:tcW w:type="dxa" w:w="2268"/>
          </w:tcPr>
          <w:p>
            <w:pPr>
              <w:spacing w:after="20"/>
            </w:pPr>
            <w:r/>
            <w:r>
              <w:rPr>
                <w:b w:val="0"/>
                <w:sz w:val="17"/>
              </w:rPr>
              <w:t>Opis</w:t>
            </w:r>
          </w:p>
        </w:tc>
        <w:tc>
          <w:tcPr>
            <w:tcW w:type="dxa" w:w="6236"/>
          </w:tcPr>
          <w:p>
            <w:pPr>
              <w:spacing w:after="20"/>
            </w:pPr>
            <w:r/>
            <w:r>
              <w:rPr>
                <w:b w:val="0"/>
                <w:sz w:val="17"/>
              </w:rPr>
              <w:t>M6-M8</w:t>
            </w:r>
          </w:p>
        </w:tc>
      </w:tr>
      <w:tr>
        <w:tc>
          <w:tcPr>
            <w:tcW w:type="dxa" w:w="1134"/>
          </w:tcPr>
          <w:p>
            <w:pPr>
              <w:spacing w:after="20"/>
            </w:pPr>
            <w:r/>
            <w:r>
              <w:rPr>
                <w:b w:val="0"/>
                <w:sz w:val="17"/>
              </w:rPr>
              <w:t>Z3</w:t>
            </w:r>
          </w:p>
        </w:tc>
        <w:tc>
          <w:tcPr>
            <w:tcW w:type="dxa" w:w="2268"/>
          </w:tcPr>
          <w:p>
            <w:pPr>
              <w:spacing w:after="20"/>
            </w:pPr>
            <w:r/>
            <w:r>
              <w:rPr>
                <w:b w:val="0"/>
                <w:sz w:val="17"/>
              </w:rPr>
              <w:t>Opis</w:t>
            </w:r>
          </w:p>
        </w:tc>
        <w:tc>
          <w:tcPr>
            <w:tcW w:type="dxa" w:w="6236"/>
          </w:tcPr>
          <w:p>
            <w:pPr>
              <w:spacing w:after="20"/>
            </w:pPr>
            <w:r/>
            <w:r>
              <w:rPr>
                <w:b w:val="0"/>
                <w:sz w:val="17"/>
              </w:rPr>
              <w:t>M9-M10</w:t>
            </w:r>
          </w:p>
        </w:tc>
      </w:tr>
      <w:tr>
        <w:tc>
          <w:tcPr>
            <w:tcW w:type="dxa" w:w="1134"/>
          </w:tcPr>
          <w:p>
            <w:pPr>
              <w:spacing w:after="20"/>
            </w:pPr>
            <w:r/>
            <w:r>
              <w:rPr>
                <w:b w:val="0"/>
                <w:sz w:val="17"/>
              </w:rPr>
              <w:t>Z3</w:t>
            </w:r>
          </w:p>
        </w:tc>
        <w:tc>
          <w:tcPr>
            <w:tcW w:type="dxa" w:w="2268"/>
          </w:tcPr>
          <w:p>
            <w:pPr>
              <w:spacing w:after="20"/>
            </w:pPr>
            <w:r/>
            <w:r>
              <w:rPr>
                <w:b w:val="0"/>
                <w:sz w:val="17"/>
              </w:rPr>
              <w:t>Opis</w:t>
            </w:r>
          </w:p>
        </w:tc>
        <w:tc>
          <w:tcPr>
            <w:tcW w:type="dxa" w:w="6236"/>
          </w:tcPr>
          <w:p>
            <w:pPr>
              <w:spacing w:after="20"/>
            </w:pPr>
            <w:r/>
            <w:r>
              <w:rPr>
                <w:b w:val="0"/>
                <w:sz w:val="17"/>
              </w:rPr>
              <w:t>M11-M16</w:t>
            </w:r>
          </w:p>
        </w:tc>
      </w:tr>
      <w:tr>
        <w:tc>
          <w:tcPr>
            <w:tcW w:type="dxa" w:w="1134"/>
          </w:tcPr>
          <w:p>
            <w:pPr>
              <w:spacing w:after="20"/>
            </w:pPr>
            <w:r/>
            <w:r>
              <w:rPr>
                <w:b w:val="0"/>
                <w:sz w:val="17"/>
              </w:rPr>
              <w:t>Z3</w:t>
            </w:r>
          </w:p>
        </w:tc>
        <w:tc>
          <w:tcPr>
            <w:tcW w:type="dxa" w:w="2268"/>
          </w:tcPr>
          <w:p>
            <w:pPr>
              <w:spacing w:after="20"/>
            </w:pPr>
            <w:r/>
            <w:r>
              <w:rPr>
                <w:b w:val="0"/>
                <w:sz w:val="17"/>
              </w:rPr>
              <w:t>Opis</w:t>
            </w:r>
          </w:p>
        </w:tc>
        <w:tc>
          <w:tcPr>
            <w:tcW w:type="dxa" w:w="6236"/>
          </w:tcPr>
          <w:p>
            <w:pPr>
              <w:spacing w:after="20"/>
            </w:pPr>
            <w:r/>
            <w:r>
              <w:rPr>
                <w:b w:val="0"/>
                <w:sz w:val="17"/>
              </w:rPr>
              <w:t>M17-M18</w:t>
            </w:r>
          </w:p>
        </w:tc>
      </w:tr>
      <w:tr>
        <w:tc>
          <w:tcPr>
            <w:tcW w:type="dxa" w:w="1134"/>
          </w:tcPr>
          <w:p>
            <w:pPr>
              <w:spacing w:after="20"/>
            </w:pPr>
            <w:r/>
            <w:r>
              <w:rPr>
                <w:b w:val="0"/>
                <w:sz w:val="17"/>
              </w:rPr>
              <w:t>Z3</w:t>
            </w:r>
          </w:p>
        </w:tc>
        <w:tc>
          <w:tcPr>
            <w:tcW w:type="dxa" w:w="2268"/>
          </w:tcPr>
          <w:p>
            <w:pPr>
              <w:spacing w:after="20"/>
            </w:pPr>
            <w:r/>
            <w:r>
              <w:rPr>
                <w:b w:val="0"/>
                <w:sz w:val="17"/>
              </w:rPr>
              <w:t>KM wpływ</w:t>
            </w:r>
          </w:p>
        </w:tc>
        <w:tc>
          <w:tcPr>
            <w:tcW w:type="dxa" w:w="6236"/>
          </w:tcPr>
          <w:p>
            <w:pPr>
              <w:spacing w:after="20"/>
            </w:pPr>
            <w:r/>
            <w:r>
              <w:rPr>
                <w:b w:val="0"/>
                <w:sz w:val="17"/>
              </w:rPr>
              <w:t>0,70</w:t>
            </w:r>
          </w:p>
        </w:tc>
      </w:tr>
      <w:tr>
        <w:tc>
          <w:tcPr>
            <w:tcW w:type="dxa" w:w="1134"/>
          </w:tcPr>
          <w:p>
            <w:pPr>
              <w:spacing w:after="20"/>
            </w:pPr>
            <w:r/>
            <w:r>
              <w:rPr>
                <w:b w:val="0"/>
                <w:sz w:val="17"/>
              </w:rPr>
              <w:t>Z3</w:t>
            </w:r>
          </w:p>
        </w:tc>
        <w:tc>
          <w:tcPr>
            <w:tcW w:type="dxa" w:w="2268"/>
          </w:tcPr>
          <w:p>
            <w:pPr>
              <w:spacing w:after="20"/>
            </w:pPr>
            <w:r/>
            <w:r>
              <w:rPr>
                <w:b w:val="0"/>
                <w:sz w:val="17"/>
              </w:rPr>
              <w:t>KM wpływ</w:t>
            </w:r>
          </w:p>
        </w:tc>
        <w:tc>
          <w:tcPr>
            <w:tcW w:type="dxa" w:w="6236"/>
          </w:tcPr>
          <w:p>
            <w:pPr>
              <w:spacing w:after="20"/>
            </w:pPr>
            <w:r/>
            <w:r>
              <w:rPr>
                <w:b w:val="0"/>
                <w:sz w:val="17"/>
              </w:rPr>
              <w:t>0,60</w:t>
            </w:r>
          </w:p>
        </w:tc>
      </w:tr>
      <w:tr>
        <w:tc>
          <w:tcPr>
            <w:tcW w:type="dxa" w:w="1134"/>
          </w:tcPr>
          <w:p>
            <w:pPr>
              <w:spacing w:after="20"/>
            </w:pPr>
            <w:r/>
            <w:r>
              <w:rPr>
                <w:b w:val="0"/>
                <w:sz w:val="17"/>
              </w:rPr>
              <w:t>Z3</w:t>
            </w:r>
          </w:p>
        </w:tc>
        <w:tc>
          <w:tcPr>
            <w:tcW w:type="dxa" w:w="2268"/>
          </w:tcPr>
          <w:p>
            <w:pPr>
              <w:spacing w:after="20"/>
            </w:pPr>
            <w:r/>
            <w:r>
              <w:rPr>
                <w:b w:val="0"/>
                <w:sz w:val="17"/>
              </w:rPr>
              <w:t>KM wpływ</w:t>
            </w:r>
          </w:p>
        </w:tc>
        <w:tc>
          <w:tcPr>
            <w:tcW w:type="dxa" w:w="6236"/>
          </w:tcPr>
          <w:p>
            <w:pPr>
              <w:spacing w:after="20"/>
            </w:pPr>
            <w:r/>
            <w:r>
              <w:rPr>
                <w:b w:val="0"/>
                <w:sz w:val="17"/>
              </w:rPr>
              <w:t>0,50</w:t>
            </w:r>
          </w:p>
        </w:tc>
      </w:tr>
      <w:tr>
        <w:tc>
          <w:tcPr>
            <w:tcW w:type="dxa" w:w="1134"/>
          </w:tcPr>
          <w:p>
            <w:pPr>
              <w:spacing w:after="20"/>
            </w:pPr>
            <w:r/>
            <w:r>
              <w:rPr>
                <w:b w:val="0"/>
                <w:sz w:val="17"/>
              </w:rPr>
              <w:t>Z4</w:t>
            </w:r>
          </w:p>
        </w:tc>
        <w:tc>
          <w:tcPr>
            <w:tcW w:type="dxa" w:w="2268"/>
          </w:tcPr>
          <w:p>
            <w:pPr>
              <w:spacing w:after="20"/>
            </w:pPr>
            <w:r/>
            <w:r>
              <w:rPr>
                <w:b w:val="0"/>
                <w:sz w:val="17"/>
              </w:rPr>
              <w:t>Opis</w:t>
            </w:r>
          </w:p>
        </w:tc>
        <w:tc>
          <w:tcPr>
            <w:tcW w:type="dxa" w:w="6236"/>
          </w:tcPr>
          <w:p>
            <w:pPr>
              <w:spacing w:after="20"/>
            </w:pPr>
            <w:r/>
            <w:r>
              <w:rPr>
                <w:b w:val="0"/>
                <w:sz w:val="17"/>
              </w:rPr>
              <w:t>M19-M20</w:t>
            </w:r>
          </w:p>
        </w:tc>
      </w:tr>
      <w:tr>
        <w:tc>
          <w:tcPr>
            <w:tcW w:type="dxa" w:w="1134"/>
          </w:tcPr>
          <w:p>
            <w:pPr>
              <w:spacing w:after="20"/>
            </w:pPr>
            <w:r/>
            <w:r>
              <w:rPr>
                <w:b w:val="0"/>
                <w:sz w:val="17"/>
              </w:rPr>
              <w:t>Z4</w:t>
            </w:r>
          </w:p>
        </w:tc>
        <w:tc>
          <w:tcPr>
            <w:tcW w:type="dxa" w:w="2268"/>
          </w:tcPr>
          <w:p>
            <w:pPr>
              <w:spacing w:after="20"/>
            </w:pPr>
            <w:r/>
            <w:r>
              <w:rPr>
                <w:b w:val="0"/>
                <w:sz w:val="17"/>
              </w:rPr>
              <w:t>Opis</w:t>
            </w:r>
          </w:p>
        </w:tc>
        <w:tc>
          <w:tcPr>
            <w:tcW w:type="dxa" w:w="6236"/>
          </w:tcPr>
          <w:p>
            <w:pPr>
              <w:spacing w:after="20"/>
            </w:pPr>
            <w:r/>
            <w:r>
              <w:rPr>
                <w:b w:val="0"/>
                <w:sz w:val="17"/>
              </w:rPr>
              <w:t>M21-M24</w:t>
            </w:r>
          </w:p>
        </w:tc>
      </w:tr>
      <w:tr>
        <w:tc>
          <w:tcPr>
            <w:tcW w:type="dxa" w:w="1134"/>
          </w:tcPr>
          <w:p>
            <w:pPr>
              <w:spacing w:after="20"/>
            </w:pPr>
            <w:r/>
            <w:r>
              <w:rPr>
                <w:b w:val="0"/>
                <w:sz w:val="17"/>
              </w:rPr>
              <w:t>Z4</w:t>
            </w:r>
          </w:p>
        </w:tc>
        <w:tc>
          <w:tcPr>
            <w:tcW w:type="dxa" w:w="2268"/>
          </w:tcPr>
          <w:p>
            <w:pPr>
              <w:spacing w:after="20"/>
            </w:pPr>
            <w:r/>
            <w:r>
              <w:rPr>
                <w:b w:val="0"/>
                <w:sz w:val="17"/>
              </w:rPr>
              <w:t>Opis</w:t>
            </w:r>
          </w:p>
        </w:tc>
        <w:tc>
          <w:tcPr>
            <w:tcW w:type="dxa" w:w="6236"/>
          </w:tcPr>
          <w:p>
            <w:pPr>
              <w:spacing w:after="20"/>
            </w:pPr>
            <w:r/>
            <w:r>
              <w:rPr>
                <w:b w:val="0"/>
                <w:sz w:val="17"/>
              </w:rPr>
              <w:t>M25-M26</w:t>
            </w:r>
          </w:p>
        </w:tc>
      </w:tr>
      <w:tr>
        <w:tc>
          <w:tcPr>
            <w:tcW w:type="dxa" w:w="1134"/>
          </w:tcPr>
          <w:p>
            <w:pPr>
              <w:spacing w:after="20"/>
            </w:pPr>
            <w:r/>
            <w:r>
              <w:rPr>
                <w:b w:val="0"/>
                <w:sz w:val="17"/>
              </w:rPr>
              <w:t>Z4</w:t>
            </w:r>
          </w:p>
        </w:tc>
        <w:tc>
          <w:tcPr>
            <w:tcW w:type="dxa" w:w="2268"/>
          </w:tcPr>
          <w:p>
            <w:pPr>
              <w:spacing w:after="20"/>
            </w:pPr>
            <w:r/>
            <w:r>
              <w:rPr>
                <w:b w:val="0"/>
                <w:sz w:val="17"/>
              </w:rPr>
              <w:t>KM wpływ</w:t>
            </w:r>
          </w:p>
        </w:tc>
        <w:tc>
          <w:tcPr>
            <w:tcW w:type="dxa" w:w="6236"/>
          </w:tcPr>
          <w:p>
            <w:pPr>
              <w:spacing w:after="20"/>
            </w:pPr>
            <w:r/>
            <w:r>
              <w:rPr>
                <w:b w:val="0"/>
                <w:sz w:val="17"/>
              </w:rPr>
              <w:t>0,75</w:t>
            </w:r>
          </w:p>
        </w:tc>
      </w:tr>
      <w:tr>
        <w:tc>
          <w:tcPr>
            <w:tcW w:type="dxa" w:w="1134"/>
          </w:tcPr>
          <w:p>
            <w:pPr>
              <w:spacing w:after="20"/>
            </w:pPr>
            <w:r/>
            <w:r>
              <w:rPr>
                <w:b w:val="0"/>
                <w:sz w:val="17"/>
              </w:rPr>
              <w:t>Z4</w:t>
            </w:r>
          </w:p>
        </w:tc>
        <w:tc>
          <w:tcPr>
            <w:tcW w:type="dxa" w:w="2268"/>
          </w:tcPr>
          <w:p>
            <w:pPr>
              <w:spacing w:after="20"/>
            </w:pPr>
            <w:r/>
            <w:r>
              <w:rPr>
                <w:b w:val="0"/>
                <w:sz w:val="17"/>
              </w:rPr>
              <w:t>KM wpływ</w:t>
            </w:r>
          </w:p>
        </w:tc>
        <w:tc>
          <w:tcPr>
            <w:tcW w:type="dxa" w:w="6236"/>
          </w:tcPr>
          <w:p>
            <w:pPr>
              <w:spacing w:after="20"/>
            </w:pPr>
            <w:r/>
            <w:r>
              <w:rPr>
                <w:b w:val="0"/>
                <w:sz w:val="17"/>
              </w:rPr>
              <w:t>0,05</w:t>
            </w:r>
          </w:p>
        </w:tc>
      </w:tr>
      <w:tr>
        <w:tc>
          <w:tcPr>
            <w:tcW w:type="dxa" w:w="1134"/>
          </w:tcPr>
          <w:p>
            <w:pPr>
              <w:spacing w:after="20"/>
            </w:pPr>
            <w:r/>
            <w:r>
              <w:rPr>
                <w:b w:val="0"/>
                <w:sz w:val="17"/>
              </w:rPr>
              <w:t>Z5</w:t>
            </w:r>
          </w:p>
        </w:tc>
        <w:tc>
          <w:tcPr>
            <w:tcW w:type="dxa" w:w="2268"/>
          </w:tcPr>
          <w:p>
            <w:pPr>
              <w:spacing w:after="20"/>
            </w:pPr>
            <w:r/>
            <w:r>
              <w:rPr>
                <w:b w:val="0"/>
                <w:sz w:val="17"/>
              </w:rPr>
              <w:t>Opis</w:t>
            </w:r>
          </w:p>
        </w:tc>
        <w:tc>
          <w:tcPr>
            <w:tcW w:type="dxa" w:w="6236"/>
          </w:tcPr>
          <w:p>
            <w:pPr>
              <w:spacing w:after="20"/>
            </w:pPr>
            <w:r/>
            <w:r>
              <w:rPr>
                <w:b w:val="0"/>
                <w:sz w:val="17"/>
              </w:rPr>
              <w:t>M19-M21</w:t>
            </w:r>
          </w:p>
        </w:tc>
      </w:tr>
      <w:tr>
        <w:tc>
          <w:tcPr>
            <w:tcW w:type="dxa" w:w="1134"/>
          </w:tcPr>
          <w:p>
            <w:pPr>
              <w:spacing w:after="20"/>
            </w:pPr>
            <w:r/>
            <w:r>
              <w:rPr>
                <w:b w:val="0"/>
                <w:sz w:val="17"/>
              </w:rPr>
              <w:t>Z5</w:t>
            </w:r>
          </w:p>
        </w:tc>
        <w:tc>
          <w:tcPr>
            <w:tcW w:type="dxa" w:w="2268"/>
          </w:tcPr>
          <w:p>
            <w:pPr>
              <w:spacing w:after="20"/>
            </w:pPr>
            <w:r/>
            <w:r>
              <w:rPr>
                <w:b w:val="0"/>
                <w:sz w:val="17"/>
              </w:rPr>
              <w:t>Opis</w:t>
            </w:r>
          </w:p>
        </w:tc>
        <w:tc>
          <w:tcPr>
            <w:tcW w:type="dxa" w:w="6236"/>
          </w:tcPr>
          <w:p>
            <w:pPr>
              <w:spacing w:after="20"/>
            </w:pPr>
            <w:r/>
            <w:r>
              <w:rPr>
                <w:b w:val="0"/>
                <w:sz w:val="17"/>
              </w:rPr>
              <w:t>M22-M24</w:t>
            </w:r>
          </w:p>
        </w:tc>
      </w:tr>
      <w:tr>
        <w:tc>
          <w:tcPr>
            <w:tcW w:type="dxa" w:w="1134"/>
          </w:tcPr>
          <w:p>
            <w:pPr>
              <w:spacing w:after="20"/>
            </w:pPr>
            <w:r/>
            <w:r>
              <w:rPr>
                <w:b w:val="0"/>
                <w:sz w:val="17"/>
              </w:rPr>
              <w:t>Z5</w:t>
            </w:r>
          </w:p>
        </w:tc>
        <w:tc>
          <w:tcPr>
            <w:tcW w:type="dxa" w:w="2268"/>
          </w:tcPr>
          <w:p>
            <w:pPr>
              <w:spacing w:after="20"/>
            </w:pPr>
            <w:r/>
            <w:r>
              <w:rPr>
                <w:b w:val="0"/>
                <w:sz w:val="17"/>
              </w:rPr>
              <w:t>Opis</w:t>
            </w:r>
          </w:p>
        </w:tc>
        <w:tc>
          <w:tcPr>
            <w:tcW w:type="dxa" w:w="6236"/>
          </w:tcPr>
          <w:p>
            <w:pPr>
              <w:spacing w:after="20"/>
            </w:pPr>
            <w:r/>
            <w:r>
              <w:rPr>
                <w:b w:val="0"/>
                <w:sz w:val="17"/>
              </w:rPr>
              <w:t>M25-M27</w:t>
            </w:r>
          </w:p>
        </w:tc>
      </w:tr>
      <w:tr>
        <w:tc>
          <w:tcPr>
            <w:tcW w:type="dxa" w:w="1134"/>
          </w:tcPr>
          <w:p>
            <w:pPr>
              <w:spacing w:after="20"/>
            </w:pPr>
            <w:r/>
            <w:r>
              <w:rPr>
                <w:b w:val="0"/>
                <w:sz w:val="17"/>
              </w:rPr>
              <w:t>Z5</w:t>
            </w:r>
          </w:p>
        </w:tc>
        <w:tc>
          <w:tcPr>
            <w:tcW w:type="dxa" w:w="2268"/>
          </w:tcPr>
          <w:p>
            <w:pPr>
              <w:spacing w:after="20"/>
            </w:pPr>
            <w:r/>
            <w:r>
              <w:rPr>
                <w:b w:val="0"/>
                <w:sz w:val="17"/>
              </w:rPr>
              <w:t>KM parametry</w:t>
            </w:r>
          </w:p>
        </w:tc>
        <w:tc>
          <w:tcPr>
            <w:tcW w:type="dxa" w:w="6236"/>
          </w:tcPr>
          <w:p>
            <w:pPr>
              <w:spacing w:after="20"/>
            </w:pPr>
            <w:r/>
            <w:r>
              <w:rPr>
                <w:b w:val="0"/>
                <w:sz w:val="17"/>
              </w:rPr>
              <w:t>0,03 m</w:t>
            </w:r>
          </w:p>
        </w:tc>
      </w:tr>
      <w:tr>
        <w:tc>
          <w:tcPr>
            <w:tcW w:type="dxa" w:w="1134"/>
          </w:tcPr>
          <w:p>
            <w:pPr>
              <w:spacing w:after="20"/>
            </w:pPr>
            <w:r/>
            <w:r>
              <w:rPr>
                <w:b w:val="0"/>
                <w:sz w:val="17"/>
              </w:rPr>
              <w:t>Z5</w:t>
            </w:r>
          </w:p>
        </w:tc>
        <w:tc>
          <w:tcPr>
            <w:tcW w:type="dxa" w:w="2268"/>
          </w:tcPr>
          <w:p>
            <w:pPr>
              <w:spacing w:after="20"/>
            </w:pPr>
            <w:r/>
            <w:r>
              <w:rPr>
                <w:b w:val="0"/>
                <w:sz w:val="17"/>
              </w:rPr>
              <w:t>KM parametry</w:t>
            </w:r>
          </w:p>
        </w:tc>
        <w:tc>
          <w:tcPr>
            <w:tcW w:type="dxa" w:w="6236"/>
          </w:tcPr>
          <w:p>
            <w:pPr>
              <w:spacing w:after="20"/>
            </w:pPr>
            <w:r/>
            <w:r>
              <w:rPr>
                <w:b w:val="0"/>
                <w:sz w:val="17"/>
              </w:rPr>
              <w:t>0,05 m</w:t>
            </w:r>
          </w:p>
        </w:tc>
      </w:tr>
      <w:tr>
        <w:tc>
          <w:tcPr>
            <w:tcW w:type="dxa" w:w="1134"/>
          </w:tcPr>
          <w:p>
            <w:pPr>
              <w:spacing w:after="20"/>
            </w:pPr>
            <w:r/>
            <w:r>
              <w:rPr>
                <w:b w:val="0"/>
                <w:sz w:val="17"/>
              </w:rPr>
              <w:t>Z5</w:t>
            </w:r>
          </w:p>
        </w:tc>
        <w:tc>
          <w:tcPr>
            <w:tcW w:type="dxa" w:w="2268"/>
          </w:tcPr>
          <w:p>
            <w:pPr>
              <w:spacing w:after="20"/>
            </w:pPr>
            <w:r/>
            <w:r>
              <w:rPr>
                <w:b w:val="0"/>
                <w:sz w:val="17"/>
              </w:rPr>
              <w:t>KM wpływ</w:t>
            </w:r>
          </w:p>
        </w:tc>
        <w:tc>
          <w:tcPr>
            <w:tcW w:type="dxa" w:w="6236"/>
          </w:tcPr>
          <w:p>
            <w:pPr>
              <w:spacing w:after="20"/>
            </w:pPr>
            <w:r/>
            <w:r>
              <w:rPr>
                <w:b w:val="0"/>
                <w:sz w:val="17"/>
              </w:rPr>
              <w:t>0,50 m</w:t>
            </w:r>
          </w:p>
        </w:tc>
      </w:tr>
      <w:tr>
        <w:tc>
          <w:tcPr>
            <w:tcW w:type="dxa" w:w="1134"/>
          </w:tcPr>
          <w:p>
            <w:pPr>
              <w:spacing w:after="20"/>
            </w:pPr>
            <w:r/>
            <w:r>
              <w:rPr>
                <w:b w:val="0"/>
                <w:sz w:val="17"/>
              </w:rPr>
              <w:t>Z5</w:t>
            </w:r>
          </w:p>
        </w:tc>
        <w:tc>
          <w:tcPr>
            <w:tcW w:type="dxa" w:w="2268"/>
          </w:tcPr>
          <w:p>
            <w:pPr>
              <w:spacing w:after="20"/>
            </w:pPr>
            <w:r/>
            <w:r>
              <w:rPr>
                <w:b w:val="0"/>
                <w:sz w:val="17"/>
              </w:rPr>
              <w:t>KM wpływ</w:t>
            </w:r>
          </w:p>
        </w:tc>
        <w:tc>
          <w:tcPr>
            <w:tcW w:type="dxa" w:w="6236"/>
          </w:tcPr>
          <w:p>
            <w:pPr>
              <w:spacing w:after="20"/>
            </w:pPr>
            <w:r/>
            <w:r>
              <w:rPr>
                <w:b w:val="0"/>
                <w:sz w:val="17"/>
              </w:rPr>
              <w:t>30%</w:t>
            </w:r>
          </w:p>
        </w:tc>
      </w:tr>
      <w:tr>
        <w:tc>
          <w:tcPr>
            <w:tcW w:type="dxa" w:w="1134"/>
          </w:tcPr>
          <w:p>
            <w:pPr>
              <w:spacing w:after="20"/>
            </w:pPr>
            <w:r/>
            <w:r>
              <w:rPr>
                <w:b w:val="0"/>
                <w:sz w:val="17"/>
              </w:rPr>
              <w:t>Z6</w:t>
            </w:r>
          </w:p>
        </w:tc>
        <w:tc>
          <w:tcPr>
            <w:tcW w:type="dxa" w:w="2268"/>
          </w:tcPr>
          <w:p>
            <w:pPr>
              <w:spacing w:after="20"/>
            </w:pPr>
            <w:r/>
            <w:r>
              <w:rPr>
                <w:b w:val="0"/>
                <w:sz w:val="17"/>
              </w:rPr>
              <w:t>Opis</w:t>
            </w:r>
          </w:p>
        </w:tc>
        <w:tc>
          <w:tcPr>
            <w:tcW w:type="dxa" w:w="6236"/>
          </w:tcPr>
          <w:p>
            <w:pPr>
              <w:spacing w:after="20"/>
            </w:pPr>
            <w:r/>
            <w:r>
              <w:rPr>
                <w:b w:val="0"/>
                <w:sz w:val="17"/>
              </w:rPr>
              <w:t>90%</w:t>
            </w:r>
          </w:p>
        </w:tc>
      </w:tr>
      <w:tr>
        <w:tc>
          <w:tcPr>
            <w:tcW w:type="dxa" w:w="1134"/>
          </w:tcPr>
          <w:p>
            <w:pPr>
              <w:spacing w:after="20"/>
            </w:pPr>
            <w:r/>
            <w:r>
              <w:rPr>
                <w:b w:val="0"/>
                <w:sz w:val="17"/>
              </w:rPr>
              <w:t>Z6</w:t>
            </w:r>
          </w:p>
        </w:tc>
        <w:tc>
          <w:tcPr>
            <w:tcW w:type="dxa" w:w="2268"/>
          </w:tcPr>
          <w:p>
            <w:pPr>
              <w:spacing w:after="20"/>
            </w:pPr>
            <w:r/>
            <w:r>
              <w:rPr>
                <w:b w:val="0"/>
                <w:sz w:val="17"/>
              </w:rPr>
              <w:t>Opis</w:t>
            </w:r>
          </w:p>
        </w:tc>
        <w:tc>
          <w:tcPr>
            <w:tcW w:type="dxa" w:w="6236"/>
          </w:tcPr>
          <w:p>
            <w:pPr>
              <w:spacing w:after="20"/>
            </w:pPr>
            <w:r/>
            <w:r>
              <w:rPr>
                <w:b w:val="0"/>
                <w:sz w:val="17"/>
              </w:rPr>
              <w:t>M19-M22</w:t>
            </w:r>
          </w:p>
        </w:tc>
      </w:tr>
      <w:tr>
        <w:tc>
          <w:tcPr>
            <w:tcW w:type="dxa" w:w="1134"/>
          </w:tcPr>
          <w:p>
            <w:pPr>
              <w:spacing w:after="20"/>
            </w:pPr>
            <w:r/>
            <w:r>
              <w:rPr>
                <w:b w:val="0"/>
                <w:sz w:val="17"/>
              </w:rPr>
              <w:t>Z6</w:t>
            </w:r>
          </w:p>
        </w:tc>
        <w:tc>
          <w:tcPr>
            <w:tcW w:type="dxa" w:w="2268"/>
          </w:tcPr>
          <w:p>
            <w:pPr>
              <w:spacing w:after="20"/>
            </w:pPr>
            <w:r/>
            <w:r>
              <w:rPr>
                <w:b w:val="0"/>
                <w:sz w:val="17"/>
              </w:rPr>
              <w:t>Opis</w:t>
            </w:r>
          </w:p>
        </w:tc>
        <w:tc>
          <w:tcPr>
            <w:tcW w:type="dxa" w:w="6236"/>
          </w:tcPr>
          <w:p>
            <w:pPr>
              <w:spacing w:after="20"/>
            </w:pPr>
            <w:r/>
            <w:r>
              <w:rPr>
                <w:b w:val="0"/>
                <w:sz w:val="17"/>
              </w:rPr>
              <w:t>M23-M25</w:t>
            </w:r>
          </w:p>
        </w:tc>
      </w:tr>
      <w:tr>
        <w:tc>
          <w:tcPr>
            <w:tcW w:type="dxa" w:w="1134"/>
          </w:tcPr>
          <w:p>
            <w:pPr>
              <w:spacing w:after="20"/>
            </w:pPr>
            <w:r/>
            <w:r>
              <w:rPr>
                <w:b w:val="0"/>
                <w:sz w:val="17"/>
              </w:rPr>
              <w:t>Z6</w:t>
            </w:r>
          </w:p>
        </w:tc>
        <w:tc>
          <w:tcPr>
            <w:tcW w:type="dxa" w:w="2268"/>
          </w:tcPr>
          <w:p>
            <w:pPr>
              <w:spacing w:after="20"/>
            </w:pPr>
            <w:r/>
            <w:r>
              <w:rPr>
                <w:b w:val="0"/>
                <w:sz w:val="17"/>
              </w:rPr>
              <w:t>Opis</w:t>
            </w:r>
          </w:p>
        </w:tc>
        <w:tc>
          <w:tcPr>
            <w:tcW w:type="dxa" w:w="6236"/>
          </w:tcPr>
          <w:p>
            <w:pPr>
              <w:spacing w:after="20"/>
            </w:pPr>
            <w:r/>
            <w:r>
              <w:rPr>
                <w:b w:val="0"/>
                <w:sz w:val="17"/>
              </w:rPr>
              <w:t>M26-M27</w:t>
            </w:r>
          </w:p>
        </w:tc>
      </w:tr>
      <w:tr>
        <w:tc>
          <w:tcPr>
            <w:tcW w:type="dxa" w:w="1134"/>
          </w:tcPr>
          <w:p>
            <w:pPr>
              <w:spacing w:after="20"/>
            </w:pPr>
            <w:r/>
            <w:r>
              <w:rPr>
                <w:b w:val="0"/>
                <w:sz w:val="17"/>
              </w:rPr>
              <w:t>Z6</w:t>
            </w:r>
          </w:p>
        </w:tc>
        <w:tc>
          <w:tcPr>
            <w:tcW w:type="dxa" w:w="2268"/>
          </w:tcPr>
          <w:p>
            <w:pPr>
              <w:spacing w:after="20"/>
            </w:pPr>
            <w:r/>
            <w:r>
              <w:rPr>
                <w:b w:val="0"/>
                <w:sz w:val="17"/>
              </w:rPr>
              <w:t>KM parametry</w:t>
            </w:r>
          </w:p>
        </w:tc>
        <w:tc>
          <w:tcPr>
            <w:tcW w:type="dxa" w:w="6236"/>
          </w:tcPr>
          <w:p>
            <w:pPr>
              <w:spacing w:after="20"/>
            </w:pPr>
            <w:r/>
            <w:r>
              <w:rPr>
                <w:b w:val="0"/>
                <w:sz w:val="17"/>
              </w:rPr>
              <w:t>90%</w:t>
            </w:r>
          </w:p>
        </w:tc>
      </w:tr>
      <w:tr>
        <w:tc>
          <w:tcPr>
            <w:tcW w:type="dxa" w:w="1134"/>
          </w:tcPr>
          <w:p>
            <w:pPr>
              <w:spacing w:after="20"/>
            </w:pPr>
            <w:r/>
            <w:r>
              <w:rPr>
                <w:b w:val="0"/>
                <w:sz w:val="17"/>
              </w:rPr>
              <w:t>Z6</w:t>
            </w:r>
          </w:p>
        </w:tc>
        <w:tc>
          <w:tcPr>
            <w:tcW w:type="dxa" w:w="2268"/>
          </w:tcPr>
          <w:p>
            <w:pPr>
              <w:spacing w:after="20"/>
            </w:pPr>
            <w:r/>
            <w:r>
              <w:rPr>
                <w:b w:val="0"/>
                <w:sz w:val="17"/>
              </w:rPr>
              <w:t>KM wpływ</w:t>
            </w:r>
          </w:p>
        </w:tc>
        <w:tc>
          <w:tcPr>
            <w:tcW w:type="dxa" w:w="6236"/>
          </w:tcPr>
          <w:p>
            <w:pPr>
              <w:spacing w:after="20"/>
            </w:pPr>
            <w:r/>
            <w:r>
              <w:rPr>
                <w:b w:val="0"/>
                <w:sz w:val="17"/>
              </w:rPr>
              <w:t>85%</w:t>
            </w:r>
          </w:p>
        </w:tc>
      </w:tr>
      <w:tr>
        <w:tc>
          <w:tcPr>
            <w:tcW w:type="dxa" w:w="1134"/>
          </w:tcPr>
          <w:p>
            <w:pPr>
              <w:spacing w:after="20"/>
            </w:pPr>
            <w:r/>
            <w:r>
              <w:rPr>
                <w:b w:val="0"/>
                <w:sz w:val="17"/>
              </w:rPr>
              <w:t>Z6</w:t>
            </w:r>
          </w:p>
        </w:tc>
        <w:tc>
          <w:tcPr>
            <w:tcW w:type="dxa" w:w="2268"/>
          </w:tcPr>
          <w:p>
            <w:pPr>
              <w:spacing w:after="20"/>
            </w:pPr>
            <w:r/>
            <w:r>
              <w:rPr>
                <w:b w:val="0"/>
                <w:sz w:val="17"/>
              </w:rPr>
              <w:t>KM wpływ</w:t>
            </w:r>
          </w:p>
        </w:tc>
        <w:tc>
          <w:tcPr>
            <w:tcW w:type="dxa" w:w="6236"/>
          </w:tcPr>
          <w:p>
            <w:pPr>
              <w:spacing w:after="20"/>
            </w:pPr>
            <w:r/>
            <w:r>
              <w:rPr>
                <w:b w:val="0"/>
                <w:sz w:val="17"/>
              </w:rPr>
              <w:t>60 s</w:t>
            </w:r>
          </w:p>
        </w:tc>
      </w:tr>
      <w:tr>
        <w:tc>
          <w:tcPr>
            <w:tcW w:type="dxa" w:w="1134"/>
          </w:tcPr>
          <w:p>
            <w:pPr>
              <w:spacing w:after="20"/>
            </w:pPr>
            <w:r/>
            <w:r>
              <w:rPr>
                <w:b w:val="0"/>
                <w:sz w:val="17"/>
              </w:rPr>
              <w:t>Z6</w:t>
            </w:r>
          </w:p>
        </w:tc>
        <w:tc>
          <w:tcPr>
            <w:tcW w:type="dxa" w:w="2268"/>
          </w:tcPr>
          <w:p>
            <w:pPr>
              <w:spacing w:after="20"/>
            </w:pPr>
            <w:r/>
            <w:r>
              <w:rPr>
                <w:b w:val="0"/>
                <w:sz w:val="17"/>
              </w:rPr>
              <w:t>KM wpływ</w:t>
            </w:r>
          </w:p>
        </w:tc>
        <w:tc>
          <w:tcPr>
            <w:tcW w:type="dxa" w:w="6236"/>
          </w:tcPr>
          <w:p>
            <w:pPr>
              <w:spacing w:after="20"/>
            </w:pPr>
            <w:r/>
            <w:r>
              <w:rPr>
                <w:b w:val="0"/>
                <w:sz w:val="17"/>
              </w:rPr>
              <w:t>80%</w:t>
            </w:r>
          </w:p>
        </w:tc>
      </w:tr>
      <w:tr>
        <w:tc>
          <w:tcPr>
            <w:tcW w:type="dxa" w:w="1134"/>
          </w:tcPr>
          <w:p>
            <w:pPr>
              <w:spacing w:after="20"/>
            </w:pPr>
            <w:r/>
            <w:r>
              <w:rPr>
                <w:b w:val="0"/>
                <w:sz w:val="17"/>
              </w:rPr>
              <w:t>Z7</w:t>
            </w:r>
          </w:p>
        </w:tc>
        <w:tc>
          <w:tcPr>
            <w:tcW w:type="dxa" w:w="2268"/>
          </w:tcPr>
          <w:p>
            <w:pPr>
              <w:spacing w:after="20"/>
            </w:pPr>
            <w:r/>
            <w:r>
              <w:rPr>
                <w:b w:val="0"/>
                <w:sz w:val="17"/>
              </w:rPr>
              <w:t>Opis</w:t>
            </w:r>
          </w:p>
        </w:tc>
        <w:tc>
          <w:tcPr>
            <w:tcW w:type="dxa" w:w="6236"/>
          </w:tcPr>
          <w:p>
            <w:pPr>
              <w:spacing w:after="20"/>
            </w:pPr>
            <w:r/>
            <w:r>
              <w:rPr>
                <w:b w:val="0"/>
                <w:sz w:val="17"/>
              </w:rPr>
              <w:t>M19-M21</w:t>
            </w:r>
          </w:p>
        </w:tc>
      </w:tr>
      <w:tr>
        <w:tc>
          <w:tcPr>
            <w:tcW w:type="dxa" w:w="1134"/>
          </w:tcPr>
          <w:p>
            <w:pPr>
              <w:spacing w:after="20"/>
            </w:pPr>
            <w:r/>
            <w:r>
              <w:rPr>
                <w:b w:val="0"/>
                <w:sz w:val="17"/>
              </w:rPr>
              <w:t>Z7</w:t>
            </w:r>
          </w:p>
        </w:tc>
        <w:tc>
          <w:tcPr>
            <w:tcW w:type="dxa" w:w="2268"/>
          </w:tcPr>
          <w:p>
            <w:pPr>
              <w:spacing w:after="20"/>
            </w:pPr>
            <w:r/>
            <w:r>
              <w:rPr>
                <w:b w:val="0"/>
                <w:sz w:val="17"/>
              </w:rPr>
              <w:t>Opis</w:t>
            </w:r>
          </w:p>
        </w:tc>
        <w:tc>
          <w:tcPr>
            <w:tcW w:type="dxa" w:w="6236"/>
          </w:tcPr>
          <w:p>
            <w:pPr>
              <w:spacing w:after="20"/>
            </w:pPr>
            <w:r/>
            <w:r>
              <w:rPr>
                <w:b w:val="0"/>
                <w:sz w:val="17"/>
              </w:rPr>
              <w:t>M22-M25</w:t>
            </w:r>
          </w:p>
        </w:tc>
      </w:tr>
      <w:tr>
        <w:tc>
          <w:tcPr>
            <w:tcW w:type="dxa" w:w="1134"/>
          </w:tcPr>
          <w:p>
            <w:pPr>
              <w:spacing w:after="20"/>
            </w:pPr>
            <w:r/>
            <w:r>
              <w:rPr>
                <w:b w:val="0"/>
                <w:sz w:val="17"/>
              </w:rPr>
              <w:t>Z7</w:t>
            </w:r>
          </w:p>
        </w:tc>
        <w:tc>
          <w:tcPr>
            <w:tcW w:type="dxa" w:w="2268"/>
          </w:tcPr>
          <w:p>
            <w:pPr>
              <w:spacing w:after="20"/>
            </w:pPr>
            <w:r/>
            <w:r>
              <w:rPr>
                <w:b w:val="0"/>
                <w:sz w:val="17"/>
              </w:rPr>
              <w:t>Opis</w:t>
            </w:r>
          </w:p>
        </w:tc>
        <w:tc>
          <w:tcPr>
            <w:tcW w:type="dxa" w:w="6236"/>
          </w:tcPr>
          <w:p>
            <w:pPr>
              <w:spacing w:after="20"/>
            </w:pPr>
            <w:r/>
            <w:r>
              <w:rPr>
                <w:b w:val="0"/>
                <w:sz w:val="17"/>
              </w:rPr>
              <w:t>M26-M27</w:t>
            </w:r>
          </w:p>
        </w:tc>
      </w:tr>
      <w:tr>
        <w:tc>
          <w:tcPr>
            <w:tcW w:type="dxa" w:w="1134"/>
          </w:tcPr>
          <w:p>
            <w:pPr>
              <w:spacing w:after="20"/>
            </w:pPr>
            <w:r/>
            <w:r>
              <w:rPr>
                <w:b w:val="0"/>
                <w:sz w:val="17"/>
              </w:rPr>
              <w:t>Z7</w:t>
            </w:r>
          </w:p>
        </w:tc>
        <w:tc>
          <w:tcPr>
            <w:tcW w:type="dxa" w:w="2268"/>
          </w:tcPr>
          <w:p>
            <w:pPr>
              <w:spacing w:after="20"/>
            </w:pPr>
            <w:r/>
            <w:r>
              <w:rPr>
                <w:b w:val="0"/>
                <w:sz w:val="17"/>
              </w:rPr>
              <w:t>KM wpływ</w:t>
            </w:r>
          </w:p>
        </w:tc>
        <w:tc>
          <w:tcPr>
            <w:tcW w:type="dxa" w:w="6236"/>
          </w:tcPr>
          <w:p>
            <w:pPr>
              <w:spacing w:after="20"/>
            </w:pPr>
            <w:r/>
            <w:r>
              <w:rPr>
                <w:b w:val="0"/>
                <w:sz w:val="17"/>
              </w:rPr>
              <w:t>2 s</w:t>
            </w:r>
          </w:p>
        </w:tc>
      </w:tr>
      <w:tr>
        <w:tc>
          <w:tcPr>
            <w:tcW w:type="dxa" w:w="1134"/>
          </w:tcPr>
          <w:p>
            <w:pPr>
              <w:spacing w:after="20"/>
            </w:pPr>
            <w:r/>
            <w:r>
              <w:rPr>
                <w:b w:val="0"/>
                <w:sz w:val="17"/>
              </w:rPr>
              <w:t>Z7</w:t>
            </w:r>
          </w:p>
        </w:tc>
        <w:tc>
          <w:tcPr>
            <w:tcW w:type="dxa" w:w="2268"/>
          </w:tcPr>
          <w:p>
            <w:pPr>
              <w:spacing w:after="20"/>
            </w:pPr>
            <w:r/>
            <w:r>
              <w:rPr>
                <w:b w:val="0"/>
                <w:sz w:val="17"/>
              </w:rPr>
              <w:t>KM wpływ</w:t>
            </w:r>
          </w:p>
        </w:tc>
        <w:tc>
          <w:tcPr>
            <w:tcW w:type="dxa" w:w="6236"/>
          </w:tcPr>
          <w:p>
            <w:pPr>
              <w:spacing w:after="20"/>
            </w:pPr>
            <w:r/>
            <w:r>
              <w:rPr>
                <w:b w:val="0"/>
                <w:sz w:val="17"/>
              </w:rPr>
              <w:t>6 punktów procentowych</w:t>
            </w:r>
          </w:p>
        </w:tc>
      </w:tr>
      <w:tr>
        <w:tc>
          <w:tcPr>
            <w:tcW w:type="dxa" w:w="1134"/>
          </w:tcPr>
          <w:p>
            <w:pPr>
              <w:spacing w:after="20"/>
            </w:pPr>
            <w:r/>
            <w:r>
              <w:rPr>
                <w:b w:val="0"/>
                <w:sz w:val="17"/>
              </w:rPr>
              <w:t>Z7</w:t>
            </w:r>
          </w:p>
        </w:tc>
        <w:tc>
          <w:tcPr>
            <w:tcW w:type="dxa" w:w="2268"/>
          </w:tcPr>
          <w:p>
            <w:pPr>
              <w:spacing w:after="20"/>
            </w:pPr>
            <w:r/>
            <w:r>
              <w:rPr>
                <w:b w:val="0"/>
                <w:sz w:val="17"/>
              </w:rPr>
              <w:t>KM wpływ</w:t>
            </w:r>
          </w:p>
        </w:tc>
        <w:tc>
          <w:tcPr>
            <w:tcW w:type="dxa" w:w="6236"/>
          </w:tcPr>
          <w:p>
            <w:pPr>
              <w:spacing w:after="20"/>
            </w:pPr>
            <w:r/>
            <w:r>
              <w:rPr>
                <w:b w:val="0"/>
                <w:sz w:val="17"/>
              </w:rPr>
              <w:t>2 Hz</w:t>
            </w:r>
          </w:p>
        </w:tc>
      </w:tr>
      <w:tr>
        <w:tc>
          <w:tcPr>
            <w:tcW w:type="dxa" w:w="1134"/>
          </w:tcPr>
          <w:p>
            <w:pPr>
              <w:spacing w:after="20"/>
            </w:pPr>
            <w:r/>
            <w:r>
              <w:rPr>
                <w:b w:val="0"/>
                <w:sz w:val="17"/>
              </w:rPr>
              <w:t>Z8</w:t>
            </w:r>
          </w:p>
        </w:tc>
        <w:tc>
          <w:tcPr>
            <w:tcW w:type="dxa" w:w="2268"/>
          </w:tcPr>
          <w:p>
            <w:pPr>
              <w:spacing w:after="20"/>
            </w:pPr>
            <w:r/>
            <w:r>
              <w:rPr>
                <w:b w:val="0"/>
                <w:sz w:val="17"/>
              </w:rPr>
              <w:t>KM parametry</w:t>
            </w:r>
          </w:p>
        </w:tc>
        <w:tc>
          <w:tcPr>
            <w:tcW w:type="dxa" w:w="6236"/>
          </w:tcPr>
          <w:p>
            <w:pPr>
              <w:spacing w:after="20"/>
            </w:pPr>
            <w:r/>
            <w:r>
              <w:rPr>
                <w:b w:val="0"/>
                <w:sz w:val="17"/>
              </w:rPr>
              <w:t>0,70</w:t>
            </w:r>
          </w:p>
        </w:tc>
      </w:tr>
      <w:tr>
        <w:tc>
          <w:tcPr>
            <w:tcW w:type="dxa" w:w="1134"/>
          </w:tcPr>
          <w:p>
            <w:pPr>
              <w:spacing w:after="20"/>
            </w:pPr>
            <w:r/>
            <w:r>
              <w:rPr>
                <w:b w:val="0"/>
                <w:sz w:val="17"/>
              </w:rPr>
              <w:t>Z8</w:t>
            </w:r>
          </w:p>
        </w:tc>
        <w:tc>
          <w:tcPr>
            <w:tcW w:type="dxa" w:w="2268"/>
          </w:tcPr>
          <w:p>
            <w:pPr>
              <w:spacing w:after="20"/>
            </w:pPr>
            <w:r/>
            <w:r>
              <w:rPr>
                <w:b w:val="0"/>
                <w:sz w:val="17"/>
              </w:rPr>
              <w:t>KM wpływ</w:t>
            </w:r>
          </w:p>
        </w:tc>
        <w:tc>
          <w:tcPr>
            <w:tcW w:type="dxa" w:w="6236"/>
          </w:tcPr>
          <w:p>
            <w:pPr>
              <w:spacing w:after="20"/>
            </w:pPr>
            <w:r/>
            <w:r>
              <w:rPr>
                <w:b w:val="0"/>
                <w:sz w:val="17"/>
              </w:rPr>
              <w:t>0,60</w:t>
            </w:r>
          </w:p>
        </w:tc>
      </w:tr>
      <w:tr>
        <w:tc>
          <w:tcPr>
            <w:tcW w:type="dxa" w:w="1134"/>
          </w:tcPr>
          <w:p>
            <w:pPr>
              <w:spacing w:after="20"/>
            </w:pPr>
            <w:r/>
            <w:r>
              <w:rPr>
                <w:b w:val="0"/>
                <w:sz w:val="17"/>
              </w:rPr>
              <w:t>Z8</w:t>
            </w:r>
          </w:p>
        </w:tc>
        <w:tc>
          <w:tcPr>
            <w:tcW w:type="dxa" w:w="2268"/>
          </w:tcPr>
          <w:p>
            <w:pPr>
              <w:spacing w:after="20"/>
            </w:pPr>
            <w:r/>
            <w:r>
              <w:rPr>
                <w:b w:val="0"/>
                <w:sz w:val="17"/>
              </w:rPr>
              <w:t>KM wpływ</w:t>
            </w:r>
          </w:p>
        </w:tc>
        <w:tc>
          <w:tcPr>
            <w:tcW w:type="dxa" w:w="6236"/>
          </w:tcPr>
          <w:p>
            <w:pPr>
              <w:spacing w:after="20"/>
            </w:pPr>
            <w:r/>
            <w:r>
              <w:rPr>
                <w:b w:val="0"/>
                <w:sz w:val="17"/>
              </w:rPr>
              <w:t>0,70</w:t>
            </w:r>
          </w:p>
        </w:tc>
      </w:tr>
      <w:tr>
        <w:tc>
          <w:tcPr>
            <w:tcW w:type="dxa" w:w="1134"/>
          </w:tcPr>
          <w:p>
            <w:pPr>
              <w:spacing w:after="20"/>
            </w:pPr>
            <w:r/>
            <w:r>
              <w:rPr>
                <w:b w:val="0"/>
                <w:sz w:val="17"/>
              </w:rPr>
              <w:t>Z9</w:t>
            </w:r>
          </w:p>
        </w:tc>
        <w:tc>
          <w:tcPr>
            <w:tcW w:type="dxa" w:w="2268"/>
          </w:tcPr>
          <w:p>
            <w:pPr>
              <w:spacing w:after="20"/>
            </w:pPr>
            <w:r/>
            <w:r>
              <w:rPr>
                <w:b w:val="0"/>
                <w:sz w:val="17"/>
              </w:rPr>
              <w:t>Zakres</w:t>
            </w:r>
          </w:p>
        </w:tc>
        <w:tc>
          <w:tcPr>
            <w:tcW w:type="dxa" w:w="6236"/>
          </w:tcPr>
          <w:p>
            <w:pPr>
              <w:spacing w:after="20"/>
            </w:pPr>
            <w:r/>
            <w:r>
              <w:rPr>
                <w:b w:val="0"/>
                <w:sz w:val="17"/>
              </w:rPr>
              <w:t>60</w:t>
            </w:r>
          </w:p>
        </w:tc>
      </w:tr>
      <w:tr>
        <w:tc>
          <w:tcPr>
            <w:tcW w:type="dxa" w:w="1134"/>
          </w:tcPr>
          <w:p>
            <w:pPr>
              <w:spacing w:after="20"/>
            </w:pPr>
            <w:r/>
            <w:r>
              <w:rPr>
                <w:b w:val="0"/>
                <w:sz w:val="17"/>
              </w:rPr>
              <w:t>Z9</w:t>
            </w:r>
          </w:p>
        </w:tc>
        <w:tc>
          <w:tcPr>
            <w:tcW w:type="dxa" w:w="2268"/>
          </w:tcPr>
          <w:p>
            <w:pPr>
              <w:spacing w:after="20"/>
            </w:pPr>
            <w:r/>
            <w:r>
              <w:rPr>
                <w:b w:val="0"/>
                <w:sz w:val="17"/>
              </w:rPr>
              <w:t>Zakres</w:t>
            </w:r>
          </w:p>
        </w:tc>
        <w:tc>
          <w:tcPr>
            <w:tcW w:type="dxa" w:w="6236"/>
          </w:tcPr>
          <w:p>
            <w:pPr>
              <w:spacing w:after="20"/>
            </w:pPr>
            <w:r/>
            <w:r>
              <w:rPr>
                <w:b w:val="0"/>
                <w:sz w:val="17"/>
              </w:rPr>
              <w:t>30</w:t>
            </w:r>
          </w:p>
        </w:tc>
      </w:tr>
      <w:tr>
        <w:tc>
          <w:tcPr>
            <w:tcW w:type="dxa" w:w="1134"/>
          </w:tcPr>
          <w:p>
            <w:pPr>
              <w:spacing w:after="20"/>
            </w:pPr>
            <w:r/>
            <w:r>
              <w:rPr>
                <w:b w:val="0"/>
                <w:sz w:val="17"/>
              </w:rPr>
              <w:t>Z9</w:t>
            </w:r>
          </w:p>
        </w:tc>
        <w:tc>
          <w:tcPr>
            <w:tcW w:type="dxa" w:w="2268"/>
          </w:tcPr>
          <w:p>
            <w:pPr>
              <w:spacing w:after="20"/>
            </w:pPr>
            <w:r/>
            <w:r>
              <w:rPr>
                <w:b w:val="0"/>
                <w:sz w:val="17"/>
              </w:rPr>
              <w:t>Zakres</w:t>
            </w:r>
          </w:p>
        </w:tc>
        <w:tc>
          <w:tcPr>
            <w:tcW w:type="dxa" w:w="6236"/>
          </w:tcPr>
          <w:p>
            <w:pPr>
              <w:spacing w:after="20"/>
            </w:pPr>
            <w:r/>
            <w:r>
              <w:rPr>
                <w:b w:val="0"/>
                <w:sz w:val="17"/>
              </w:rPr>
              <w:t>0,72</w:t>
            </w:r>
          </w:p>
        </w:tc>
      </w:tr>
      <w:tr>
        <w:tc>
          <w:tcPr>
            <w:tcW w:type="dxa" w:w="1134"/>
          </w:tcPr>
          <w:p>
            <w:pPr>
              <w:spacing w:after="20"/>
            </w:pPr>
            <w:r/>
            <w:r>
              <w:rPr>
                <w:b w:val="0"/>
                <w:sz w:val="17"/>
              </w:rPr>
              <w:t>Z9</w:t>
            </w:r>
          </w:p>
        </w:tc>
        <w:tc>
          <w:tcPr>
            <w:tcW w:type="dxa" w:w="2268"/>
          </w:tcPr>
          <w:p>
            <w:pPr>
              <w:spacing w:after="20"/>
            </w:pPr>
            <w:r/>
            <w:r>
              <w:rPr>
                <w:b w:val="0"/>
                <w:sz w:val="17"/>
              </w:rPr>
              <w:t>Zakres</w:t>
            </w:r>
          </w:p>
        </w:tc>
        <w:tc>
          <w:tcPr>
            <w:tcW w:type="dxa" w:w="6236"/>
          </w:tcPr>
          <w:p>
            <w:pPr>
              <w:spacing w:after="20"/>
            </w:pPr>
            <w:r/>
            <w:r>
              <w:rPr>
                <w:b w:val="0"/>
                <w:sz w:val="17"/>
              </w:rPr>
              <w:t>0,70</w:t>
            </w:r>
          </w:p>
        </w:tc>
      </w:tr>
      <w:tr>
        <w:tc>
          <w:tcPr>
            <w:tcW w:type="dxa" w:w="1134"/>
          </w:tcPr>
          <w:p>
            <w:pPr>
              <w:spacing w:after="20"/>
            </w:pPr>
            <w:r/>
            <w:r>
              <w:rPr>
                <w:b w:val="0"/>
                <w:sz w:val="17"/>
              </w:rPr>
              <w:t>Z9</w:t>
            </w:r>
          </w:p>
        </w:tc>
        <w:tc>
          <w:tcPr>
            <w:tcW w:type="dxa" w:w="2268"/>
          </w:tcPr>
          <w:p>
            <w:pPr>
              <w:spacing w:after="20"/>
            </w:pPr>
            <w:r/>
            <w:r>
              <w:rPr>
                <w:b w:val="0"/>
                <w:sz w:val="17"/>
              </w:rPr>
              <w:t>Zakres</w:t>
            </w:r>
          </w:p>
        </w:tc>
        <w:tc>
          <w:tcPr>
            <w:tcW w:type="dxa" w:w="6236"/>
          </w:tcPr>
          <w:p>
            <w:pPr>
              <w:spacing w:after="20"/>
            </w:pPr>
            <w:r/>
            <w:r>
              <w:rPr>
                <w:b w:val="0"/>
                <w:sz w:val="17"/>
              </w:rPr>
              <w:t>0,80</w:t>
            </w:r>
          </w:p>
        </w:tc>
      </w:tr>
      <w:tr>
        <w:tc>
          <w:tcPr>
            <w:tcW w:type="dxa" w:w="1134"/>
          </w:tcPr>
          <w:p>
            <w:pPr>
              <w:spacing w:after="20"/>
            </w:pPr>
            <w:r/>
            <w:r>
              <w:rPr>
                <w:b w:val="0"/>
                <w:sz w:val="17"/>
              </w:rPr>
              <w:t>Z9</w:t>
            </w:r>
          </w:p>
        </w:tc>
        <w:tc>
          <w:tcPr>
            <w:tcW w:type="dxa" w:w="2268"/>
          </w:tcPr>
          <w:p>
            <w:pPr>
              <w:spacing w:after="20"/>
            </w:pPr>
            <w:r/>
            <w:r>
              <w:rPr>
                <w:b w:val="0"/>
                <w:sz w:val="17"/>
              </w:rPr>
              <w:t>KM parametry</w:t>
            </w:r>
          </w:p>
        </w:tc>
        <w:tc>
          <w:tcPr>
            <w:tcW w:type="dxa" w:w="6236"/>
          </w:tcPr>
          <w:p>
            <w:pPr>
              <w:spacing w:after="20"/>
            </w:pPr>
            <w:r/>
            <w:r>
              <w:rPr>
                <w:b w:val="0"/>
                <w:sz w:val="17"/>
              </w:rPr>
              <w:t>0,72</w:t>
            </w:r>
          </w:p>
        </w:tc>
      </w:tr>
      <w:tr>
        <w:tc>
          <w:tcPr>
            <w:tcW w:type="dxa" w:w="1134"/>
          </w:tcPr>
          <w:p>
            <w:pPr>
              <w:spacing w:after="20"/>
            </w:pPr>
            <w:r/>
            <w:r>
              <w:rPr>
                <w:b w:val="0"/>
                <w:sz w:val="17"/>
              </w:rPr>
              <w:t>Z9</w:t>
            </w:r>
          </w:p>
        </w:tc>
        <w:tc>
          <w:tcPr>
            <w:tcW w:type="dxa" w:w="2268"/>
          </w:tcPr>
          <w:p>
            <w:pPr>
              <w:spacing w:after="20"/>
            </w:pPr>
            <w:r/>
            <w:r>
              <w:rPr>
                <w:b w:val="0"/>
                <w:sz w:val="17"/>
              </w:rPr>
              <w:t>KM parametry</w:t>
            </w:r>
          </w:p>
        </w:tc>
        <w:tc>
          <w:tcPr>
            <w:tcW w:type="dxa" w:w="6236"/>
          </w:tcPr>
          <w:p>
            <w:pPr>
              <w:spacing w:after="20"/>
            </w:pPr>
            <w:r/>
            <w:r>
              <w:rPr>
                <w:b w:val="0"/>
                <w:sz w:val="17"/>
              </w:rPr>
              <w:t>0,70</w:t>
            </w:r>
          </w:p>
        </w:tc>
      </w:tr>
      <w:tr>
        <w:tc>
          <w:tcPr>
            <w:tcW w:type="dxa" w:w="1134"/>
          </w:tcPr>
          <w:p>
            <w:pPr>
              <w:spacing w:after="20"/>
            </w:pPr>
            <w:r/>
            <w:r>
              <w:rPr>
                <w:b w:val="0"/>
                <w:sz w:val="17"/>
              </w:rPr>
              <w:t>Z9</w:t>
            </w:r>
          </w:p>
        </w:tc>
        <w:tc>
          <w:tcPr>
            <w:tcW w:type="dxa" w:w="2268"/>
          </w:tcPr>
          <w:p>
            <w:pPr>
              <w:spacing w:after="20"/>
            </w:pPr>
            <w:r/>
            <w:r>
              <w:rPr>
                <w:b w:val="0"/>
                <w:sz w:val="17"/>
              </w:rPr>
              <w:t>KM parametry</w:t>
            </w:r>
          </w:p>
        </w:tc>
        <w:tc>
          <w:tcPr>
            <w:tcW w:type="dxa" w:w="6236"/>
          </w:tcPr>
          <w:p>
            <w:pPr>
              <w:spacing w:after="20"/>
            </w:pPr>
            <w:r/>
            <w:r>
              <w:rPr>
                <w:b w:val="0"/>
                <w:sz w:val="17"/>
              </w:rPr>
              <w:t>0,80</w:t>
            </w:r>
          </w:p>
        </w:tc>
      </w:tr>
      <w:tr>
        <w:tc>
          <w:tcPr>
            <w:tcW w:type="dxa" w:w="1134"/>
          </w:tcPr>
          <w:p>
            <w:pPr>
              <w:spacing w:after="20"/>
            </w:pPr>
            <w:r/>
            <w:r>
              <w:rPr>
                <w:b w:val="0"/>
                <w:sz w:val="17"/>
              </w:rPr>
              <w:t>Z9</w:t>
            </w:r>
          </w:p>
        </w:tc>
        <w:tc>
          <w:tcPr>
            <w:tcW w:type="dxa" w:w="2268"/>
          </w:tcPr>
          <w:p>
            <w:pPr>
              <w:spacing w:after="20"/>
            </w:pPr>
            <w:r/>
            <w:r>
              <w:rPr>
                <w:b w:val="0"/>
                <w:sz w:val="17"/>
              </w:rPr>
              <w:t>KM wpływ</w:t>
            </w:r>
          </w:p>
        </w:tc>
        <w:tc>
          <w:tcPr>
            <w:tcW w:type="dxa" w:w="6236"/>
          </w:tcPr>
          <w:p>
            <w:pPr>
              <w:spacing w:after="20"/>
            </w:pPr>
            <w:r/>
            <w:r>
              <w:rPr>
                <w:b w:val="0"/>
                <w:sz w:val="17"/>
              </w:rPr>
              <w:t>8 tygodni</w:t>
            </w:r>
          </w:p>
        </w:tc>
      </w:tr>
      <w:tr>
        <w:tc>
          <w:tcPr>
            <w:tcW w:type="dxa" w:w="1134"/>
          </w:tcPr>
          <w:p>
            <w:pPr>
              <w:spacing w:after="20"/>
            </w:pPr>
            <w:r/>
            <w:r>
              <w:rPr>
                <w:b w:val="0"/>
                <w:sz w:val="17"/>
              </w:rPr>
              <w:t>Z9</w:t>
            </w:r>
          </w:p>
        </w:tc>
        <w:tc>
          <w:tcPr>
            <w:tcW w:type="dxa" w:w="2268"/>
          </w:tcPr>
          <w:p>
            <w:pPr>
              <w:spacing w:after="20"/>
            </w:pPr>
            <w:r/>
            <w:r>
              <w:rPr>
                <w:b w:val="0"/>
                <w:sz w:val="17"/>
              </w:rPr>
              <w:t>KM wpływ</w:t>
            </w:r>
          </w:p>
        </w:tc>
        <w:tc>
          <w:tcPr>
            <w:tcW w:type="dxa" w:w="6236"/>
          </w:tcPr>
          <w:p>
            <w:pPr>
              <w:spacing w:after="20"/>
            </w:pPr>
            <w:r/>
            <w:r>
              <w:rPr>
                <w:b w:val="0"/>
                <w:sz w:val="17"/>
              </w:rPr>
              <w:t>0,70</w:t>
            </w:r>
          </w:p>
        </w:tc>
      </w:tr>
      <w:tr>
        <w:tc>
          <w:tcPr>
            <w:tcW w:type="dxa" w:w="1134"/>
          </w:tcPr>
          <w:p>
            <w:pPr>
              <w:spacing w:after="20"/>
            </w:pPr>
            <w:r/>
            <w:r>
              <w:rPr>
                <w:b w:val="0"/>
                <w:sz w:val="17"/>
              </w:rPr>
              <w:t>Z9</w:t>
            </w:r>
          </w:p>
        </w:tc>
        <w:tc>
          <w:tcPr>
            <w:tcW w:type="dxa" w:w="2268"/>
          </w:tcPr>
          <w:p>
            <w:pPr>
              <w:spacing w:after="20"/>
            </w:pPr>
            <w:r/>
            <w:r>
              <w:rPr>
                <w:b w:val="0"/>
                <w:sz w:val="17"/>
              </w:rPr>
              <w:t>KM wpływ</w:t>
            </w:r>
          </w:p>
        </w:tc>
        <w:tc>
          <w:tcPr>
            <w:tcW w:type="dxa" w:w="6236"/>
          </w:tcPr>
          <w:p>
            <w:pPr>
              <w:spacing w:after="20"/>
            </w:pPr>
            <w:r/>
            <w:r>
              <w:rPr>
                <w:b w:val="0"/>
                <w:sz w:val="17"/>
              </w:rPr>
              <w:t>0,60</w:t>
            </w:r>
          </w:p>
        </w:tc>
      </w:tr>
    </w:tbl>
    <w:p/>
    <w:p>
      <w:pPr>
        <w:spacing w:after="60"/>
      </w:pPr>
      <w:r>
        <w:rPr>
          <w:b w:val="0"/>
        </w:rPr>
        <w:t>Razem 61 wartości. Progi graniczne (no-go) i wartości przejściowe proponuje autor tekstu na podstawie parametrów głównych. Zespół techniczny powinien potwierdzić albo zmienić każdą z nich.</w:t>
      </w:r>
    </w:p>
    <w:p>
      <w:pPr>
        <w:pStyle w:val="Heading2"/>
      </w:pPr>
      <w:r>
        <w:t>2. Założenia i otwarte kwestie</w:t>
      </w:r>
    </w:p>
    <w:p>
      <w:pPr>
        <w:ind w:left="340" w:hanging="340"/>
      </w:pPr>
      <w:r>
        <w:rPr>
          <w:b/>
        </w:rPr>
        <w:t xml:space="preserve">1. </w:t>
      </w:r>
      <w:r>
        <w:t>Kamery (Z1, Z3, Z5, Z7): typ i liczba kamer do rozstrzygnięcia z działem technicznym, oznaczone gwiazdką.</w:t>
      </w:r>
    </w:p>
    <w:p>
      <w:pPr>
        <w:ind w:left="340" w:hanging="340"/>
      </w:pPr>
      <w:r>
        <w:rPr>
          <w:b/>
        </w:rPr>
        <w:t xml:space="preserve">2. </w:t>
      </w:r>
      <w:r>
        <w:t>Komitet sterujący: opisy kamieni zakładają organ w składzie kierownik zarządzający (przewodniczący), kierownik B+R i przedstawiciel PRz. Trzeba potwierdzić, że taki organ istnieje w umowie konsorcjum albo go tam wpisać. Alternatywa: decyzja kierownika zarządzającego po opinii kierownika B+R.</w:t>
      </w:r>
    </w:p>
    <w:p>
      <w:pPr>
        <w:ind w:left="340" w:hanging="340"/>
      </w:pPr>
      <w:r>
        <w:rPr>
          <w:b/>
        </w:rPr>
        <w:t xml:space="preserve">3. </w:t>
      </w:r>
      <w:r>
        <w:t>Terminy wewnątrz zadań (miesiące w akapitach o kolejności prac, start anotacji w M9, protokół zbioru do M8) są propozycją spójną z zależnościami między zadaniami i wymagają potwierdzenia przez zespół.</w:t>
      </w:r>
    </w:p>
    <w:p>
      <w:pPr>
        <w:ind w:left="340" w:hanging="340"/>
      </w:pPr>
      <w:r>
        <w:rPr>
          <w:b/>
        </w:rPr>
        <w:t xml:space="preserve">4. </w:t>
      </w:r>
      <w:r>
        <w:t>Anotatorzy: zakres 10 miesięcy wynika z kosztu w budżecie (3 etaty przez 10 miesięcy). Szacunek nakładu w opisie (około 2750-3000 godzin na anotację 15 000 klatek, reszta na próbę zgodności i reanotację) trzeba porównać z liczbą godzin przy 3 etatach i 10 miesiącach.</w:t>
      </w:r>
    </w:p>
    <w:p>
      <w:pPr>
        <w:ind w:left="340" w:hanging="340"/>
      </w:pPr>
      <w:r>
        <w:rPr>
          <w:b/>
        </w:rPr>
        <w:t xml:space="preserve">5. </w:t>
      </w:r>
      <w:r>
        <w:t>Flota testowa: teksty mówią o pojazdach floty testowej, bez wskazania właściciela, bo właściciel (flota własna Everest11 w najmie albo pojazdy partnera) zależy od decyzji o flocie. W Z9 zachowano wymóg, by ewaluator nie miał powiązań z Natanek Logistics.</w:t>
      </w:r>
    </w:p>
    <w:p>
      <w:pPr>
        <w:ind w:left="340" w:hanging="340"/>
      </w:pPr>
      <w:r>
        <w:rPr>
          <w:b/>
        </w:rPr>
        <w:t xml:space="preserve">6. </w:t>
      </w:r>
      <w:r>
        <w:t>Podział etatów w Z6, Z7 i Z9 dla sześciu stanowisk Everest11: obecnie koszt jest dzielony na trzy równe części, co ekspert kwestionuje w uwagach 36 i 37. Opisy podają zakres czynności bez liczb. Rzeczywisty podział miesięcy trzeba ustalić i wpisać w budżecie. Propozycja rozkładu przy zachowaniu sumy kosztów może być przygotowana w bloku budżetowym.</w:t>
      </w:r>
    </w:p>
    <w:p>
      <w:pPr>
        <w:ind w:left="340" w:hanging="340"/>
      </w:pPr>
      <w:r>
        <w:rPr>
          <w:b/>
        </w:rPr>
        <w:t xml:space="preserve">7. </w:t>
      </w:r>
      <w:r>
        <w:t>Punkt 6.1: opis Jakuba Kosterny zawiera przygotowanie dokumentacji do zgłoszenia patentowego, a opis Michała Hajduka ocenę trafności alertów. Oba zapisy trzeba dostosować do opisów Z9 i Z11 (patent w Z11, ocena alertów skryptem, bez udziału pracownika odbiorcy).</w:t>
      </w:r>
    </w:p>
    <w:p>
      <w:pPr>
        <w:ind w:left="340" w:hanging="340"/>
      </w:pPr>
      <w:r>
        <w:rPr>
          <w:b/>
        </w:rPr>
        <w:t xml:space="preserve">8. </w:t>
      </w:r>
      <w:r>
        <w:t>Dokumentacja AI Act i RODO: w Z2, Z6 i Z9 usunięto ją z prac B+R specjalisty ds. cyberbezpieczeństwa (pozostają prace techniczne: szyfrowanie, podpis, testy bezpieczeństwa). Zgodnie z 6.1 zgodność z AI Act i RODO jest czynnością przedwdrożeniową.</w:t>
      </w:r>
    </w:p>
    <w:p>
      <w:pPr>
        <w:ind w:left="340" w:hanging="340"/>
      </w:pPr>
      <w:r>
        <w:rPr>
          <w:b/>
        </w:rPr>
        <w:t xml:space="preserve">9. </w:t>
      </w:r>
      <w:r>
        <w:t>Organizacja przejazdów w Z2 opisana jako zwykła działalność przewozowa poza kosztami B+R: potwierdzić, że żadne koszty tej czynności nie są w budżecie.</w:t>
      </w:r>
    </w:p>
    <w:p>
      <w:r>
        <w:br w:type="page"/>
      </w:r>
    </w:p>
    <w:p>
      <w:pPr>
        <w:pStyle w:val="Heading1"/>
      </w:pPr>
      <w:r>
        <w:t>Aneks E. Miejsca we wniosku do dostosowania do nowych tekstów</w:t>
      </w:r>
    </w:p>
    <w:p>
      <w:pPr>
        <w:spacing w:after="60"/>
      </w:pPr>
      <w:r>
        <w:rPr>
          <w:b w:val="0"/>
        </w:rPr>
        <w:t>Przegląd całego wniosku pod kątem sprzeczności z nowymi opisami zadań, kamieniami milowymi i ryzykami. Każda pozycja wskazuje miejsce, obecny zapis i wymaganą zmianę. Pozycje o priorytecie wysokim trzeba poprawić przed wysłaniem korekty, bo ekspert wskazał je w uwagach albo tworzą wprost sprzeczność w ocenianych polach.</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D9E2F3"/>
          </w:tcPr>
          <w:p>
            <w:pPr>
              <w:spacing w:after="20"/>
            </w:pPr>
            <w:r/>
            <w:r>
              <w:rPr>
                <w:b/>
                <w:sz w:val="15"/>
              </w:rPr>
              <w:t>Nr</w:t>
            </w:r>
          </w:p>
        </w:tc>
        <w:tc>
          <w:tcPr>
            <w:tcW w:type="dxa" w:w="1871"/>
            <w:shd w:val="clear" w:color="auto" w:fill="D9E2F3"/>
          </w:tcPr>
          <w:p>
            <w:pPr>
              <w:spacing w:after="20"/>
            </w:pPr>
            <w:r/>
            <w:r>
              <w:rPr>
                <w:b/>
                <w:sz w:val="15"/>
              </w:rPr>
              <w:t>Miejsce we wniosku</w:t>
            </w:r>
          </w:p>
        </w:tc>
        <w:tc>
          <w:tcPr>
            <w:tcW w:type="dxa" w:w="2041"/>
            <w:shd w:val="clear" w:color="auto" w:fill="D9E2F3"/>
          </w:tcPr>
          <w:p>
            <w:pPr>
              <w:spacing w:after="20"/>
            </w:pPr>
            <w:r/>
            <w:r>
              <w:rPr>
                <w:b/>
                <w:sz w:val="15"/>
              </w:rPr>
              <w:t>Obecny zapis</w:t>
            </w:r>
          </w:p>
        </w:tc>
        <w:tc>
          <w:tcPr>
            <w:tcW w:type="dxa" w:w="3175"/>
            <w:shd w:val="clear" w:color="auto" w:fill="D9E2F3"/>
          </w:tcPr>
          <w:p>
            <w:pPr>
              <w:spacing w:after="20"/>
            </w:pPr>
            <w:r/>
            <w:r>
              <w:rPr>
                <w:b/>
                <w:sz w:val="15"/>
              </w:rPr>
              <w:t>Wymagana zmiana</w:t>
            </w:r>
          </w:p>
        </w:tc>
        <w:tc>
          <w:tcPr>
            <w:tcW w:type="dxa" w:w="1247"/>
            <w:shd w:val="clear" w:color="auto" w:fill="D9E2F3"/>
          </w:tcPr>
          <w:p>
            <w:pPr>
              <w:spacing w:after="20"/>
            </w:pPr>
            <w:r/>
            <w:r>
              <w:rPr>
                <w:b/>
                <w:sz w:val="15"/>
              </w:rPr>
              <w:t>Źródło</w:t>
            </w:r>
          </w:p>
        </w:tc>
        <w:tc>
          <w:tcPr>
            <w:tcW w:type="dxa" w:w="737"/>
            <w:shd w:val="clear" w:color="auto" w:fill="D9E2F3"/>
          </w:tcPr>
          <w:p>
            <w:pPr>
              <w:spacing w:after="20"/>
            </w:pPr>
            <w:r/>
            <w:r>
              <w:rPr>
                <w:b/>
                <w:sz w:val="15"/>
              </w:rPr>
              <w:t>Priorytet</w:t>
            </w:r>
          </w:p>
        </w:tc>
      </w:tr>
      <w:tr>
        <w:tc>
          <w:tcPr>
            <w:tcW w:type="dxa" w:w="567"/>
          </w:tcPr>
          <w:p>
            <w:pPr>
              <w:spacing w:after="20"/>
            </w:pPr>
            <w:r/>
            <w:r>
              <w:rPr>
                <w:b w:val="0"/>
                <w:sz w:val="15"/>
              </w:rPr>
              <w:t>N01</w:t>
            </w:r>
          </w:p>
        </w:tc>
        <w:tc>
          <w:tcPr>
            <w:tcW w:type="dxa" w:w="1871"/>
          </w:tcPr>
          <w:p>
            <w:pPr>
              <w:spacing w:after="20"/>
            </w:pPr>
            <w:r/>
            <w:r>
              <w:rPr>
                <w:b w:val="0"/>
                <w:sz w:val="15"/>
              </w:rPr>
              <w:t>3.1.1 Nazwa zadania Z6 (i wszystkie pozycje kosztowe Z6 w 3.1.2)</w:t>
            </w:r>
          </w:p>
        </w:tc>
        <w:tc>
          <w:tcPr>
            <w:tcW w:type="dxa" w:w="2041"/>
          </w:tcPr>
          <w:p>
            <w:pPr>
              <w:spacing w:after="20"/>
            </w:pPr>
            <w:r/>
            <w:r>
              <w:rPr>
                <w:b w:val="0"/>
                <w:sz w:val="15"/>
              </w:rPr>
              <w:t>„Pipeline PoC + integracja TMS/eFTI/e-CMR (Z6)”: nazwa obejmuje integrację TMS i e-CMR, które opis Z6 wyłącza z prac B+R i kosztów.</w:t>
            </w:r>
          </w:p>
        </w:tc>
        <w:tc>
          <w:tcPr>
            <w:tcW w:type="dxa" w:w="3175"/>
          </w:tcPr>
          <w:p>
            <w:pPr>
              <w:spacing w:after="20"/>
            </w:pPr>
            <w:r/>
            <w:r>
              <w:rPr>
                <w:b w:val="0"/>
                <w:sz w:val="15"/>
              </w:rPr>
              <w:t>Zmienić nazwę, np. na „Pipeline PoL/PoC i zgodność z eFTI (Z6)”, we wszystkich pozycjach budżetu Z6 i w modelu finansowym. Alternatywa: zostawić nazwę i dodać w opisie zdanie, że integracje standardowe są poza zakresem (obecnie jest). Wymaga decyzji właściciela.</w:t>
            </w:r>
          </w:p>
        </w:tc>
        <w:tc>
          <w:tcPr>
            <w:tcW w:type="dxa" w:w="1247"/>
          </w:tcPr>
          <w:p>
            <w:pPr>
              <w:spacing w:after="20"/>
            </w:pPr>
            <w:r/>
            <w:r>
              <w:rPr>
                <w:b w:val="0"/>
                <w:sz w:val="15"/>
              </w:rPr>
              <w:t>K3-08; D24</w:t>
            </w:r>
          </w:p>
        </w:tc>
        <w:tc>
          <w:tcPr>
            <w:tcW w:type="dxa" w:w="737"/>
          </w:tcPr>
          <w:p>
            <w:pPr>
              <w:spacing w:after="20"/>
            </w:pPr>
            <w:r/>
            <w:r>
              <w:rPr>
                <w:b w:val="0"/>
                <w:sz w:val="15"/>
              </w:rPr>
              <w:t>WYSOKI</w:t>
            </w:r>
          </w:p>
        </w:tc>
      </w:tr>
      <w:tr>
        <w:tc>
          <w:tcPr>
            <w:tcW w:type="dxa" w:w="567"/>
          </w:tcPr>
          <w:p>
            <w:pPr>
              <w:spacing w:after="20"/>
            </w:pPr>
            <w:r/>
            <w:r>
              <w:rPr>
                <w:b w:val="0"/>
                <w:sz w:val="15"/>
              </w:rPr>
              <w:t>N02</w:t>
            </w:r>
          </w:p>
        </w:tc>
        <w:tc>
          <w:tcPr>
            <w:tcW w:type="dxa" w:w="1871"/>
          </w:tcPr>
          <w:p>
            <w:pPr>
              <w:spacing w:after="20"/>
            </w:pPr>
            <w:r/>
            <w:r>
              <w:rPr>
                <w:b w:val="0"/>
                <w:sz w:val="15"/>
              </w:rPr>
              <w:t>1.2 Wskaźnik innowacyjności nr 1 (model 3D): wartość docelowa, jednostka, metodologia</w:t>
            </w:r>
          </w:p>
        </w:tc>
        <w:tc>
          <w:tcPr>
            <w:tcW w:type="dxa" w:w="2041"/>
          </w:tcPr>
          <w:p>
            <w:pPr>
              <w:spacing w:after="20"/>
            </w:pPr>
            <w:r/>
            <w:r>
              <w:rPr>
                <w:b w:val="0"/>
                <w:sz w:val="15"/>
              </w:rPr>
              <w:t>„Błąd estymacji pozycji ≤30 cm”, jednostka [cm]/[Hz]; uzasadnienie, że błąd 30 cm pozwala wykryć przemieszczenie 100 mm.</w:t>
            </w:r>
          </w:p>
        </w:tc>
        <w:tc>
          <w:tcPr>
            <w:tcW w:type="dxa" w:w="3175"/>
          </w:tcPr>
          <w:p>
            <w:pPr>
              <w:spacing w:after="20"/>
            </w:pPr>
            <w:r/>
            <w:r>
              <w:rPr>
                <w:b w:val="0"/>
                <w:sz w:val="15"/>
              </w:rPr>
              <w:t xml:space="preserve">Jednostka [m]/[Hz]. Wartość: mediana nie więcej niż 0,30 m i percentyl 95 nie więcej niż 0,35 m. Poprawić uzasadnienie: wykrywanie przemieszczeń od 0,10 m opiera się na błędzie przemieszczenia względnego (mediana </w:t>
            </w:r>
            <w:r>
              <w:rPr>
                <w:b w:val="0"/>
                <w:sz w:val="15"/>
                <w:highlight w:val="yellow"/>
              </w:rPr>
              <w:t>0,03 m</w:t>
            </w:r>
            <w:r>
              <w:rPr>
                <w:b w:val="0"/>
                <w:sz w:val="15"/>
              </w:rPr>
              <w:t>), a nie na błędzie pozycji bezwzględnej. Weryfikacja: Z5 (rig) i Z9 (1000 pomiarów).</w:t>
            </w:r>
          </w:p>
        </w:tc>
        <w:tc>
          <w:tcPr>
            <w:tcW w:type="dxa" w:w="1247"/>
          </w:tcPr>
          <w:p>
            <w:pPr>
              <w:spacing w:after="20"/>
            </w:pPr>
            <w:r/>
            <w:r>
              <w:rPr>
                <w:b w:val="0"/>
                <w:sz w:val="15"/>
              </w:rPr>
              <w:t>K3-16, K3-17, K3-13; KM-Z5, KM-Z9</w:t>
            </w:r>
          </w:p>
        </w:tc>
        <w:tc>
          <w:tcPr>
            <w:tcW w:type="dxa" w:w="737"/>
          </w:tcPr>
          <w:p>
            <w:pPr>
              <w:spacing w:after="20"/>
            </w:pPr>
            <w:r/>
            <w:r>
              <w:rPr>
                <w:b w:val="0"/>
                <w:sz w:val="15"/>
              </w:rPr>
              <w:t>WYSOKI</w:t>
            </w:r>
          </w:p>
        </w:tc>
      </w:tr>
      <w:tr>
        <w:tc>
          <w:tcPr>
            <w:tcW w:type="dxa" w:w="567"/>
          </w:tcPr>
          <w:p>
            <w:pPr>
              <w:spacing w:after="20"/>
            </w:pPr>
            <w:r/>
            <w:r>
              <w:rPr>
                <w:b w:val="0"/>
                <w:sz w:val="15"/>
              </w:rPr>
              <w:t>N03</w:t>
            </w:r>
          </w:p>
        </w:tc>
        <w:tc>
          <w:tcPr>
            <w:tcW w:type="dxa" w:w="1871"/>
          </w:tcPr>
          <w:p>
            <w:pPr>
              <w:spacing w:after="20"/>
            </w:pPr>
            <w:r/>
            <w:r>
              <w:rPr>
                <w:b w:val="0"/>
                <w:sz w:val="15"/>
              </w:rPr>
              <w:t>1.2 Wskaźnik nr 2 (AUC-ROC): wartość bazowa i weryfikacja</w:t>
            </w:r>
          </w:p>
        </w:tc>
        <w:tc>
          <w:tcPr>
            <w:tcW w:type="dxa" w:w="2041"/>
          </w:tcPr>
          <w:p>
            <w:pPr>
              <w:spacing w:after="20"/>
            </w:pPr>
            <w:r/>
            <w:r>
              <w:rPr>
                <w:b w:val="0"/>
                <w:sz w:val="15"/>
              </w:rPr>
              <w:t>Baza AUC-ROC 0,50 (klasyfikator losowy); weryfikacja: „niezależna walidacja Everest11 na danych terenowych Z9”.</w:t>
            </w:r>
          </w:p>
        </w:tc>
        <w:tc>
          <w:tcPr>
            <w:tcW w:type="dxa" w:w="3175"/>
          </w:tcPr>
          <w:p>
            <w:pPr>
              <w:spacing w:after="20"/>
            </w:pPr>
            <w:r/>
            <w:r>
              <w:rPr>
                <w:b w:val="0"/>
                <w:sz w:val="15"/>
              </w:rPr>
              <w:t>Baza: wynik detektora progowego wg EN 12195-1 zmierzony na tym samym teście w Z4 (D16). Wartość docelowa 0,85 dotyczy modelu FP32 (KM-Z4); w Z9 model po kompresji nie mniej niż 0,82. Usunąć sformułowanie o niezależnej walidacji Everest11, zastąpić ścieżką audytu Z9.</w:t>
            </w:r>
          </w:p>
        </w:tc>
        <w:tc>
          <w:tcPr>
            <w:tcW w:type="dxa" w:w="1247"/>
          </w:tcPr>
          <w:p>
            <w:pPr>
              <w:spacing w:after="20"/>
            </w:pPr>
            <w:r/>
            <w:r>
              <w:rPr>
                <w:b w:val="0"/>
                <w:sz w:val="15"/>
              </w:rPr>
              <w:t>K1-03, K3-15, K3-19; D16, D22</w:t>
            </w:r>
          </w:p>
        </w:tc>
        <w:tc>
          <w:tcPr>
            <w:tcW w:type="dxa" w:w="737"/>
          </w:tcPr>
          <w:p>
            <w:pPr>
              <w:spacing w:after="20"/>
            </w:pPr>
            <w:r/>
            <w:r>
              <w:rPr>
                <w:b w:val="0"/>
                <w:sz w:val="15"/>
              </w:rPr>
              <w:t>WYSOKI</w:t>
            </w:r>
          </w:p>
        </w:tc>
      </w:tr>
      <w:tr>
        <w:tc>
          <w:tcPr>
            <w:tcW w:type="dxa" w:w="567"/>
          </w:tcPr>
          <w:p>
            <w:pPr>
              <w:spacing w:after="20"/>
            </w:pPr>
            <w:r/>
            <w:r>
              <w:rPr>
                <w:b w:val="0"/>
                <w:sz w:val="15"/>
              </w:rPr>
              <w:t>N04</w:t>
            </w:r>
          </w:p>
        </w:tc>
        <w:tc>
          <w:tcPr>
            <w:tcW w:type="dxa" w:w="1871"/>
          </w:tcPr>
          <w:p>
            <w:pPr>
              <w:spacing w:after="20"/>
            </w:pPr>
            <w:r/>
            <w:r>
              <w:rPr>
                <w:b w:val="0"/>
                <w:sz w:val="15"/>
              </w:rPr>
              <w:t>1.2 Wskaźnik nr 3 (mAP)</w:t>
            </w:r>
          </w:p>
        </w:tc>
        <w:tc>
          <w:tcPr>
            <w:tcW w:type="dxa" w:w="2041"/>
          </w:tcPr>
          <w:p>
            <w:pPr>
              <w:spacing w:after="20"/>
            </w:pPr>
            <w:r/>
            <w:r>
              <w:rPr>
                <w:b w:val="0"/>
                <w:sz w:val="15"/>
              </w:rPr>
              <w:t>Wartość bazowa „N/D” w jednym miejscu i „0%” w innym; weryfikacja: „ocena eksperta TSL Everest11 jako ground truth”.</w:t>
            </w:r>
          </w:p>
        </w:tc>
        <w:tc>
          <w:tcPr>
            <w:tcW w:type="dxa" w:w="3175"/>
          </w:tcPr>
          <w:p>
            <w:pPr>
              <w:spacing w:after="20"/>
            </w:pPr>
            <w:r/>
            <w:r>
              <w:rPr>
                <w:b w:val="0"/>
                <w:sz w:val="15"/>
              </w:rPr>
              <w:t>Ujednolicić bazę jako „brak systemu, wartość 0”. Podać mAP 0,75 dla FP32 i 0,72 po kompresji (Z9). Ground truth: inspekcje z Z2 i procedura ślepa z Z9, bez wskazywania jednej osoby.</w:t>
            </w:r>
          </w:p>
        </w:tc>
        <w:tc>
          <w:tcPr>
            <w:tcW w:type="dxa" w:w="1247"/>
          </w:tcPr>
          <w:p>
            <w:pPr>
              <w:spacing w:after="20"/>
            </w:pPr>
            <w:r/>
            <w:r>
              <w:rPr>
                <w:b w:val="0"/>
                <w:sz w:val="15"/>
              </w:rPr>
              <w:t>K3-15, K3-19; D05, D22</w:t>
            </w:r>
          </w:p>
        </w:tc>
        <w:tc>
          <w:tcPr>
            <w:tcW w:type="dxa" w:w="737"/>
          </w:tcPr>
          <w:p>
            <w:pPr>
              <w:spacing w:after="20"/>
            </w:pPr>
            <w:r/>
            <w:r>
              <w:rPr>
                <w:b w:val="0"/>
                <w:sz w:val="15"/>
              </w:rPr>
              <w:t>WYSOKI</w:t>
            </w:r>
          </w:p>
        </w:tc>
      </w:tr>
      <w:tr>
        <w:tc>
          <w:tcPr>
            <w:tcW w:type="dxa" w:w="567"/>
          </w:tcPr>
          <w:p>
            <w:pPr>
              <w:spacing w:after="20"/>
            </w:pPr>
            <w:r/>
            <w:r>
              <w:rPr>
                <w:b w:val="0"/>
                <w:sz w:val="15"/>
              </w:rPr>
              <w:t>N05</w:t>
            </w:r>
          </w:p>
        </w:tc>
        <w:tc>
          <w:tcPr>
            <w:tcW w:type="dxa" w:w="1871"/>
          </w:tcPr>
          <w:p>
            <w:pPr>
              <w:spacing w:after="20"/>
            </w:pPr>
            <w:r/>
            <w:r>
              <w:rPr>
                <w:b w:val="0"/>
                <w:sz w:val="15"/>
              </w:rPr>
              <w:t>1.2 Wskaźnik nr 4 (czas PoC i zgodność z eFTI)</w:t>
            </w:r>
          </w:p>
        </w:tc>
        <w:tc>
          <w:tcPr>
            <w:tcW w:type="dxa" w:w="2041"/>
          </w:tcPr>
          <w:p>
            <w:pPr>
              <w:spacing w:after="20"/>
            </w:pPr>
            <w:r/>
            <w:r>
              <w:rPr>
                <w:b w:val="0"/>
                <w:sz w:val="15"/>
              </w:rPr>
              <w:t>„Testy terenowe Z9 na min. 50 cyklach”; zgodność z polami eFTI ≥95% bez określenia mianownika.</w:t>
            </w:r>
          </w:p>
        </w:tc>
        <w:tc>
          <w:tcPr>
            <w:tcW w:type="dxa" w:w="3175"/>
          </w:tcPr>
          <w:p>
            <w:pPr>
              <w:spacing w:after="20"/>
            </w:pPr>
            <w:r/>
            <w:r>
              <w:rPr>
                <w:b w:val="0"/>
                <w:sz w:val="15"/>
              </w:rPr>
              <w:t xml:space="preserve">Z9: co najmniej 200 cykli. Doprecyzować: 95% wszystkich pól obligatoryjnych; zgodność treści PoL/PoC z ground truth co najmniej 90% </w:t>
            </w:r>
            <w:r>
              <w:rPr>
                <w:b w:val="0"/>
                <w:sz w:val="15"/>
                <w:highlight w:val="yellow"/>
              </w:rPr>
              <w:t>do potwierdzenia</w:t>
            </w:r>
            <w:r>
              <w:rPr>
                <w:b w:val="0"/>
                <w:sz w:val="15"/>
              </w:rPr>
              <w:t xml:space="preserve"> (KM-Z6).</w:t>
            </w:r>
          </w:p>
        </w:tc>
        <w:tc>
          <w:tcPr>
            <w:tcW w:type="dxa" w:w="1247"/>
          </w:tcPr>
          <w:p>
            <w:pPr>
              <w:spacing w:after="20"/>
            </w:pPr>
            <w:r/>
            <w:r>
              <w:rPr>
                <w:b w:val="0"/>
                <w:sz w:val="15"/>
              </w:rPr>
              <w:t>K3-20; KM-Z6, KM-Z9</w:t>
            </w:r>
          </w:p>
        </w:tc>
        <w:tc>
          <w:tcPr>
            <w:tcW w:type="dxa" w:w="737"/>
          </w:tcPr>
          <w:p>
            <w:pPr>
              <w:spacing w:after="20"/>
            </w:pPr>
            <w:r/>
            <w:r>
              <w:rPr>
                <w:b w:val="0"/>
                <w:sz w:val="15"/>
              </w:rPr>
              <w:t>ŚREDNI</w:t>
            </w:r>
          </w:p>
        </w:tc>
      </w:tr>
      <w:tr>
        <w:tc>
          <w:tcPr>
            <w:tcW w:type="dxa" w:w="567"/>
          </w:tcPr>
          <w:p>
            <w:pPr>
              <w:spacing w:after="20"/>
            </w:pPr>
            <w:r/>
            <w:r>
              <w:rPr>
                <w:b w:val="0"/>
                <w:sz w:val="15"/>
              </w:rPr>
              <w:t>N06</w:t>
            </w:r>
          </w:p>
        </w:tc>
        <w:tc>
          <w:tcPr>
            <w:tcW w:type="dxa" w:w="1871"/>
          </w:tcPr>
          <w:p>
            <w:pPr>
              <w:spacing w:after="20"/>
            </w:pPr>
            <w:r/>
            <w:r>
              <w:rPr>
                <w:b w:val="0"/>
                <w:sz w:val="15"/>
              </w:rPr>
              <w:t>1.2 Wskaźnik nr 5 (opóźnienie alertu): jednostka i baza</w:t>
            </w:r>
          </w:p>
        </w:tc>
        <w:tc>
          <w:tcPr>
            <w:tcW w:type="dxa" w:w="2041"/>
          </w:tcPr>
          <w:p>
            <w:pPr>
              <w:spacing w:after="20"/>
            </w:pPr>
            <w:r/>
            <w:r>
              <w:rPr>
                <w:b w:val="0"/>
                <w:sz w:val="15"/>
              </w:rPr>
              <w:t>Jednostka [ms], baza „≥300 000 ms”.</w:t>
            </w:r>
          </w:p>
        </w:tc>
        <w:tc>
          <w:tcPr>
            <w:tcW w:type="dxa" w:w="3175"/>
          </w:tcPr>
          <w:p>
            <w:pPr>
              <w:spacing w:after="20"/>
            </w:pPr>
            <w:r/>
            <w:r>
              <w:rPr>
                <w:b w:val="0"/>
                <w:sz w:val="15"/>
              </w:rPr>
              <w:t>Jednostka [s]: wartość docelowa 1 s (percentyl 95), baza 300 s. Dodać, że parametr jest mierzony po kompresji (Z7) i w terenie (Z9).</w:t>
            </w:r>
          </w:p>
        </w:tc>
        <w:tc>
          <w:tcPr>
            <w:tcW w:type="dxa" w:w="1247"/>
          </w:tcPr>
          <w:p>
            <w:pPr>
              <w:spacing w:after="20"/>
            </w:pPr>
            <w:r/>
            <w:r>
              <w:rPr>
                <w:b w:val="0"/>
                <w:sz w:val="15"/>
              </w:rPr>
              <w:t>Instrukcja (SI); K3-17; D18</w:t>
            </w:r>
          </w:p>
        </w:tc>
        <w:tc>
          <w:tcPr>
            <w:tcW w:type="dxa" w:w="737"/>
          </w:tcPr>
          <w:p>
            <w:pPr>
              <w:spacing w:after="20"/>
            </w:pPr>
            <w:r/>
            <w:r>
              <w:rPr>
                <w:b w:val="0"/>
                <w:sz w:val="15"/>
              </w:rPr>
              <w:t>ŚREDNI</w:t>
            </w:r>
          </w:p>
        </w:tc>
      </w:tr>
      <w:tr>
        <w:tc>
          <w:tcPr>
            <w:tcW w:type="dxa" w:w="567"/>
          </w:tcPr>
          <w:p>
            <w:pPr>
              <w:spacing w:after="20"/>
            </w:pPr>
            <w:r/>
            <w:r>
              <w:rPr>
                <w:b w:val="0"/>
                <w:sz w:val="15"/>
              </w:rPr>
              <w:t>N07</w:t>
            </w:r>
          </w:p>
        </w:tc>
        <w:tc>
          <w:tcPr>
            <w:tcW w:type="dxa" w:w="1871"/>
          </w:tcPr>
          <w:p>
            <w:pPr>
              <w:spacing w:after="20"/>
            </w:pPr>
            <w:r/>
            <w:r>
              <w:rPr>
                <w:b w:val="0"/>
                <w:sz w:val="15"/>
              </w:rPr>
              <w:t>1.4 Wskaźnik dodatkowy: pokrycie pól eFTI</w:t>
            </w:r>
          </w:p>
        </w:tc>
        <w:tc>
          <w:tcPr>
            <w:tcW w:type="dxa" w:w="2041"/>
          </w:tcPr>
          <w:p>
            <w:pPr>
              <w:spacing w:after="20"/>
            </w:pPr>
            <w:r/>
            <w:r>
              <w:rPr>
                <w:b w:val="0"/>
                <w:sz w:val="15"/>
              </w:rPr>
              <w:t>„potwierdzone audytem podwykonawcy prawnego”, „audyt prawny podwykonawcy (Z6)”.</w:t>
            </w:r>
          </w:p>
        </w:tc>
        <w:tc>
          <w:tcPr>
            <w:tcW w:type="dxa" w:w="3175"/>
          </w:tcPr>
          <w:p>
            <w:pPr>
              <w:spacing w:after="20"/>
            </w:pPr>
            <w:r/>
            <w:r>
              <w:rPr>
                <w:b w:val="0"/>
                <w:sz w:val="15"/>
              </w:rPr>
              <w:t>Usunąć podwykonawcę prawnego (nie ma go w budżecie). Metoda: test zgodności z implementacją referencyjną KE i walidacja XSD wykonane przez zespół Everest11 (Z6).</w:t>
            </w:r>
          </w:p>
        </w:tc>
        <w:tc>
          <w:tcPr>
            <w:tcW w:type="dxa" w:w="1247"/>
          </w:tcPr>
          <w:p>
            <w:pPr>
              <w:spacing w:after="20"/>
            </w:pPr>
            <w:r/>
            <w:r>
              <w:rPr>
                <w:b w:val="0"/>
                <w:sz w:val="15"/>
              </w:rPr>
              <w:t>K3-08, K3-45; opis Z6</w:t>
            </w:r>
          </w:p>
        </w:tc>
        <w:tc>
          <w:tcPr>
            <w:tcW w:type="dxa" w:w="737"/>
          </w:tcPr>
          <w:p>
            <w:pPr>
              <w:spacing w:after="20"/>
            </w:pPr>
            <w:r/>
            <w:r>
              <w:rPr>
                <w:b w:val="0"/>
                <w:sz w:val="15"/>
              </w:rPr>
              <w:t>WYSOKI</w:t>
            </w:r>
          </w:p>
        </w:tc>
      </w:tr>
      <w:tr>
        <w:tc>
          <w:tcPr>
            <w:tcW w:type="dxa" w:w="567"/>
          </w:tcPr>
          <w:p>
            <w:pPr>
              <w:spacing w:after="20"/>
            </w:pPr>
            <w:r/>
            <w:r>
              <w:rPr>
                <w:b w:val="0"/>
                <w:sz w:val="15"/>
              </w:rPr>
              <w:t>N08</w:t>
            </w:r>
          </w:p>
        </w:tc>
        <w:tc>
          <w:tcPr>
            <w:tcW w:type="dxa" w:w="1871"/>
          </w:tcPr>
          <w:p>
            <w:pPr>
              <w:spacing w:after="20"/>
            </w:pPr>
            <w:r/>
            <w:r>
              <w:rPr>
                <w:b w:val="0"/>
                <w:sz w:val="15"/>
              </w:rPr>
              <w:t>1.4 Wskaźnik dodatkowy: wykorzystanie kubatury (fill rate)</w:t>
            </w:r>
          </w:p>
        </w:tc>
        <w:tc>
          <w:tcPr>
            <w:tcW w:type="dxa" w:w="2041"/>
          </w:tcPr>
          <w:p>
            <w:pPr>
              <w:spacing w:after="20"/>
            </w:pPr>
            <w:r/>
            <w:r>
              <w:rPr>
                <w:b w:val="0"/>
                <w:sz w:val="15"/>
              </w:rPr>
              <w:t>Pomiar radarem mmWave na kursach floty w Z9; baza 65% (Eurostat 2024, źródło niezweryfikowane).</w:t>
            </w:r>
          </w:p>
        </w:tc>
        <w:tc>
          <w:tcPr>
            <w:tcW w:type="dxa" w:w="3175"/>
          </w:tcPr>
          <w:p>
            <w:pPr>
              <w:spacing w:after="20"/>
            </w:pPr>
            <w:r/>
            <w:r>
              <w:rPr>
                <w:b w:val="0"/>
                <w:sz w:val="15"/>
              </w:rPr>
              <w:t>Z9 zawiera teraz wskaźnik operacyjny (cel 80%), niebędący parametrem kamienia. Baza 65%: potwierdzić źródło (D20) albo przeformułować jako wartość mierzoną na tych samych pojazdach przed wdrożeniem.</w:t>
            </w:r>
          </w:p>
        </w:tc>
        <w:tc>
          <w:tcPr>
            <w:tcW w:type="dxa" w:w="1247"/>
          </w:tcPr>
          <w:p>
            <w:pPr>
              <w:spacing w:after="20"/>
            </w:pPr>
            <w:r/>
            <w:r>
              <w:rPr>
                <w:b w:val="0"/>
                <w:sz w:val="15"/>
              </w:rPr>
              <w:t>D20; opis Z9</w:t>
            </w:r>
          </w:p>
        </w:tc>
        <w:tc>
          <w:tcPr>
            <w:tcW w:type="dxa" w:w="737"/>
          </w:tcPr>
          <w:p>
            <w:pPr>
              <w:spacing w:after="20"/>
            </w:pPr>
            <w:r/>
            <w:r>
              <w:rPr>
                <w:b w:val="0"/>
                <w:sz w:val="15"/>
              </w:rPr>
              <w:t>ŚREDNI</w:t>
            </w:r>
          </w:p>
        </w:tc>
      </w:tr>
      <w:tr>
        <w:tc>
          <w:tcPr>
            <w:tcW w:type="dxa" w:w="567"/>
          </w:tcPr>
          <w:p>
            <w:pPr>
              <w:spacing w:after="20"/>
            </w:pPr>
            <w:r/>
            <w:r>
              <w:rPr>
                <w:b w:val="0"/>
                <w:sz w:val="15"/>
              </w:rPr>
              <w:t>N09</w:t>
            </w:r>
          </w:p>
        </w:tc>
        <w:tc>
          <w:tcPr>
            <w:tcW w:type="dxa" w:w="1871"/>
          </w:tcPr>
          <w:p>
            <w:pPr>
              <w:spacing w:after="20"/>
            </w:pPr>
            <w:r/>
            <w:r>
              <w:rPr>
                <w:b w:val="0"/>
                <w:sz w:val="15"/>
              </w:rPr>
              <w:t>1.1 Cel projektu, 1.2 Innowacyjność, opis prac Z2 i Z5 (wiersze z „0,5 g”)</w:t>
            </w:r>
          </w:p>
        </w:tc>
        <w:tc>
          <w:tcPr>
            <w:tcW w:type="dxa" w:w="2041"/>
          </w:tcPr>
          <w:p>
            <w:pPr>
              <w:spacing w:after="20"/>
            </w:pPr>
            <w:r/>
            <w:r>
              <w:rPr>
                <w:b w:val="0"/>
                <w:sz w:val="15"/>
              </w:rPr>
              <w:t>„amplitudy do 0,5 g”.</w:t>
            </w:r>
          </w:p>
        </w:tc>
        <w:tc>
          <w:tcPr>
            <w:tcW w:type="dxa" w:w="3175"/>
          </w:tcPr>
          <w:p>
            <w:pPr>
              <w:spacing w:after="20"/>
            </w:pPr>
            <w:r/>
            <w:r>
              <w:rPr>
                <w:b w:val="0"/>
                <w:sz w:val="15"/>
              </w:rPr>
              <w:t>Zapis w SI: „do 4,9 m/s2 (0,5 g)”, spójnie z KM-Z2, KM-Z5 i opisami zadań.</w:t>
            </w:r>
          </w:p>
        </w:tc>
        <w:tc>
          <w:tcPr>
            <w:tcW w:type="dxa" w:w="1247"/>
          </w:tcPr>
          <w:p>
            <w:pPr>
              <w:spacing w:after="20"/>
            </w:pPr>
            <w:r/>
            <w:r>
              <w:rPr>
                <w:b w:val="0"/>
                <w:sz w:val="15"/>
              </w:rPr>
              <w:t>D18</w:t>
            </w:r>
          </w:p>
        </w:tc>
        <w:tc>
          <w:tcPr>
            <w:tcW w:type="dxa" w:w="737"/>
          </w:tcPr>
          <w:p>
            <w:pPr>
              <w:spacing w:after="20"/>
            </w:pPr>
            <w:r/>
            <w:r>
              <w:rPr>
                <w:b w:val="0"/>
                <w:sz w:val="15"/>
              </w:rPr>
              <w:t>NISKI</w:t>
            </w:r>
          </w:p>
        </w:tc>
      </w:tr>
      <w:tr>
        <w:tc>
          <w:tcPr>
            <w:tcW w:type="dxa" w:w="567"/>
          </w:tcPr>
          <w:p>
            <w:pPr>
              <w:spacing w:after="20"/>
            </w:pPr>
            <w:r/>
            <w:r>
              <w:rPr>
                <w:b w:val="0"/>
                <w:sz w:val="15"/>
              </w:rPr>
              <w:t>N10</w:t>
            </w:r>
          </w:p>
        </w:tc>
        <w:tc>
          <w:tcPr>
            <w:tcW w:type="dxa" w:w="1871"/>
          </w:tcPr>
          <w:p>
            <w:pPr>
              <w:spacing w:after="20"/>
            </w:pPr>
            <w:r/>
            <w:r>
              <w:rPr>
                <w:b w:val="0"/>
                <w:sz w:val="15"/>
              </w:rPr>
              <w:t>3.1.1 Opisy zadań Z1-Z9 i kamienie milowe (pola zakresu, szczegółowego opisu, KM)</w:t>
            </w:r>
          </w:p>
        </w:tc>
        <w:tc>
          <w:tcPr>
            <w:tcW w:type="dxa" w:w="2041"/>
          </w:tcPr>
          <w:p>
            <w:pPr>
              <w:spacing w:after="20"/>
            </w:pPr>
            <w:r/>
            <w:r>
              <w:rPr>
                <w:b w:val="0"/>
                <w:sz w:val="15"/>
              </w:rPr>
              <w:t>Obecne teksty.</w:t>
            </w:r>
          </w:p>
        </w:tc>
        <w:tc>
          <w:tcPr>
            <w:tcW w:type="dxa" w:w="3175"/>
          </w:tcPr>
          <w:p>
            <w:pPr>
              <w:spacing w:after="20"/>
            </w:pPr>
            <w:r/>
            <w:r>
              <w:rPr>
                <w:b w:val="0"/>
                <w:sz w:val="15"/>
              </w:rPr>
              <w:t>Zastąpić tekstami z części pierwszej tego dokumentu.</w:t>
            </w:r>
          </w:p>
        </w:tc>
        <w:tc>
          <w:tcPr>
            <w:tcW w:type="dxa" w:w="1247"/>
          </w:tcPr>
          <w:p>
            <w:pPr>
              <w:spacing w:after="20"/>
            </w:pPr>
            <w:r/>
            <w:r>
              <w:rPr>
                <w:b w:val="0"/>
                <w:sz w:val="15"/>
              </w:rPr>
              <w:t>K3-01 do K3-22</w:t>
            </w:r>
          </w:p>
        </w:tc>
        <w:tc>
          <w:tcPr>
            <w:tcW w:type="dxa" w:w="737"/>
          </w:tcPr>
          <w:p>
            <w:pPr>
              <w:spacing w:after="20"/>
            </w:pPr>
            <w:r/>
            <w:r>
              <w:rPr>
                <w:b w:val="0"/>
                <w:sz w:val="15"/>
              </w:rPr>
              <w:t>WYSOKI</w:t>
            </w:r>
          </w:p>
        </w:tc>
      </w:tr>
      <w:tr>
        <w:tc>
          <w:tcPr>
            <w:tcW w:type="dxa" w:w="567"/>
          </w:tcPr>
          <w:p>
            <w:pPr>
              <w:spacing w:after="20"/>
            </w:pPr>
            <w:r/>
            <w:r>
              <w:rPr>
                <w:b w:val="0"/>
                <w:sz w:val="15"/>
              </w:rPr>
              <w:t>N11</w:t>
            </w:r>
          </w:p>
        </w:tc>
        <w:tc>
          <w:tcPr>
            <w:tcW w:type="dxa" w:w="1871"/>
          </w:tcPr>
          <w:p>
            <w:pPr>
              <w:spacing w:after="20"/>
            </w:pPr>
            <w:r/>
            <w:r>
              <w:rPr>
                <w:b w:val="0"/>
                <w:sz w:val="15"/>
              </w:rPr>
              <w:t>3.1.2 Uzasadnienie kosztu: AI Senior Engineer Z2</w:t>
            </w:r>
          </w:p>
        </w:tc>
        <w:tc>
          <w:tcPr>
            <w:tcW w:type="dxa" w:w="2041"/>
          </w:tcPr>
          <w:p>
            <w:pPr>
              <w:spacing w:after="20"/>
            </w:pPr>
            <w:r/>
            <w:r>
              <w:rPr>
                <w:b w:val="0"/>
                <w:sz w:val="15"/>
              </w:rPr>
              <w:t>„Opracuje specyfikację anotacji Instance Segmentation COCO dla podwykonawcy”.</w:t>
            </w:r>
          </w:p>
        </w:tc>
        <w:tc>
          <w:tcPr>
            <w:tcW w:type="dxa" w:w="3175"/>
          </w:tcPr>
          <w:p>
            <w:pPr>
              <w:spacing w:after="20"/>
            </w:pPr>
            <w:r/>
            <w:r>
              <w:rPr>
                <w:b w:val="0"/>
                <w:sz w:val="15"/>
              </w:rPr>
              <w:t>„dla anotatorów Everest11”. Anotacja jest realizowana przez personel Lidera.</w:t>
            </w:r>
          </w:p>
        </w:tc>
        <w:tc>
          <w:tcPr>
            <w:tcW w:type="dxa" w:w="1247"/>
          </w:tcPr>
          <w:p>
            <w:pPr>
              <w:spacing w:after="20"/>
            </w:pPr>
            <w:r/>
            <w:r>
              <w:rPr>
                <w:b w:val="0"/>
                <w:sz w:val="15"/>
              </w:rPr>
              <w:t>K3-10, K3-39; D21</w:t>
            </w:r>
          </w:p>
        </w:tc>
        <w:tc>
          <w:tcPr>
            <w:tcW w:type="dxa" w:w="737"/>
          </w:tcPr>
          <w:p>
            <w:pPr>
              <w:spacing w:after="20"/>
            </w:pPr>
            <w:r/>
            <w:r>
              <w:rPr>
                <w:b w:val="0"/>
                <w:sz w:val="15"/>
              </w:rPr>
              <w:t>WYSOKI</w:t>
            </w:r>
          </w:p>
        </w:tc>
      </w:tr>
      <w:tr>
        <w:tc>
          <w:tcPr>
            <w:tcW w:type="dxa" w:w="567"/>
          </w:tcPr>
          <w:p>
            <w:pPr>
              <w:spacing w:after="20"/>
            </w:pPr>
            <w:r/>
            <w:r>
              <w:rPr>
                <w:b w:val="0"/>
                <w:sz w:val="15"/>
              </w:rPr>
              <w:t>N12</w:t>
            </w:r>
          </w:p>
        </w:tc>
        <w:tc>
          <w:tcPr>
            <w:tcW w:type="dxa" w:w="1871"/>
          </w:tcPr>
          <w:p>
            <w:pPr>
              <w:spacing w:after="20"/>
            </w:pPr>
            <w:r/>
            <w:r>
              <w:rPr>
                <w:b w:val="0"/>
                <w:sz w:val="15"/>
              </w:rPr>
              <w:t>3.1.2 Uzasadnienie kosztu: Anotatorzy Z2</w:t>
            </w:r>
          </w:p>
        </w:tc>
        <w:tc>
          <w:tcPr>
            <w:tcW w:type="dxa" w:w="2041"/>
          </w:tcPr>
          <w:p>
            <w:pPr>
              <w:spacing w:after="20"/>
            </w:pPr>
            <w:r/>
            <w:r>
              <w:rPr>
                <w:b w:val="0"/>
                <w:sz w:val="15"/>
              </w:rPr>
              <w:t>Zakres i nakład „wg wolumenu”.</w:t>
            </w:r>
          </w:p>
        </w:tc>
        <w:tc>
          <w:tcPr>
            <w:tcW w:type="dxa" w:w="3175"/>
          </w:tcPr>
          <w:p>
            <w:pPr>
              <w:spacing w:after="20"/>
            </w:pPr>
            <w:r/>
            <w:r>
              <w:rPr>
                <w:b w:val="0"/>
                <w:sz w:val="15"/>
              </w:rPr>
              <w:t xml:space="preserve">3 osoby, 1,0 etatu, 10 miesięcy </w:t>
            </w:r>
            <w:r>
              <w:rPr>
                <w:b w:val="0"/>
                <w:sz w:val="15"/>
                <w:highlight w:val="yellow"/>
              </w:rPr>
              <w:t>M9-M18</w:t>
            </w:r>
            <w:r>
              <w:rPr>
                <w:b w:val="0"/>
                <w:sz w:val="15"/>
              </w:rPr>
              <w:t>, zakres jak w opisie Z2 (anotacja, zgłaszanie przypadków niejednoznacznych, udział w pomiarze zgodności). Zgodnie z nakładem 3200-3600 godzin w budżecie porównać z 3 x 10 x 168 godzin.</w:t>
            </w:r>
          </w:p>
        </w:tc>
        <w:tc>
          <w:tcPr>
            <w:tcW w:type="dxa" w:w="1247"/>
          </w:tcPr>
          <w:p>
            <w:pPr>
              <w:spacing w:after="20"/>
            </w:pPr>
            <w:r/>
            <w:r>
              <w:rPr>
                <w:b w:val="0"/>
                <w:sz w:val="15"/>
              </w:rPr>
              <w:t>K3-39, K5-03</w:t>
            </w:r>
          </w:p>
        </w:tc>
        <w:tc>
          <w:tcPr>
            <w:tcW w:type="dxa" w:w="737"/>
          </w:tcPr>
          <w:p>
            <w:pPr>
              <w:spacing w:after="20"/>
            </w:pPr>
            <w:r/>
            <w:r>
              <w:rPr>
                <w:b w:val="0"/>
                <w:sz w:val="15"/>
              </w:rPr>
              <w:t>WYSOKI</w:t>
            </w:r>
          </w:p>
        </w:tc>
      </w:tr>
      <w:tr>
        <w:tc>
          <w:tcPr>
            <w:tcW w:type="dxa" w:w="567"/>
          </w:tcPr>
          <w:p>
            <w:pPr>
              <w:spacing w:after="20"/>
            </w:pPr>
            <w:r/>
            <w:r>
              <w:rPr>
                <w:b w:val="0"/>
                <w:sz w:val="15"/>
              </w:rPr>
              <w:t>N13</w:t>
            </w:r>
          </w:p>
        </w:tc>
        <w:tc>
          <w:tcPr>
            <w:tcW w:type="dxa" w:w="1871"/>
          </w:tcPr>
          <w:p>
            <w:pPr>
              <w:spacing w:after="20"/>
            </w:pPr>
            <w:r/>
            <w:r>
              <w:rPr>
                <w:b w:val="0"/>
                <w:sz w:val="15"/>
              </w:rPr>
              <w:t>3.1.2 Uzasadnienie kosztu: Cybersecurity / AI Act Specialist Z9 (wiersz „przegląd prior art i analizę freedom-to-operate”, aktualizacja dokumentacji AI Act)</w:t>
            </w:r>
          </w:p>
        </w:tc>
        <w:tc>
          <w:tcPr>
            <w:tcW w:type="dxa" w:w="2041"/>
          </w:tcPr>
          <w:p>
            <w:pPr>
              <w:spacing w:after="20"/>
            </w:pPr>
            <w:r/>
            <w:r>
              <w:rPr>
                <w:b w:val="0"/>
                <w:sz w:val="15"/>
              </w:rPr>
              <w:t>Aktualizacja dokumentacji AI Act, integralność PoC, materiały do zgłoszenia EPO, prior art, FTO.</w:t>
            </w:r>
          </w:p>
        </w:tc>
        <w:tc>
          <w:tcPr>
            <w:tcW w:type="dxa" w:w="3175"/>
          </w:tcPr>
          <w:p>
            <w:pPr>
              <w:spacing w:after="20"/>
            </w:pPr>
            <w:r/>
            <w:r>
              <w:rPr>
                <w:b w:val="0"/>
                <w:sz w:val="15"/>
              </w:rPr>
              <w:t>Zostawić testy bezpieczeństwa prototypu w terenie i uruchamianie zamrożonego skryptu ewaluacyjnego (niezależny ewaluator). Usunąć AI Act, EPO, prior art, FTO (są w Z11 i poza B+R).</w:t>
            </w:r>
          </w:p>
        </w:tc>
        <w:tc>
          <w:tcPr>
            <w:tcW w:type="dxa" w:w="1247"/>
          </w:tcPr>
          <w:p>
            <w:pPr>
              <w:spacing w:after="20"/>
            </w:pPr>
            <w:r/>
            <w:r>
              <w:rPr>
                <w:b w:val="0"/>
                <w:sz w:val="15"/>
              </w:rPr>
              <w:t>K3-40, K3-66; D05</w:t>
            </w:r>
          </w:p>
        </w:tc>
        <w:tc>
          <w:tcPr>
            <w:tcW w:type="dxa" w:w="737"/>
          </w:tcPr>
          <w:p>
            <w:pPr>
              <w:spacing w:after="20"/>
            </w:pPr>
            <w:r/>
            <w:r>
              <w:rPr>
                <w:b w:val="0"/>
                <w:sz w:val="15"/>
              </w:rPr>
              <w:t>WYSOKI</w:t>
            </w:r>
          </w:p>
        </w:tc>
      </w:tr>
      <w:tr>
        <w:tc>
          <w:tcPr>
            <w:tcW w:type="dxa" w:w="567"/>
          </w:tcPr>
          <w:p>
            <w:pPr>
              <w:spacing w:after="20"/>
            </w:pPr>
            <w:r/>
            <w:r>
              <w:rPr>
                <w:b w:val="0"/>
                <w:sz w:val="15"/>
              </w:rPr>
              <w:t>N14</w:t>
            </w:r>
          </w:p>
        </w:tc>
        <w:tc>
          <w:tcPr>
            <w:tcW w:type="dxa" w:w="1871"/>
          </w:tcPr>
          <w:p>
            <w:pPr>
              <w:spacing w:after="20"/>
            </w:pPr>
            <w:r/>
            <w:r>
              <w:rPr>
                <w:b w:val="0"/>
                <w:sz w:val="15"/>
              </w:rPr>
              <w:t>3.1.2 Uzasadnienia kosztu: Cybersecurity Z2 i Z6</w:t>
            </w:r>
          </w:p>
        </w:tc>
        <w:tc>
          <w:tcPr>
            <w:tcW w:type="dxa" w:w="2041"/>
          </w:tcPr>
          <w:p>
            <w:pPr>
              <w:spacing w:after="20"/>
            </w:pPr>
            <w:r/>
            <w:r>
              <w:rPr>
                <w:b w:val="0"/>
                <w:sz w:val="15"/>
              </w:rPr>
              <w:t>Klasyfikacja ryzyka AI Act, karta oceny ryzyka, polityka RODO.</w:t>
            </w:r>
          </w:p>
        </w:tc>
        <w:tc>
          <w:tcPr>
            <w:tcW w:type="dxa" w:w="3175"/>
          </w:tcPr>
          <w:p>
            <w:pPr>
              <w:spacing w:after="20"/>
            </w:pPr>
            <w:r/>
            <w:r>
              <w:rPr>
                <w:b w:val="0"/>
                <w:sz w:val="15"/>
              </w:rPr>
              <w:t>Zostawić prace techniczne (szyfrowanie, klucze, pseudonimizacja, podpis, integralność). Usunąć dokumentację AI Act i politykę RODO z kosztów B+R (czynność przedwdrożeniowa).</w:t>
            </w:r>
          </w:p>
        </w:tc>
        <w:tc>
          <w:tcPr>
            <w:tcW w:type="dxa" w:w="1247"/>
          </w:tcPr>
          <w:p>
            <w:pPr>
              <w:spacing w:after="20"/>
            </w:pPr>
            <w:r/>
            <w:r>
              <w:rPr>
                <w:b w:val="0"/>
                <w:sz w:val="15"/>
              </w:rPr>
              <w:t>K3-38; 6.1 Maziarz</w:t>
            </w:r>
          </w:p>
        </w:tc>
        <w:tc>
          <w:tcPr>
            <w:tcW w:type="dxa" w:w="737"/>
          </w:tcPr>
          <w:p>
            <w:pPr>
              <w:spacing w:after="20"/>
            </w:pPr>
            <w:r/>
            <w:r>
              <w:rPr>
                <w:b w:val="0"/>
                <w:sz w:val="15"/>
              </w:rPr>
              <w:t>WYSOKI</w:t>
            </w:r>
          </w:p>
        </w:tc>
      </w:tr>
      <w:tr>
        <w:tc>
          <w:tcPr>
            <w:tcW w:type="dxa" w:w="567"/>
          </w:tcPr>
          <w:p>
            <w:pPr>
              <w:spacing w:after="20"/>
            </w:pPr>
            <w:r/>
            <w:r>
              <w:rPr>
                <w:b w:val="0"/>
                <w:sz w:val="15"/>
              </w:rPr>
              <w:t>N15</w:t>
            </w:r>
          </w:p>
        </w:tc>
        <w:tc>
          <w:tcPr>
            <w:tcW w:type="dxa" w:w="1871"/>
          </w:tcPr>
          <w:p>
            <w:pPr>
              <w:spacing w:after="20"/>
            </w:pPr>
            <w:r/>
            <w:r>
              <w:rPr>
                <w:b w:val="0"/>
                <w:sz w:val="15"/>
              </w:rPr>
              <w:t>3.1.2 Uzasadnienia kosztu: IT Specialist Z6 i Backend/Full-Stack Z6</w:t>
            </w:r>
          </w:p>
        </w:tc>
        <w:tc>
          <w:tcPr>
            <w:tcW w:type="dxa" w:w="2041"/>
          </w:tcPr>
          <w:p>
            <w:pPr>
              <w:spacing w:after="20"/>
            </w:pPr>
            <w:r/>
            <w:r>
              <w:rPr>
                <w:b w:val="0"/>
                <w:sz w:val="15"/>
              </w:rPr>
              <w:t>Trans.eu, TimoCom, e-CMR, „rozwój i utrzymanie” API, „w całości siłami własnymi Lidera”.</w:t>
            </w:r>
          </w:p>
        </w:tc>
        <w:tc>
          <w:tcPr>
            <w:tcW w:type="dxa" w:w="3175"/>
          </w:tcPr>
          <w:p>
            <w:pPr>
              <w:spacing w:after="20"/>
            </w:pPr>
            <w:r/>
            <w:r>
              <w:rPr>
                <w:b w:val="0"/>
                <w:sz w:val="15"/>
              </w:rPr>
              <w:t>Zastąpić zakresem z opisu Z6: pipeline i generator eFTI (IT), strumieniowy potok, kolejkowanie i test zgodności eFTI (Backend). Usunąć utrzymanie i integracje standardowe.</w:t>
            </w:r>
          </w:p>
        </w:tc>
        <w:tc>
          <w:tcPr>
            <w:tcW w:type="dxa" w:w="1247"/>
          </w:tcPr>
          <w:p>
            <w:pPr>
              <w:spacing w:after="20"/>
            </w:pPr>
            <w:r/>
            <w:r>
              <w:rPr>
                <w:b w:val="0"/>
                <w:sz w:val="15"/>
              </w:rPr>
              <w:t>K3-08, K3-38; D24</w:t>
            </w:r>
          </w:p>
        </w:tc>
        <w:tc>
          <w:tcPr>
            <w:tcW w:type="dxa" w:w="737"/>
          </w:tcPr>
          <w:p>
            <w:pPr>
              <w:spacing w:after="20"/>
            </w:pPr>
            <w:r/>
            <w:r>
              <w:rPr>
                <w:b w:val="0"/>
                <w:sz w:val="15"/>
              </w:rPr>
              <w:t>WYSOKI</w:t>
            </w:r>
          </w:p>
        </w:tc>
      </w:tr>
      <w:tr>
        <w:tc>
          <w:tcPr>
            <w:tcW w:type="dxa" w:w="567"/>
          </w:tcPr>
          <w:p>
            <w:pPr>
              <w:spacing w:after="20"/>
            </w:pPr>
            <w:r/>
            <w:r>
              <w:rPr>
                <w:b w:val="0"/>
                <w:sz w:val="15"/>
              </w:rPr>
              <w:t>N16</w:t>
            </w:r>
          </w:p>
        </w:tc>
        <w:tc>
          <w:tcPr>
            <w:tcW w:type="dxa" w:w="1871"/>
          </w:tcPr>
          <w:p>
            <w:pPr>
              <w:spacing w:after="20"/>
            </w:pPr>
            <w:r/>
            <w:r>
              <w:rPr>
                <w:b w:val="0"/>
                <w:sz w:val="15"/>
              </w:rPr>
              <w:t>3.1.2 Pozycje kosztowe Backend/Full-Stack: Z6 i Z9</w:t>
            </w:r>
          </w:p>
        </w:tc>
        <w:tc>
          <w:tcPr>
            <w:tcW w:type="dxa" w:w="2041"/>
          </w:tcPr>
          <w:p>
            <w:pPr>
              <w:spacing w:after="20"/>
            </w:pPr>
            <w:r/>
            <w:r>
              <w:rPr>
                <w:b w:val="0"/>
                <w:sz w:val="15"/>
              </w:rPr>
              <w:t>Jedna pozycja Z6 na 12 mc, 260 280 zł.</w:t>
            </w:r>
          </w:p>
        </w:tc>
        <w:tc>
          <w:tcPr>
            <w:tcW w:type="dxa" w:w="3175"/>
          </w:tcPr>
          <w:p>
            <w:pPr>
              <w:spacing w:after="20"/>
            </w:pPr>
            <w:r/>
            <w:r>
              <w:rPr>
                <w:b w:val="0"/>
                <w:sz w:val="15"/>
              </w:rPr>
              <w:t>Dwie pozycje: Z6 9 mc (195 210 zł) i Z9 3 mc (65 070 zł), suma bez zmian; opis Z9 w zakresie walidacji PoC i zgodności eFTI w terenie.</w:t>
            </w:r>
          </w:p>
        </w:tc>
        <w:tc>
          <w:tcPr>
            <w:tcW w:type="dxa" w:w="1247"/>
          </w:tcPr>
          <w:p>
            <w:pPr>
              <w:spacing w:after="20"/>
            </w:pPr>
            <w:r/>
            <w:r>
              <w:rPr>
                <w:b w:val="0"/>
                <w:sz w:val="15"/>
              </w:rPr>
              <w:t>K3-36, K3-37; D07</w:t>
            </w:r>
          </w:p>
        </w:tc>
        <w:tc>
          <w:tcPr>
            <w:tcW w:type="dxa" w:w="737"/>
          </w:tcPr>
          <w:p>
            <w:pPr>
              <w:spacing w:after="20"/>
            </w:pPr>
            <w:r/>
            <w:r>
              <w:rPr>
                <w:b w:val="0"/>
                <w:sz w:val="15"/>
              </w:rPr>
              <w:t>WYSOKI</w:t>
            </w:r>
          </w:p>
        </w:tc>
      </w:tr>
      <w:tr>
        <w:tc>
          <w:tcPr>
            <w:tcW w:type="dxa" w:w="567"/>
          </w:tcPr>
          <w:p>
            <w:pPr>
              <w:spacing w:after="20"/>
            </w:pPr>
            <w:r/>
            <w:r>
              <w:rPr>
                <w:b w:val="0"/>
                <w:sz w:val="15"/>
              </w:rPr>
              <w:t>N17</w:t>
            </w:r>
          </w:p>
        </w:tc>
        <w:tc>
          <w:tcPr>
            <w:tcW w:type="dxa" w:w="1871"/>
          </w:tcPr>
          <w:p>
            <w:pPr>
              <w:spacing w:after="20"/>
            </w:pPr>
            <w:r/>
            <w:r>
              <w:rPr>
                <w:b w:val="0"/>
                <w:sz w:val="15"/>
              </w:rPr>
              <w:t>3.1.2 IT Specialist Z9</w:t>
            </w:r>
          </w:p>
        </w:tc>
        <w:tc>
          <w:tcPr>
            <w:tcW w:type="dxa" w:w="2041"/>
          </w:tcPr>
          <w:p>
            <w:pPr>
              <w:spacing w:after="20"/>
            </w:pPr>
            <w:r/>
            <w:r>
              <w:rPr>
                <w:b w:val="0"/>
                <w:sz w:val="15"/>
              </w:rPr>
              <w:t>„hotfixy”, utrzymanie środowiska integracyjnego.</w:t>
            </w:r>
          </w:p>
        </w:tc>
        <w:tc>
          <w:tcPr>
            <w:tcW w:type="dxa" w:w="3175"/>
          </w:tcPr>
          <w:p>
            <w:pPr>
              <w:spacing w:after="20"/>
            </w:pPr>
            <w:r/>
            <w:r>
              <w:rPr>
                <w:b w:val="0"/>
                <w:sz w:val="15"/>
              </w:rPr>
              <w:t>Rejestracja i analiza danych KPI; poprawki tylko w oknie korekt w M30. Bez bieżącego utrzymania.</w:t>
            </w:r>
          </w:p>
        </w:tc>
        <w:tc>
          <w:tcPr>
            <w:tcW w:type="dxa" w:w="1247"/>
          </w:tcPr>
          <w:p>
            <w:pPr>
              <w:spacing w:after="20"/>
            </w:pPr>
            <w:r/>
            <w:r>
              <w:rPr>
                <w:b w:val="0"/>
                <w:sz w:val="15"/>
              </w:rPr>
              <w:t>K3-38; opis Z9</w:t>
            </w:r>
          </w:p>
        </w:tc>
        <w:tc>
          <w:tcPr>
            <w:tcW w:type="dxa" w:w="737"/>
          </w:tcPr>
          <w:p>
            <w:pPr>
              <w:spacing w:after="20"/>
            </w:pPr>
            <w:r/>
            <w:r>
              <w:rPr>
                <w:b w:val="0"/>
                <w:sz w:val="15"/>
              </w:rPr>
              <w:t>ŚREDNI</w:t>
            </w:r>
          </w:p>
        </w:tc>
      </w:tr>
      <w:tr>
        <w:tc>
          <w:tcPr>
            <w:tcW w:type="dxa" w:w="567"/>
          </w:tcPr>
          <w:p>
            <w:pPr>
              <w:spacing w:after="20"/>
            </w:pPr>
            <w:r/>
            <w:r>
              <w:rPr>
                <w:b w:val="0"/>
                <w:sz w:val="15"/>
              </w:rPr>
              <w:t>N18</w:t>
            </w:r>
          </w:p>
        </w:tc>
        <w:tc>
          <w:tcPr>
            <w:tcW w:type="dxa" w:w="1871"/>
          </w:tcPr>
          <w:p>
            <w:pPr>
              <w:spacing w:after="20"/>
            </w:pPr>
            <w:r/>
            <w:r>
              <w:rPr>
                <w:b w:val="0"/>
                <w:sz w:val="15"/>
              </w:rPr>
              <w:t>3.1.2 Sześć stanowisk Everest11 w Z6, Z7, Z9: metoda szacowania</w:t>
            </w:r>
          </w:p>
        </w:tc>
        <w:tc>
          <w:tcPr>
            <w:tcW w:type="dxa" w:w="2041"/>
          </w:tcPr>
          <w:p>
            <w:pPr>
              <w:spacing w:after="20"/>
            </w:pPr>
            <w:r/>
            <w:r>
              <w:rPr>
                <w:b w:val="0"/>
                <w:sz w:val="15"/>
              </w:rPr>
              <w:t>„12 mc fazy PR podzielone przez 3”.</w:t>
            </w:r>
          </w:p>
        </w:tc>
        <w:tc>
          <w:tcPr>
            <w:tcW w:type="dxa" w:w="3175"/>
          </w:tcPr>
          <w:p>
            <w:pPr>
              <w:spacing w:after="20"/>
            </w:pPr>
            <w:r/>
            <w:r>
              <w:rPr>
                <w:b w:val="0"/>
                <w:sz w:val="15"/>
              </w:rPr>
              <w:t>Rzeczywisty podział miesięcy lub godzin między zadania, przy zachowaniu sumy i etatu w każdym miesiącu (propozycja w bloku budżetowym).</w:t>
            </w:r>
          </w:p>
        </w:tc>
        <w:tc>
          <w:tcPr>
            <w:tcW w:type="dxa" w:w="1247"/>
          </w:tcPr>
          <w:p>
            <w:pPr>
              <w:spacing w:after="20"/>
            </w:pPr>
            <w:r/>
            <w:r>
              <w:rPr>
                <w:b w:val="0"/>
                <w:sz w:val="15"/>
              </w:rPr>
              <w:t>K3-36, K3-37; D29</w:t>
            </w:r>
          </w:p>
        </w:tc>
        <w:tc>
          <w:tcPr>
            <w:tcW w:type="dxa" w:w="737"/>
          </w:tcPr>
          <w:p>
            <w:pPr>
              <w:spacing w:after="20"/>
            </w:pPr>
            <w:r/>
            <w:r>
              <w:rPr>
                <w:b w:val="0"/>
                <w:sz w:val="15"/>
              </w:rPr>
              <w:t>WYSOKI</w:t>
            </w:r>
          </w:p>
        </w:tc>
      </w:tr>
      <w:tr>
        <w:tc>
          <w:tcPr>
            <w:tcW w:type="dxa" w:w="567"/>
          </w:tcPr>
          <w:p>
            <w:pPr>
              <w:spacing w:after="20"/>
            </w:pPr>
            <w:r/>
            <w:r>
              <w:rPr>
                <w:b w:val="0"/>
                <w:sz w:val="15"/>
              </w:rPr>
              <w:t>N19</w:t>
            </w:r>
          </w:p>
        </w:tc>
        <w:tc>
          <w:tcPr>
            <w:tcW w:type="dxa" w:w="1871"/>
          </w:tcPr>
          <w:p>
            <w:pPr>
              <w:spacing w:after="20"/>
            </w:pPr>
            <w:r/>
            <w:r>
              <w:rPr>
                <w:b w:val="0"/>
                <w:sz w:val="15"/>
              </w:rPr>
              <w:t>6.1 Jakub Kosterna (AI Lead): zakres obowiązków</w:t>
            </w:r>
          </w:p>
        </w:tc>
        <w:tc>
          <w:tcPr>
            <w:tcW w:type="dxa" w:w="2041"/>
          </w:tcPr>
          <w:p>
            <w:pPr>
              <w:spacing w:after="20"/>
            </w:pPr>
            <w:r/>
            <w:r>
              <w:rPr>
                <w:b w:val="0"/>
                <w:sz w:val="15"/>
              </w:rPr>
              <w:t>Przygotowanie dokumentacji technicznej do zgłoszenia patentowego.</w:t>
            </w:r>
          </w:p>
        </w:tc>
        <w:tc>
          <w:tcPr>
            <w:tcW w:type="dxa" w:w="3175"/>
          </w:tcPr>
          <w:p>
            <w:pPr>
              <w:spacing w:after="20"/>
            </w:pPr>
            <w:r/>
            <w:r>
              <w:rPr>
                <w:b w:val="0"/>
                <w:sz w:val="15"/>
              </w:rPr>
              <w:t>Usunąć lub opisać jako dostarczenie danych technicznych do rzecznika w Z11, poza kosztami Z9.</w:t>
            </w:r>
          </w:p>
        </w:tc>
        <w:tc>
          <w:tcPr>
            <w:tcW w:type="dxa" w:w="1247"/>
          </w:tcPr>
          <w:p>
            <w:pPr>
              <w:spacing w:after="20"/>
            </w:pPr>
            <w:r/>
            <w:r>
              <w:rPr>
                <w:b w:val="0"/>
                <w:sz w:val="15"/>
              </w:rPr>
              <w:t>K3-40, K3-66; D30</w:t>
            </w:r>
          </w:p>
        </w:tc>
        <w:tc>
          <w:tcPr>
            <w:tcW w:type="dxa" w:w="737"/>
          </w:tcPr>
          <w:p>
            <w:pPr>
              <w:spacing w:after="20"/>
            </w:pPr>
            <w:r/>
            <w:r>
              <w:rPr>
                <w:b w:val="0"/>
                <w:sz w:val="15"/>
              </w:rPr>
              <w:t>ŚREDNI</w:t>
            </w:r>
          </w:p>
        </w:tc>
      </w:tr>
      <w:tr>
        <w:tc>
          <w:tcPr>
            <w:tcW w:type="dxa" w:w="567"/>
          </w:tcPr>
          <w:p>
            <w:pPr>
              <w:spacing w:after="20"/>
            </w:pPr>
            <w:r/>
            <w:r>
              <w:rPr>
                <w:b w:val="0"/>
                <w:sz w:val="15"/>
              </w:rPr>
              <w:t>N20</w:t>
            </w:r>
          </w:p>
        </w:tc>
        <w:tc>
          <w:tcPr>
            <w:tcW w:type="dxa" w:w="1871"/>
          </w:tcPr>
          <w:p>
            <w:pPr>
              <w:spacing w:after="20"/>
            </w:pPr>
            <w:r/>
            <w:r>
              <w:rPr>
                <w:b w:val="0"/>
                <w:sz w:val="15"/>
              </w:rPr>
              <w:t>6.1 Michał Hajduk (specjalista TSL): zakres obowiązków</w:t>
            </w:r>
          </w:p>
        </w:tc>
        <w:tc>
          <w:tcPr>
            <w:tcW w:type="dxa" w:w="2041"/>
          </w:tcPr>
          <w:p>
            <w:pPr>
              <w:spacing w:after="20"/>
            </w:pPr>
            <w:r/>
            <w:r>
              <w:rPr>
                <w:b w:val="0"/>
                <w:sz w:val="15"/>
              </w:rPr>
              <w:t>Badanie akceptacji UX i ocena trafności alertów z perspektywy operacyjnej.</w:t>
            </w:r>
          </w:p>
        </w:tc>
        <w:tc>
          <w:tcPr>
            <w:tcW w:type="dxa" w:w="3175"/>
          </w:tcPr>
          <w:p>
            <w:pPr>
              <w:spacing w:after="20"/>
            </w:pPr>
            <w:r/>
            <w:r>
              <w:rPr>
                <w:b w:val="0"/>
                <w:sz w:val="15"/>
              </w:rPr>
              <w:t>Ground truth i scenariusze operacyjne; ocena trafności alertów skryptem, bez udziału pracownika odbiorcy wdrożenia; UX prowadzi AI Senior Engineer. Dodać deklarację poufności wobec podmiotów powiązanych (MJA Partners, Natanek Logistics).</w:t>
            </w:r>
          </w:p>
        </w:tc>
        <w:tc>
          <w:tcPr>
            <w:tcW w:type="dxa" w:w="1247"/>
          </w:tcPr>
          <w:p>
            <w:pPr>
              <w:spacing w:after="20"/>
            </w:pPr>
            <w:r/>
            <w:r>
              <w:rPr>
                <w:b w:val="0"/>
                <w:sz w:val="15"/>
              </w:rPr>
              <w:t>K3-11, K5-07; D05</w:t>
            </w:r>
          </w:p>
        </w:tc>
        <w:tc>
          <w:tcPr>
            <w:tcW w:type="dxa" w:w="737"/>
          </w:tcPr>
          <w:p>
            <w:pPr>
              <w:spacing w:after="20"/>
            </w:pPr>
            <w:r/>
            <w:r>
              <w:rPr>
                <w:b w:val="0"/>
                <w:sz w:val="15"/>
              </w:rPr>
              <w:t>WYSOKI</w:t>
            </w:r>
          </w:p>
        </w:tc>
      </w:tr>
      <w:tr>
        <w:tc>
          <w:tcPr>
            <w:tcW w:type="dxa" w:w="567"/>
          </w:tcPr>
          <w:p>
            <w:pPr>
              <w:spacing w:after="20"/>
            </w:pPr>
            <w:r/>
            <w:r>
              <w:rPr>
                <w:b w:val="0"/>
                <w:sz w:val="15"/>
              </w:rPr>
              <w:t>N21</w:t>
            </w:r>
          </w:p>
        </w:tc>
        <w:tc>
          <w:tcPr>
            <w:tcW w:type="dxa" w:w="1871"/>
          </w:tcPr>
          <w:p>
            <w:pPr>
              <w:spacing w:after="20"/>
            </w:pPr>
            <w:r/>
            <w:r>
              <w:rPr>
                <w:b w:val="0"/>
                <w:sz w:val="15"/>
              </w:rPr>
              <w:t>6.1 Personel planowany: Anotatorzy, Backend/Full-Stack</w:t>
            </w:r>
          </w:p>
        </w:tc>
        <w:tc>
          <w:tcPr>
            <w:tcW w:type="dxa" w:w="2041"/>
          </w:tcPr>
          <w:p>
            <w:pPr>
              <w:spacing w:after="20"/>
            </w:pPr>
            <w:r/>
            <w:r>
              <w:rPr>
                <w:b w:val="0"/>
                <w:sz w:val="15"/>
              </w:rPr>
              <w:t>Anotatorzy: M1-M18, „wymiar wg wolumenu”. Backend: Z2 (M13-M18) i Z6 (M19-M30), 18 mc.</w:t>
            </w:r>
          </w:p>
        </w:tc>
        <w:tc>
          <w:tcPr>
            <w:tcW w:type="dxa" w:w="3175"/>
          </w:tcPr>
          <w:p>
            <w:pPr>
              <w:spacing w:after="20"/>
            </w:pPr>
            <w:r/>
            <w:r>
              <w:rPr>
                <w:b w:val="0"/>
                <w:sz w:val="15"/>
              </w:rPr>
              <w:t>Anotatorzy: 3 osoby, 1,0 etatu, 10 mc [M9-M18]. Backend: Z2 6 mc, Z6 9 mc, Z9 3 mc, razem 18 mc.</w:t>
            </w:r>
          </w:p>
        </w:tc>
        <w:tc>
          <w:tcPr>
            <w:tcW w:type="dxa" w:w="1247"/>
          </w:tcPr>
          <w:p>
            <w:pPr>
              <w:spacing w:after="20"/>
            </w:pPr>
            <w:r/>
            <w:r>
              <w:rPr>
                <w:b w:val="0"/>
                <w:sz w:val="15"/>
              </w:rPr>
              <w:t>K5-03, K5-10, K5-11; D07</w:t>
            </w:r>
          </w:p>
        </w:tc>
        <w:tc>
          <w:tcPr>
            <w:tcW w:type="dxa" w:w="737"/>
          </w:tcPr>
          <w:p>
            <w:pPr>
              <w:spacing w:after="20"/>
            </w:pPr>
            <w:r/>
            <w:r>
              <w:rPr>
                <w:b w:val="0"/>
                <w:sz w:val="15"/>
              </w:rPr>
              <w:t>WYSOKI</w:t>
            </w:r>
          </w:p>
        </w:tc>
      </w:tr>
      <w:tr>
        <w:tc>
          <w:tcPr>
            <w:tcW w:type="dxa" w:w="567"/>
          </w:tcPr>
          <w:p>
            <w:pPr>
              <w:spacing w:after="20"/>
            </w:pPr>
            <w:r/>
            <w:r>
              <w:rPr>
                <w:b w:val="0"/>
                <w:sz w:val="15"/>
              </w:rPr>
              <w:t>N22</w:t>
            </w:r>
          </w:p>
        </w:tc>
        <w:tc>
          <w:tcPr>
            <w:tcW w:type="dxa" w:w="1871"/>
          </w:tcPr>
          <w:p>
            <w:pPr>
              <w:spacing w:after="20"/>
            </w:pPr>
            <w:r/>
            <w:r>
              <w:rPr>
                <w:b w:val="0"/>
                <w:sz w:val="15"/>
              </w:rPr>
              <w:t>6.1 Sposób zarządzania projektem (ścieżka decyzyjna)</w:t>
            </w:r>
          </w:p>
        </w:tc>
        <w:tc>
          <w:tcPr>
            <w:tcW w:type="dxa" w:w="2041"/>
          </w:tcPr>
          <w:p>
            <w:pPr>
              <w:spacing w:after="20"/>
            </w:pPr>
            <w:r/>
            <w:r>
              <w:rPr>
                <w:b w:val="0"/>
                <w:sz w:val="15"/>
              </w:rPr>
              <w:t>Brak komitetu sterującego i niezależnego nadzoru nad zadaniami PRz.</w:t>
            </w:r>
          </w:p>
        </w:tc>
        <w:tc>
          <w:tcPr>
            <w:tcW w:type="dxa" w:w="3175"/>
          </w:tcPr>
          <w:p>
            <w:pPr>
              <w:spacing w:after="20"/>
            </w:pPr>
            <w:r/>
            <w:r>
              <w:rPr>
                <w:b w:val="0"/>
                <w:sz w:val="15"/>
              </w:rPr>
              <w:t>Dopisać skład i rolę komitetu (kierownik zarządzający, kierownik B+R, przedstawiciel PRz), osobę weryfikującą i odbierającą każdy KM oraz niezależne przeliczenie metryk przez AI Lead Everest11.</w:t>
            </w:r>
          </w:p>
        </w:tc>
        <w:tc>
          <w:tcPr>
            <w:tcW w:type="dxa" w:w="1247"/>
          </w:tcPr>
          <w:p>
            <w:pPr>
              <w:spacing w:after="20"/>
            </w:pPr>
            <w:r/>
            <w:r>
              <w:rPr>
                <w:b w:val="0"/>
                <w:sz w:val="15"/>
              </w:rPr>
              <w:t>K5-05, K5-09; D27, D28</w:t>
            </w:r>
          </w:p>
        </w:tc>
        <w:tc>
          <w:tcPr>
            <w:tcW w:type="dxa" w:w="737"/>
          </w:tcPr>
          <w:p>
            <w:pPr>
              <w:spacing w:after="20"/>
            </w:pPr>
            <w:r/>
            <w:r>
              <w:rPr>
                <w:b w:val="0"/>
                <w:sz w:val="15"/>
              </w:rPr>
              <w:t>WYSOKI</w:t>
            </w:r>
          </w:p>
        </w:tc>
      </w:tr>
      <w:tr>
        <w:tc>
          <w:tcPr>
            <w:tcW w:type="dxa" w:w="567"/>
          </w:tcPr>
          <w:p>
            <w:pPr>
              <w:spacing w:after="20"/>
            </w:pPr>
            <w:r/>
            <w:r>
              <w:rPr>
                <w:b w:val="0"/>
                <w:sz w:val="15"/>
              </w:rPr>
              <w:t>N23</w:t>
            </w:r>
          </w:p>
        </w:tc>
        <w:tc>
          <w:tcPr>
            <w:tcW w:type="dxa" w:w="1871"/>
          </w:tcPr>
          <w:p>
            <w:pPr>
              <w:spacing w:after="20"/>
            </w:pPr>
            <w:r/>
            <w:r>
              <w:rPr>
                <w:b w:val="0"/>
                <w:sz w:val="15"/>
              </w:rPr>
              <w:t>6.2 Zasoby techniczne Everest11 (przeznaczenie)</w:t>
            </w:r>
          </w:p>
        </w:tc>
        <w:tc>
          <w:tcPr>
            <w:tcW w:type="dxa" w:w="2041"/>
          </w:tcPr>
          <w:p>
            <w:pPr>
              <w:spacing w:after="20"/>
            </w:pPr>
            <w:r/>
            <w:r>
              <w:rPr>
                <w:b w:val="0"/>
                <w:sz w:val="15"/>
              </w:rPr>
              <w:t>„koordynacja prac konsorcjum, zarządzanie projektem, integracja systemowa (API TMS, eFTI, e-CMR)”, „walidacja KPI w ruchu komercyjnym”.</w:t>
            </w:r>
          </w:p>
        </w:tc>
        <w:tc>
          <w:tcPr>
            <w:tcW w:type="dxa" w:w="3175"/>
          </w:tcPr>
          <w:p>
            <w:pPr>
              <w:spacing w:after="20"/>
            </w:pPr>
            <w:r/>
            <w:r>
              <w:rPr>
                <w:b w:val="0"/>
                <w:sz w:val="15"/>
              </w:rPr>
              <w:t>Opisać zasoby (stanowiska, serwery, repozytoria) bez funkcji koordynacyjnych w pracach B+R. „W ruchu komercyjnym” zamienić na „w eksploatacji na flocie testowej”. Dopisać parametry komputerów, serwerów i chmury (uwaga 14).</w:t>
            </w:r>
          </w:p>
        </w:tc>
        <w:tc>
          <w:tcPr>
            <w:tcW w:type="dxa" w:w="1247"/>
          </w:tcPr>
          <w:p>
            <w:pPr>
              <w:spacing w:after="20"/>
            </w:pPr>
            <w:r/>
            <w:r>
              <w:rPr>
                <w:b w:val="0"/>
                <w:sz w:val="15"/>
              </w:rPr>
              <w:t>K3-38, K5-14</w:t>
            </w:r>
          </w:p>
        </w:tc>
        <w:tc>
          <w:tcPr>
            <w:tcW w:type="dxa" w:w="737"/>
          </w:tcPr>
          <w:p>
            <w:pPr>
              <w:spacing w:after="20"/>
            </w:pPr>
            <w:r/>
            <w:r>
              <w:rPr>
                <w:b w:val="0"/>
                <w:sz w:val="15"/>
              </w:rPr>
              <w:t>ŚREDNI</w:t>
            </w:r>
          </w:p>
        </w:tc>
      </w:tr>
      <w:tr>
        <w:tc>
          <w:tcPr>
            <w:tcW w:type="dxa" w:w="567"/>
          </w:tcPr>
          <w:p>
            <w:pPr>
              <w:spacing w:after="20"/>
            </w:pPr>
            <w:r/>
            <w:r>
              <w:rPr>
                <w:b w:val="0"/>
                <w:sz w:val="15"/>
              </w:rPr>
              <w:t>N24</w:t>
            </w:r>
          </w:p>
        </w:tc>
        <w:tc>
          <w:tcPr>
            <w:tcW w:type="dxa" w:w="1871"/>
          </w:tcPr>
          <w:p>
            <w:pPr>
              <w:spacing w:after="20"/>
            </w:pPr>
            <w:r/>
            <w:r>
              <w:rPr>
                <w:b w:val="0"/>
                <w:sz w:val="15"/>
              </w:rPr>
              <w:t>5. Analiza ryzyka R3 (opis zapobiegania) i R8 (podwykonawstwo)</w:t>
            </w:r>
          </w:p>
        </w:tc>
        <w:tc>
          <w:tcPr>
            <w:tcW w:type="dxa" w:w="2041"/>
          </w:tcPr>
          <w:p>
            <w:pPr>
              <w:spacing w:after="20"/>
            </w:pPr>
            <w:r/>
            <w:r>
              <w:rPr>
                <w:b w:val="0"/>
                <w:sz w:val="15"/>
              </w:rPr>
              <w:t>R3: „z udziałem podwykonawcy anotacji”. R8: podwykonawstwo obejmuje anotację datasetu.</w:t>
            </w:r>
          </w:p>
        </w:tc>
        <w:tc>
          <w:tcPr>
            <w:tcW w:type="dxa" w:w="3175"/>
          </w:tcPr>
          <w:p>
            <w:pPr>
              <w:spacing w:after="20"/>
            </w:pPr>
            <w:r/>
            <w:r>
              <w:rPr>
                <w:b w:val="0"/>
                <w:sz w:val="15"/>
              </w:rPr>
              <w:t>Usunąć anotację z listy podwykonawstwa. R8: montaż (Z2, Z9) i rzecznik patentowy (Z11). Zastąpić R1-R5, R9 i dodać R10-R12 tekstami z części drugiej.</w:t>
            </w:r>
          </w:p>
        </w:tc>
        <w:tc>
          <w:tcPr>
            <w:tcW w:type="dxa" w:w="1247"/>
          </w:tcPr>
          <w:p>
            <w:pPr>
              <w:spacing w:after="20"/>
            </w:pPr>
            <w:r/>
            <w:r>
              <w:rPr>
                <w:b w:val="0"/>
                <w:sz w:val="15"/>
              </w:rPr>
              <w:t>K3-10, K3-46, K3-25 do K3-32</w:t>
            </w:r>
          </w:p>
        </w:tc>
        <w:tc>
          <w:tcPr>
            <w:tcW w:type="dxa" w:w="737"/>
          </w:tcPr>
          <w:p>
            <w:pPr>
              <w:spacing w:after="20"/>
            </w:pPr>
            <w:r/>
            <w:r>
              <w:rPr>
                <w:b w:val="0"/>
                <w:sz w:val="15"/>
              </w:rPr>
              <w:t>WYSOKI</w:t>
            </w:r>
          </w:p>
        </w:tc>
      </w:tr>
      <w:tr>
        <w:tc>
          <w:tcPr>
            <w:tcW w:type="dxa" w:w="567"/>
          </w:tcPr>
          <w:p>
            <w:pPr>
              <w:spacing w:after="20"/>
            </w:pPr>
            <w:r/>
            <w:r>
              <w:rPr>
                <w:b w:val="0"/>
                <w:sz w:val="15"/>
              </w:rPr>
              <w:t>N25</w:t>
            </w:r>
          </w:p>
        </w:tc>
        <w:tc>
          <w:tcPr>
            <w:tcW w:type="dxa" w:w="1871"/>
          </w:tcPr>
          <w:p>
            <w:pPr>
              <w:spacing w:after="20"/>
            </w:pPr>
            <w:r/>
            <w:r>
              <w:rPr>
                <w:b w:val="0"/>
                <w:sz w:val="15"/>
              </w:rPr>
              <w:t>3.1.1 Z9 (stary tekst): odbiór i niezależna walidacja</w:t>
            </w:r>
          </w:p>
        </w:tc>
        <w:tc>
          <w:tcPr>
            <w:tcW w:type="dxa" w:w="2041"/>
          </w:tcPr>
          <w:p>
            <w:pPr>
              <w:spacing w:after="20"/>
            </w:pPr>
            <w:r/>
            <w:r>
              <w:rPr>
                <w:b w:val="0"/>
                <w:sz w:val="15"/>
              </w:rPr>
              <w:t>Protokół podpisuje kierownik B+R i kluczowy personel PRz; „niezależna walidacja PRz na ≥180 kursach”.</w:t>
            </w:r>
          </w:p>
        </w:tc>
        <w:tc>
          <w:tcPr>
            <w:tcW w:type="dxa" w:w="3175"/>
          </w:tcPr>
          <w:p>
            <w:pPr>
              <w:spacing w:after="20"/>
            </w:pPr>
            <w:r/>
            <w:r>
              <w:rPr>
                <w:b w:val="0"/>
                <w:sz w:val="15"/>
              </w:rPr>
              <w:t>Zastąpione ścieżką audytu z nowego tekstu (PRz tylko odbiór metodyczny w Z8). Sprawdzić, czy zdanie nie zostało także w sekcjach 1.2 i 2.x.</w:t>
            </w:r>
          </w:p>
        </w:tc>
        <w:tc>
          <w:tcPr>
            <w:tcW w:type="dxa" w:w="1247"/>
          </w:tcPr>
          <w:p>
            <w:pPr>
              <w:spacing w:after="20"/>
            </w:pPr>
            <w:r/>
            <w:r>
              <w:rPr>
                <w:b w:val="0"/>
                <w:sz w:val="15"/>
              </w:rPr>
              <w:t>K3-11, K3-12; D25</w:t>
            </w:r>
          </w:p>
        </w:tc>
        <w:tc>
          <w:tcPr>
            <w:tcW w:type="dxa" w:w="737"/>
          </w:tcPr>
          <w:p>
            <w:pPr>
              <w:spacing w:after="20"/>
            </w:pPr>
            <w:r/>
            <w:r>
              <w:rPr>
                <w:b w:val="0"/>
                <w:sz w:val="15"/>
              </w:rPr>
              <w:t>WYSOKI</w:t>
            </w:r>
          </w:p>
        </w:tc>
      </w:tr>
      <w:tr>
        <w:tc>
          <w:tcPr>
            <w:tcW w:type="dxa" w:w="567"/>
          </w:tcPr>
          <w:p>
            <w:pPr>
              <w:spacing w:after="20"/>
            </w:pPr>
            <w:r/>
            <w:r>
              <w:rPr>
                <w:b w:val="0"/>
                <w:sz w:val="15"/>
              </w:rPr>
              <w:t>N26</w:t>
            </w:r>
          </w:p>
        </w:tc>
        <w:tc>
          <w:tcPr>
            <w:tcW w:type="dxa" w:w="1871"/>
          </w:tcPr>
          <w:p>
            <w:pPr>
              <w:spacing w:after="20"/>
            </w:pPr>
            <w:r/>
            <w:r>
              <w:rPr>
                <w:b w:val="0"/>
                <w:sz w:val="15"/>
              </w:rPr>
              <w:t>6.4 Podwykonawcy oraz pozycje podwykonawstwa Z2 (150 000 zł) i Z9 (70 000 zł)</w:t>
            </w:r>
          </w:p>
        </w:tc>
        <w:tc>
          <w:tcPr>
            <w:tcW w:type="dxa" w:w="2041"/>
          </w:tcPr>
          <w:p>
            <w:pPr>
              <w:spacing w:after="20"/>
            </w:pPr>
            <w:r/>
            <w:r>
              <w:rPr>
                <w:b w:val="0"/>
                <w:sz w:val="15"/>
              </w:rPr>
              <w:t>Brak kalkulacji i liczby ofert; wymagania dla niewybranego podwykonawcy.</w:t>
            </w:r>
          </w:p>
        </w:tc>
        <w:tc>
          <w:tcPr>
            <w:tcW w:type="dxa" w:w="3175"/>
          </w:tcPr>
          <w:p>
            <w:pPr>
              <w:spacing w:after="20"/>
            </w:pPr>
            <w:r/>
            <w:r>
              <w:rPr>
                <w:b w:val="0"/>
                <w:sz w:val="15"/>
              </w:rPr>
              <w:t>Uzupełnić: zakres (tylko montaż, instalacja, demontaż), liczba pojazdów, pracochłonność lub ryczałt, oferty, wybór kwoty; rozdzielenie Z2 i Z9. Wymagania minimalne wykonawcy.</w:t>
            </w:r>
          </w:p>
        </w:tc>
        <w:tc>
          <w:tcPr>
            <w:tcW w:type="dxa" w:w="1247"/>
          </w:tcPr>
          <w:p>
            <w:pPr>
              <w:spacing w:after="20"/>
            </w:pPr>
            <w:r/>
            <w:r>
              <w:rPr>
                <w:b w:val="0"/>
                <w:sz w:val="15"/>
              </w:rPr>
              <w:t>K3-43 do K3-46; D08</w:t>
            </w:r>
          </w:p>
        </w:tc>
        <w:tc>
          <w:tcPr>
            <w:tcW w:type="dxa" w:w="737"/>
          </w:tcPr>
          <w:p>
            <w:pPr>
              <w:spacing w:after="20"/>
            </w:pPr>
            <w:r/>
            <w:r>
              <w:rPr>
                <w:b w:val="0"/>
                <w:sz w:val="15"/>
              </w:rPr>
              <w:t>WYSOKI</w:t>
            </w:r>
          </w:p>
        </w:tc>
      </w:tr>
      <w:tr>
        <w:tc>
          <w:tcPr>
            <w:tcW w:type="dxa" w:w="567"/>
          </w:tcPr>
          <w:p>
            <w:pPr>
              <w:spacing w:after="20"/>
            </w:pPr>
            <w:r/>
            <w:r>
              <w:rPr>
                <w:b w:val="0"/>
                <w:sz w:val="15"/>
              </w:rPr>
              <w:t>N27</w:t>
            </w:r>
          </w:p>
        </w:tc>
        <w:tc>
          <w:tcPr>
            <w:tcW w:type="dxa" w:w="1871"/>
          </w:tcPr>
          <w:p>
            <w:pPr>
              <w:spacing w:after="20"/>
            </w:pPr>
            <w:r/>
            <w:r>
              <w:rPr>
                <w:b w:val="0"/>
                <w:sz w:val="15"/>
              </w:rPr>
              <w:t>Model finansowy (Założenia, Rozliczenie dotacji)</w:t>
            </w:r>
          </w:p>
        </w:tc>
        <w:tc>
          <w:tcPr>
            <w:tcW w:type="dxa" w:w="2041"/>
          </w:tcPr>
          <w:p>
            <w:pPr>
              <w:spacing w:after="20"/>
            </w:pPr>
            <w:r/>
            <w:r>
              <w:rPr>
                <w:b w:val="0"/>
                <w:sz w:val="15"/>
              </w:rPr>
              <w:t>Komentarz „18 miesięcy” w Założeniach; liczby godzin i etatów jak w starej wersji budżetu.</w:t>
            </w:r>
          </w:p>
        </w:tc>
        <w:tc>
          <w:tcPr>
            <w:tcW w:type="dxa" w:w="3175"/>
          </w:tcPr>
          <w:p>
            <w:pPr>
              <w:spacing w:after="20"/>
            </w:pPr>
            <w:r/>
            <w:r>
              <w:rPr>
                <w:b w:val="0"/>
                <w:sz w:val="15"/>
              </w:rPr>
              <w:t>Poprawić na 30 miesięcy oraz uspójnić z nowym podziałem Backend Z6/Z9 (N16) i z podziałem N18.</w:t>
            </w:r>
          </w:p>
        </w:tc>
        <w:tc>
          <w:tcPr>
            <w:tcW w:type="dxa" w:w="1247"/>
          </w:tcPr>
          <w:p>
            <w:pPr>
              <w:spacing w:after="20"/>
            </w:pPr>
            <w:r/>
            <w:r>
              <w:rPr>
                <w:b w:val="0"/>
                <w:sz w:val="15"/>
              </w:rPr>
              <w:t>K3-36; uwaga ogólna o spójności</w:t>
            </w:r>
          </w:p>
        </w:tc>
        <w:tc>
          <w:tcPr>
            <w:tcW w:type="dxa" w:w="737"/>
          </w:tcPr>
          <w:p>
            <w:pPr>
              <w:spacing w:after="20"/>
            </w:pPr>
            <w:r/>
            <w:r>
              <w:rPr>
                <w:b w:val="0"/>
                <w:sz w:val="15"/>
              </w:rPr>
              <w:t>ŚREDNI</w:t>
            </w:r>
          </w:p>
        </w:tc>
      </w:tr>
    </w:tbl>
    <w:p/>
    <w:p>
      <w:pPr>
        <w:pStyle w:val="Heading1"/>
      </w:pPr>
      <w:r>
        <w:t>Aneks D. Kontrola formalna tekstów</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907"/>
            <w:shd w:val="clear" w:color="auto" w:fill="D9E2F3"/>
          </w:tcPr>
          <w:p>
            <w:pPr>
              <w:spacing w:after="20"/>
            </w:pPr>
            <w:r/>
            <w:r>
              <w:rPr>
                <w:b/>
                <w:sz w:val="17"/>
              </w:rPr>
              <w:t>Zadanie</w:t>
            </w:r>
          </w:p>
        </w:tc>
        <w:tc>
          <w:tcPr>
            <w:tcW w:type="dxa" w:w="1247"/>
            <w:shd w:val="clear" w:color="auto" w:fill="D9E2F3"/>
          </w:tcPr>
          <w:p>
            <w:pPr>
              <w:spacing w:after="20"/>
            </w:pPr>
            <w:r/>
            <w:r>
              <w:rPr>
                <w:b/>
                <w:sz w:val="17"/>
              </w:rPr>
              <w:t>Zakres</w:t>
            </w:r>
          </w:p>
        </w:tc>
        <w:tc>
          <w:tcPr>
            <w:tcW w:type="dxa" w:w="1247"/>
            <w:shd w:val="clear" w:color="auto" w:fill="D9E2F3"/>
          </w:tcPr>
          <w:p>
            <w:pPr>
              <w:spacing w:after="20"/>
            </w:pPr>
            <w:r/>
            <w:r>
              <w:rPr>
                <w:b/>
                <w:sz w:val="17"/>
              </w:rPr>
              <w:t>Opis</w:t>
            </w:r>
          </w:p>
        </w:tc>
        <w:tc>
          <w:tcPr>
            <w:tcW w:type="dxa" w:w="1134"/>
            <w:shd w:val="clear" w:color="auto" w:fill="D9E2F3"/>
          </w:tcPr>
          <w:p>
            <w:pPr>
              <w:spacing w:after="20"/>
            </w:pPr>
            <w:r/>
            <w:r>
              <w:rPr>
                <w:b/>
                <w:sz w:val="17"/>
              </w:rPr>
              <w:t>KM nazwa</w:t>
            </w:r>
          </w:p>
        </w:tc>
        <w:tc>
          <w:tcPr>
            <w:tcW w:type="dxa" w:w="1191"/>
            <w:shd w:val="clear" w:color="auto" w:fill="D9E2F3"/>
          </w:tcPr>
          <w:p>
            <w:pPr>
              <w:spacing w:after="20"/>
            </w:pPr>
            <w:r/>
            <w:r>
              <w:rPr>
                <w:b/>
                <w:sz w:val="17"/>
              </w:rPr>
              <w:t>KM param.</w:t>
            </w:r>
          </w:p>
        </w:tc>
        <w:tc>
          <w:tcPr>
            <w:tcW w:type="dxa" w:w="1191"/>
            <w:shd w:val="clear" w:color="auto" w:fill="D9E2F3"/>
          </w:tcPr>
          <w:p>
            <w:pPr>
              <w:spacing w:after="20"/>
            </w:pPr>
            <w:r/>
            <w:r>
              <w:rPr>
                <w:b/>
                <w:sz w:val="17"/>
              </w:rPr>
              <w:t>KM weryf.</w:t>
            </w:r>
          </w:p>
        </w:tc>
        <w:tc>
          <w:tcPr>
            <w:tcW w:type="dxa" w:w="1191"/>
            <w:shd w:val="clear" w:color="auto" w:fill="D9E2F3"/>
          </w:tcPr>
          <w:p>
            <w:pPr>
              <w:spacing w:after="20"/>
            </w:pPr>
            <w:r/>
            <w:r>
              <w:rPr>
                <w:b/>
                <w:sz w:val="17"/>
              </w:rPr>
              <w:t>KM wpływ</w:t>
            </w:r>
          </w:p>
        </w:tc>
        <w:tc>
          <w:tcPr>
            <w:tcW w:type="dxa" w:w="1531"/>
            <w:shd w:val="clear" w:color="auto" w:fill="D9E2F3"/>
          </w:tcPr>
          <w:p>
            <w:pPr>
              <w:spacing w:after="20"/>
            </w:pPr>
            <w:r/>
            <w:r>
              <w:rPr>
                <w:b/>
                <w:sz w:val="17"/>
              </w:rPr>
              <w:t>Znaki specjalne</w:t>
            </w:r>
          </w:p>
        </w:tc>
      </w:tr>
      <w:tr>
        <w:tc>
          <w:tcPr>
            <w:tcW w:type="dxa" w:w="907"/>
          </w:tcPr>
          <w:p>
            <w:pPr>
              <w:spacing w:after="20"/>
            </w:pPr>
            <w:r/>
            <w:r>
              <w:rPr>
                <w:b w:val="0"/>
                <w:sz w:val="17"/>
              </w:rPr>
              <w:t>Z1</w:t>
            </w:r>
          </w:p>
        </w:tc>
        <w:tc>
          <w:tcPr>
            <w:tcW w:type="dxa" w:w="1247"/>
          </w:tcPr>
          <w:p>
            <w:pPr>
              <w:spacing w:after="20"/>
            </w:pPr>
            <w:r/>
            <w:r>
              <w:rPr>
                <w:b w:val="0"/>
                <w:sz w:val="17"/>
              </w:rPr>
              <w:t>3924/4000</w:t>
            </w:r>
          </w:p>
        </w:tc>
        <w:tc>
          <w:tcPr>
            <w:tcW w:type="dxa" w:w="1247"/>
          </w:tcPr>
          <w:p>
            <w:pPr>
              <w:spacing w:after="20"/>
            </w:pPr>
            <w:r/>
            <w:r>
              <w:rPr>
                <w:b w:val="0"/>
                <w:sz w:val="17"/>
              </w:rPr>
              <w:t>3876/4000</w:t>
            </w:r>
          </w:p>
        </w:tc>
        <w:tc>
          <w:tcPr>
            <w:tcW w:type="dxa" w:w="1134"/>
          </w:tcPr>
          <w:p>
            <w:pPr>
              <w:spacing w:after="20"/>
            </w:pPr>
            <w:r/>
            <w:r>
              <w:rPr>
                <w:b w:val="0"/>
                <w:sz w:val="17"/>
              </w:rPr>
              <w:t>362/500</w:t>
            </w:r>
          </w:p>
        </w:tc>
        <w:tc>
          <w:tcPr>
            <w:tcW w:type="dxa" w:w="1191"/>
          </w:tcPr>
          <w:p>
            <w:pPr>
              <w:spacing w:after="20"/>
            </w:pPr>
            <w:r/>
            <w:r>
              <w:rPr>
                <w:b w:val="0"/>
                <w:sz w:val="17"/>
              </w:rPr>
              <w:t>923/1300</w:t>
            </w:r>
          </w:p>
        </w:tc>
        <w:tc>
          <w:tcPr>
            <w:tcW w:type="dxa" w:w="1191"/>
          </w:tcPr>
          <w:p>
            <w:pPr>
              <w:spacing w:after="20"/>
            </w:pPr>
            <w:r/>
            <w:r>
              <w:rPr>
                <w:b w:val="0"/>
                <w:sz w:val="17"/>
              </w:rPr>
              <w:t>852/1300</w:t>
            </w:r>
          </w:p>
        </w:tc>
        <w:tc>
          <w:tcPr>
            <w:tcW w:type="dxa" w:w="1191"/>
          </w:tcPr>
          <w:p>
            <w:pPr>
              <w:spacing w:after="20"/>
            </w:pPr>
            <w:r/>
            <w:r>
              <w:rPr>
                <w:b w:val="0"/>
                <w:sz w:val="17"/>
              </w:rPr>
              <w:t>876/1300</w:t>
            </w:r>
          </w:p>
        </w:tc>
        <w:tc>
          <w:tcPr>
            <w:tcW w:type="dxa" w:w="1531"/>
          </w:tcPr>
          <w:p>
            <w:pPr>
              <w:spacing w:after="20"/>
            </w:pPr>
            <w:r/>
            <w:r>
              <w:rPr>
                <w:b w:val="0"/>
                <w:sz w:val="17"/>
              </w:rPr>
              <w:t>brak</w:t>
            </w:r>
          </w:p>
        </w:tc>
      </w:tr>
      <w:tr>
        <w:tc>
          <w:tcPr>
            <w:tcW w:type="dxa" w:w="907"/>
          </w:tcPr>
          <w:p>
            <w:pPr>
              <w:spacing w:after="20"/>
            </w:pPr>
            <w:r/>
            <w:r>
              <w:rPr>
                <w:b w:val="0"/>
                <w:sz w:val="17"/>
              </w:rPr>
              <w:t>Z2</w:t>
            </w:r>
          </w:p>
        </w:tc>
        <w:tc>
          <w:tcPr>
            <w:tcW w:type="dxa" w:w="1247"/>
          </w:tcPr>
          <w:p>
            <w:pPr>
              <w:spacing w:after="20"/>
            </w:pPr>
            <w:r/>
            <w:r>
              <w:rPr>
                <w:b w:val="0"/>
                <w:sz w:val="17"/>
              </w:rPr>
              <w:t>3770/4000</w:t>
            </w:r>
          </w:p>
        </w:tc>
        <w:tc>
          <w:tcPr>
            <w:tcW w:type="dxa" w:w="1247"/>
          </w:tcPr>
          <w:p>
            <w:pPr>
              <w:spacing w:after="20"/>
            </w:pPr>
            <w:r/>
            <w:r>
              <w:rPr>
                <w:b w:val="0"/>
                <w:sz w:val="17"/>
              </w:rPr>
              <w:t>3883/4000</w:t>
            </w:r>
          </w:p>
        </w:tc>
        <w:tc>
          <w:tcPr>
            <w:tcW w:type="dxa" w:w="1134"/>
          </w:tcPr>
          <w:p>
            <w:pPr>
              <w:spacing w:after="20"/>
            </w:pPr>
            <w:r/>
            <w:r>
              <w:rPr>
                <w:b w:val="0"/>
                <w:sz w:val="17"/>
              </w:rPr>
              <w:t>286/500</w:t>
            </w:r>
          </w:p>
        </w:tc>
        <w:tc>
          <w:tcPr>
            <w:tcW w:type="dxa" w:w="1191"/>
          </w:tcPr>
          <w:p>
            <w:pPr>
              <w:spacing w:after="20"/>
            </w:pPr>
            <w:r/>
            <w:r>
              <w:rPr>
                <w:b w:val="0"/>
                <w:sz w:val="17"/>
              </w:rPr>
              <w:t>962/1300</w:t>
            </w:r>
          </w:p>
        </w:tc>
        <w:tc>
          <w:tcPr>
            <w:tcW w:type="dxa" w:w="1191"/>
          </w:tcPr>
          <w:p>
            <w:pPr>
              <w:spacing w:after="20"/>
            </w:pPr>
            <w:r/>
            <w:r>
              <w:rPr>
                <w:b w:val="0"/>
                <w:sz w:val="17"/>
              </w:rPr>
              <w:t>794/1300</w:t>
            </w:r>
          </w:p>
        </w:tc>
        <w:tc>
          <w:tcPr>
            <w:tcW w:type="dxa" w:w="1191"/>
          </w:tcPr>
          <w:p>
            <w:pPr>
              <w:spacing w:after="20"/>
            </w:pPr>
            <w:r/>
            <w:r>
              <w:rPr>
                <w:b w:val="0"/>
                <w:sz w:val="17"/>
              </w:rPr>
              <w:t>710/1300</w:t>
            </w:r>
          </w:p>
        </w:tc>
        <w:tc>
          <w:tcPr>
            <w:tcW w:type="dxa" w:w="1531"/>
          </w:tcPr>
          <w:p>
            <w:pPr>
              <w:spacing w:after="20"/>
            </w:pPr>
            <w:r/>
            <w:r>
              <w:rPr>
                <w:b w:val="0"/>
                <w:sz w:val="17"/>
              </w:rPr>
              <w:t>brak</w:t>
            </w:r>
          </w:p>
        </w:tc>
      </w:tr>
      <w:tr>
        <w:tc>
          <w:tcPr>
            <w:tcW w:type="dxa" w:w="907"/>
          </w:tcPr>
          <w:p>
            <w:pPr>
              <w:spacing w:after="20"/>
            </w:pPr>
            <w:r/>
            <w:r>
              <w:rPr>
                <w:b w:val="0"/>
                <w:sz w:val="17"/>
              </w:rPr>
              <w:t>Z3</w:t>
            </w:r>
          </w:p>
        </w:tc>
        <w:tc>
          <w:tcPr>
            <w:tcW w:type="dxa" w:w="1247"/>
          </w:tcPr>
          <w:p>
            <w:pPr>
              <w:spacing w:after="20"/>
            </w:pPr>
            <w:r/>
            <w:r>
              <w:rPr>
                <w:b w:val="0"/>
                <w:sz w:val="17"/>
              </w:rPr>
              <w:t>3779/4000</w:t>
            </w:r>
          </w:p>
        </w:tc>
        <w:tc>
          <w:tcPr>
            <w:tcW w:type="dxa" w:w="1247"/>
          </w:tcPr>
          <w:p>
            <w:pPr>
              <w:spacing w:after="20"/>
            </w:pPr>
            <w:r/>
            <w:r>
              <w:rPr>
                <w:b w:val="0"/>
                <w:sz w:val="17"/>
              </w:rPr>
              <w:t>3469/4000</w:t>
            </w:r>
          </w:p>
        </w:tc>
        <w:tc>
          <w:tcPr>
            <w:tcW w:type="dxa" w:w="1134"/>
          </w:tcPr>
          <w:p>
            <w:pPr>
              <w:spacing w:after="20"/>
            </w:pPr>
            <w:r/>
            <w:r>
              <w:rPr>
                <w:b w:val="0"/>
                <w:sz w:val="17"/>
              </w:rPr>
              <w:t>301/500</w:t>
            </w:r>
          </w:p>
        </w:tc>
        <w:tc>
          <w:tcPr>
            <w:tcW w:type="dxa" w:w="1191"/>
          </w:tcPr>
          <w:p>
            <w:pPr>
              <w:spacing w:after="20"/>
            </w:pPr>
            <w:r/>
            <w:r>
              <w:rPr>
                <w:b w:val="0"/>
                <w:sz w:val="17"/>
              </w:rPr>
              <w:t>816/1300</w:t>
            </w:r>
          </w:p>
        </w:tc>
        <w:tc>
          <w:tcPr>
            <w:tcW w:type="dxa" w:w="1191"/>
          </w:tcPr>
          <w:p>
            <w:pPr>
              <w:spacing w:after="20"/>
            </w:pPr>
            <w:r/>
            <w:r>
              <w:rPr>
                <w:b w:val="0"/>
                <w:sz w:val="17"/>
              </w:rPr>
              <w:t>837/1300</w:t>
            </w:r>
          </w:p>
        </w:tc>
        <w:tc>
          <w:tcPr>
            <w:tcW w:type="dxa" w:w="1191"/>
          </w:tcPr>
          <w:p>
            <w:pPr>
              <w:spacing w:after="20"/>
            </w:pPr>
            <w:r/>
            <w:r>
              <w:rPr>
                <w:b w:val="0"/>
                <w:sz w:val="17"/>
              </w:rPr>
              <w:t>745/1300</w:t>
            </w:r>
          </w:p>
        </w:tc>
        <w:tc>
          <w:tcPr>
            <w:tcW w:type="dxa" w:w="1531"/>
          </w:tcPr>
          <w:p>
            <w:pPr>
              <w:spacing w:after="20"/>
            </w:pPr>
            <w:r/>
            <w:r>
              <w:rPr>
                <w:b w:val="0"/>
                <w:sz w:val="17"/>
              </w:rPr>
              <w:t>brak</w:t>
            </w:r>
          </w:p>
        </w:tc>
      </w:tr>
      <w:tr>
        <w:tc>
          <w:tcPr>
            <w:tcW w:type="dxa" w:w="907"/>
          </w:tcPr>
          <w:p>
            <w:pPr>
              <w:spacing w:after="20"/>
            </w:pPr>
            <w:r/>
            <w:r>
              <w:rPr>
                <w:b w:val="0"/>
                <w:sz w:val="17"/>
              </w:rPr>
              <w:t>Z4</w:t>
            </w:r>
          </w:p>
        </w:tc>
        <w:tc>
          <w:tcPr>
            <w:tcW w:type="dxa" w:w="1247"/>
          </w:tcPr>
          <w:p>
            <w:pPr>
              <w:spacing w:after="20"/>
            </w:pPr>
            <w:r/>
            <w:r>
              <w:rPr>
                <w:b w:val="0"/>
                <w:sz w:val="17"/>
              </w:rPr>
              <w:t>3589/4000</w:t>
            </w:r>
          </w:p>
        </w:tc>
        <w:tc>
          <w:tcPr>
            <w:tcW w:type="dxa" w:w="1247"/>
          </w:tcPr>
          <w:p>
            <w:pPr>
              <w:spacing w:after="20"/>
            </w:pPr>
            <w:r/>
            <w:r>
              <w:rPr>
                <w:b w:val="0"/>
                <w:sz w:val="17"/>
              </w:rPr>
              <w:t>3260/4000</w:t>
            </w:r>
          </w:p>
        </w:tc>
        <w:tc>
          <w:tcPr>
            <w:tcW w:type="dxa" w:w="1134"/>
          </w:tcPr>
          <w:p>
            <w:pPr>
              <w:spacing w:after="20"/>
            </w:pPr>
            <w:r/>
            <w:r>
              <w:rPr>
                <w:b w:val="0"/>
                <w:sz w:val="17"/>
              </w:rPr>
              <w:t>312/500</w:t>
            </w:r>
          </w:p>
        </w:tc>
        <w:tc>
          <w:tcPr>
            <w:tcW w:type="dxa" w:w="1191"/>
          </w:tcPr>
          <w:p>
            <w:pPr>
              <w:spacing w:after="20"/>
            </w:pPr>
            <w:r/>
            <w:r>
              <w:rPr>
                <w:b w:val="0"/>
                <w:sz w:val="17"/>
              </w:rPr>
              <w:t>1038/1300</w:t>
            </w:r>
          </w:p>
        </w:tc>
        <w:tc>
          <w:tcPr>
            <w:tcW w:type="dxa" w:w="1191"/>
          </w:tcPr>
          <w:p>
            <w:pPr>
              <w:spacing w:after="20"/>
            </w:pPr>
            <w:r/>
            <w:r>
              <w:rPr>
                <w:b w:val="0"/>
                <w:sz w:val="17"/>
              </w:rPr>
              <w:t>789/1300</w:t>
            </w:r>
          </w:p>
        </w:tc>
        <w:tc>
          <w:tcPr>
            <w:tcW w:type="dxa" w:w="1191"/>
          </w:tcPr>
          <w:p>
            <w:pPr>
              <w:spacing w:after="20"/>
            </w:pPr>
            <w:r/>
            <w:r>
              <w:rPr>
                <w:b w:val="0"/>
                <w:sz w:val="17"/>
              </w:rPr>
              <w:t>868/1300</w:t>
            </w:r>
          </w:p>
        </w:tc>
        <w:tc>
          <w:tcPr>
            <w:tcW w:type="dxa" w:w="1531"/>
          </w:tcPr>
          <w:p>
            <w:pPr>
              <w:spacing w:after="20"/>
            </w:pPr>
            <w:r/>
            <w:r>
              <w:rPr>
                <w:b w:val="0"/>
                <w:sz w:val="17"/>
              </w:rPr>
              <w:t>brak</w:t>
            </w:r>
          </w:p>
        </w:tc>
      </w:tr>
      <w:tr>
        <w:tc>
          <w:tcPr>
            <w:tcW w:type="dxa" w:w="907"/>
          </w:tcPr>
          <w:p>
            <w:pPr>
              <w:spacing w:after="20"/>
            </w:pPr>
            <w:r/>
            <w:r>
              <w:rPr>
                <w:b w:val="0"/>
                <w:sz w:val="17"/>
              </w:rPr>
              <w:t>Z5</w:t>
            </w:r>
          </w:p>
        </w:tc>
        <w:tc>
          <w:tcPr>
            <w:tcW w:type="dxa" w:w="1247"/>
          </w:tcPr>
          <w:p>
            <w:pPr>
              <w:spacing w:after="20"/>
            </w:pPr>
            <w:r/>
            <w:r>
              <w:rPr>
                <w:b w:val="0"/>
                <w:sz w:val="17"/>
              </w:rPr>
              <w:t>3725/4000</w:t>
            </w:r>
          </w:p>
        </w:tc>
        <w:tc>
          <w:tcPr>
            <w:tcW w:type="dxa" w:w="1247"/>
          </w:tcPr>
          <w:p>
            <w:pPr>
              <w:spacing w:after="20"/>
            </w:pPr>
            <w:r/>
            <w:r>
              <w:rPr>
                <w:b w:val="0"/>
                <w:sz w:val="17"/>
              </w:rPr>
              <w:t>3170/4000</w:t>
            </w:r>
          </w:p>
        </w:tc>
        <w:tc>
          <w:tcPr>
            <w:tcW w:type="dxa" w:w="1134"/>
          </w:tcPr>
          <w:p>
            <w:pPr>
              <w:spacing w:after="20"/>
            </w:pPr>
            <w:r/>
            <w:r>
              <w:rPr>
                <w:b w:val="0"/>
                <w:sz w:val="17"/>
              </w:rPr>
              <w:t>285/500</w:t>
            </w:r>
          </w:p>
        </w:tc>
        <w:tc>
          <w:tcPr>
            <w:tcW w:type="dxa" w:w="1191"/>
          </w:tcPr>
          <w:p>
            <w:pPr>
              <w:spacing w:after="20"/>
            </w:pPr>
            <w:r/>
            <w:r>
              <w:rPr>
                <w:b w:val="0"/>
                <w:sz w:val="17"/>
              </w:rPr>
              <w:t>932/1300</w:t>
            </w:r>
          </w:p>
        </w:tc>
        <w:tc>
          <w:tcPr>
            <w:tcW w:type="dxa" w:w="1191"/>
          </w:tcPr>
          <w:p>
            <w:pPr>
              <w:spacing w:after="20"/>
            </w:pPr>
            <w:r/>
            <w:r>
              <w:rPr>
                <w:b w:val="0"/>
                <w:sz w:val="17"/>
              </w:rPr>
              <w:t>805/1300</w:t>
            </w:r>
          </w:p>
        </w:tc>
        <w:tc>
          <w:tcPr>
            <w:tcW w:type="dxa" w:w="1191"/>
          </w:tcPr>
          <w:p>
            <w:pPr>
              <w:spacing w:after="20"/>
            </w:pPr>
            <w:r/>
            <w:r>
              <w:rPr>
                <w:b w:val="0"/>
                <w:sz w:val="17"/>
              </w:rPr>
              <w:t>780/1300</w:t>
            </w:r>
          </w:p>
        </w:tc>
        <w:tc>
          <w:tcPr>
            <w:tcW w:type="dxa" w:w="1531"/>
          </w:tcPr>
          <w:p>
            <w:pPr>
              <w:spacing w:after="20"/>
            </w:pPr>
            <w:r/>
            <w:r>
              <w:rPr>
                <w:b w:val="0"/>
                <w:sz w:val="17"/>
              </w:rPr>
              <w:t>brak</w:t>
            </w:r>
          </w:p>
        </w:tc>
      </w:tr>
      <w:tr>
        <w:tc>
          <w:tcPr>
            <w:tcW w:type="dxa" w:w="907"/>
          </w:tcPr>
          <w:p>
            <w:pPr>
              <w:spacing w:after="20"/>
            </w:pPr>
            <w:r/>
            <w:r>
              <w:rPr>
                <w:b w:val="0"/>
                <w:sz w:val="17"/>
              </w:rPr>
              <w:t>Z6</w:t>
            </w:r>
          </w:p>
        </w:tc>
        <w:tc>
          <w:tcPr>
            <w:tcW w:type="dxa" w:w="1247"/>
          </w:tcPr>
          <w:p>
            <w:pPr>
              <w:spacing w:after="20"/>
            </w:pPr>
            <w:r/>
            <w:r>
              <w:rPr>
                <w:b w:val="0"/>
                <w:sz w:val="17"/>
              </w:rPr>
              <w:t>3275/4000</w:t>
            </w:r>
          </w:p>
        </w:tc>
        <w:tc>
          <w:tcPr>
            <w:tcW w:type="dxa" w:w="1247"/>
          </w:tcPr>
          <w:p>
            <w:pPr>
              <w:spacing w:after="20"/>
            </w:pPr>
            <w:r/>
            <w:r>
              <w:rPr>
                <w:b w:val="0"/>
                <w:sz w:val="17"/>
              </w:rPr>
              <w:t>3098/4000</w:t>
            </w:r>
          </w:p>
        </w:tc>
        <w:tc>
          <w:tcPr>
            <w:tcW w:type="dxa" w:w="1134"/>
          </w:tcPr>
          <w:p>
            <w:pPr>
              <w:spacing w:after="20"/>
            </w:pPr>
            <w:r/>
            <w:r>
              <w:rPr>
                <w:b w:val="0"/>
                <w:sz w:val="17"/>
              </w:rPr>
              <w:t>268/500</w:t>
            </w:r>
          </w:p>
        </w:tc>
        <w:tc>
          <w:tcPr>
            <w:tcW w:type="dxa" w:w="1191"/>
          </w:tcPr>
          <w:p>
            <w:pPr>
              <w:spacing w:after="20"/>
            </w:pPr>
            <w:r/>
            <w:r>
              <w:rPr>
                <w:b w:val="0"/>
                <w:sz w:val="17"/>
              </w:rPr>
              <w:t>919/1300</w:t>
            </w:r>
          </w:p>
        </w:tc>
        <w:tc>
          <w:tcPr>
            <w:tcW w:type="dxa" w:w="1191"/>
          </w:tcPr>
          <w:p>
            <w:pPr>
              <w:spacing w:after="20"/>
            </w:pPr>
            <w:r/>
            <w:r>
              <w:rPr>
                <w:b w:val="0"/>
                <w:sz w:val="17"/>
              </w:rPr>
              <w:t>692/1300</w:t>
            </w:r>
          </w:p>
        </w:tc>
        <w:tc>
          <w:tcPr>
            <w:tcW w:type="dxa" w:w="1191"/>
          </w:tcPr>
          <w:p>
            <w:pPr>
              <w:spacing w:after="20"/>
            </w:pPr>
            <w:r/>
            <w:r>
              <w:rPr>
                <w:b w:val="0"/>
                <w:sz w:val="17"/>
              </w:rPr>
              <w:t>843/1300</w:t>
            </w:r>
          </w:p>
        </w:tc>
        <w:tc>
          <w:tcPr>
            <w:tcW w:type="dxa" w:w="1531"/>
          </w:tcPr>
          <w:p>
            <w:pPr>
              <w:spacing w:after="20"/>
            </w:pPr>
            <w:r/>
            <w:r>
              <w:rPr>
                <w:b w:val="0"/>
                <w:sz w:val="17"/>
              </w:rPr>
              <w:t>brak</w:t>
            </w:r>
          </w:p>
        </w:tc>
      </w:tr>
      <w:tr>
        <w:tc>
          <w:tcPr>
            <w:tcW w:type="dxa" w:w="907"/>
          </w:tcPr>
          <w:p>
            <w:pPr>
              <w:spacing w:after="20"/>
            </w:pPr>
            <w:r/>
            <w:r>
              <w:rPr>
                <w:b w:val="0"/>
                <w:sz w:val="17"/>
              </w:rPr>
              <w:t>Z7</w:t>
            </w:r>
          </w:p>
        </w:tc>
        <w:tc>
          <w:tcPr>
            <w:tcW w:type="dxa" w:w="1247"/>
          </w:tcPr>
          <w:p>
            <w:pPr>
              <w:spacing w:after="20"/>
            </w:pPr>
            <w:r/>
            <w:r>
              <w:rPr>
                <w:b w:val="0"/>
                <w:sz w:val="17"/>
              </w:rPr>
              <w:t>3297/4000</w:t>
            </w:r>
          </w:p>
        </w:tc>
        <w:tc>
          <w:tcPr>
            <w:tcW w:type="dxa" w:w="1247"/>
          </w:tcPr>
          <w:p>
            <w:pPr>
              <w:spacing w:after="20"/>
            </w:pPr>
            <w:r/>
            <w:r>
              <w:rPr>
                <w:b w:val="0"/>
                <w:sz w:val="17"/>
              </w:rPr>
              <w:t>3267/4000</w:t>
            </w:r>
          </w:p>
        </w:tc>
        <w:tc>
          <w:tcPr>
            <w:tcW w:type="dxa" w:w="1134"/>
          </w:tcPr>
          <w:p>
            <w:pPr>
              <w:spacing w:after="20"/>
            </w:pPr>
            <w:r/>
            <w:r>
              <w:rPr>
                <w:b w:val="0"/>
                <w:sz w:val="17"/>
              </w:rPr>
              <w:t>353/500</w:t>
            </w:r>
          </w:p>
        </w:tc>
        <w:tc>
          <w:tcPr>
            <w:tcW w:type="dxa" w:w="1191"/>
          </w:tcPr>
          <w:p>
            <w:pPr>
              <w:spacing w:after="20"/>
            </w:pPr>
            <w:r/>
            <w:r>
              <w:rPr>
                <w:b w:val="0"/>
                <w:sz w:val="17"/>
              </w:rPr>
              <w:t>976/1300</w:t>
            </w:r>
          </w:p>
        </w:tc>
        <w:tc>
          <w:tcPr>
            <w:tcW w:type="dxa" w:w="1191"/>
          </w:tcPr>
          <w:p>
            <w:pPr>
              <w:spacing w:after="20"/>
            </w:pPr>
            <w:r/>
            <w:r>
              <w:rPr>
                <w:b w:val="0"/>
                <w:sz w:val="17"/>
              </w:rPr>
              <w:t>739/1300</w:t>
            </w:r>
          </w:p>
        </w:tc>
        <w:tc>
          <w:tcPr>
            <w:tcW w:type="dxa" w:w="1191"/>
          </w:tcPr>
          <w:p>
            <w:pPr>
              <w:spacing w:after="20"/>
            </w:pPr>
            <w:r/>
            <w:r>
              <w:rPr>
                <w:b w:val="0"/>
                <w:sz w:val="17"/>
              </w:rPr>
              <w:t>902/1300</w:t>
            </w:r>
          </w:p>
        </w:tc>
        <w:tc>
          <w:tcPr>
            <w:tcW w:type="dxa" w:w="1531"/>
          </w:tcPr>
          <w:p>
            <w:pPr>
              <w:spacing w:after="20"/>
            </w:pPr>
            <w:r/>
            <w:r>
              <w:rPr>
                <w:b w:val="0"/>
                <w:sz w:val="17"/>
              </w:rPr>
              <w:t>brak</w:t>
            </w:r>
          </w:p>
        </w:tc>
      </w:tr>
      <w:tr>
        <w:tc>
          <w:tcPr>
            <w:tcW w:type="dxa" w:w="907"/>
          </w:tcPr>
          <w:p>
            <w:pPr>
              <w:spacing w:after="20"/>
            </w:pPr>
            <w:r/>
            <w:r>
              <w:rPr>
                <w:b w:val="0"/>
                <w:sz w:val="17"/>
              </w:rPr>
              <w:t>Z8</w:t>
            </w:r>
          </w:p>
        </w:tc>
        <w:tc>
          <w:tcPr>
            <w:tcW w:type="dxa" w:w="1247"/>
          </w:tcPr>
          <w:p>
            <w:pPr>
              <w:spacing w:after="20"/>
            </w:pPr>
            <w:r/>
            <w:r>
              <w:rPr>
                <w:b w:val="0"/>
                <w:sz w:val="17"/>
              </w:rPr>
              <w:t>3871/4000</w:t>
            </w:r>
          </w:p>
        </w:tc>
        <w:tc>
          <w:tcPr>
            <w:tcW w:type="dxa" w:w="1247"/>
          </w:tcPr>
          <w:p>
            <w:pPr>
              <w:spacing w:after="20"/>
            </w:pPr>
            <w:r/>
            <w:r>
              <w:rPr>
                <w:b w:val="0"/>
                <w:sz w:val="17"/>
              </w:rPr>
              <w:t>3075/4000</w:t>
            </w:r>
          </w:p>
        </w:tc>
        <w:tc>
          <w:tcPr>
            <w:tcW w:type="dxa" w:w="1134"/>
          </w:tcPr>
          <w:p>
            <w:pPr>
              <w:spacing w:after="20"/>
            </w:pPr>
            <w:r/>
            <w:r>
              <w:rPr>
                <w:b w:val="0"/>
                <w:sz w:val="17"/>
              </w:rPr>
              <w:t>381/500</w:t>
            </w:r>
          </w:p>
        </w:tc>
        <w:tc>
          <w:tcPr>
            <w:tcW w:type="dxa" w:w="1191"/>
          </w:tcPr>
          <w:p>
            <w:pPr>
              <w:spacing w:after="20"/>
            </w:pPr>
            <w:r/>
            <w:r>
              <w:rPr>
                <w:b w:val="0"/>
                <w:sz w:val="17"/>
              </w:rPr>
              <w:t>886/1300</w:t>
            </w:r>
          </w:p>
        </w:tc>
        <w:tc>
          <w:tcPr>
            <w:tcW w:type="dxa" w:w="1191"/>
          </w:tcPr>
          <w:p>
            <w:pPr>
              <w:spacing w:after="20"/>
            </w:pPr>
            <w:r/>
            <w:r>
              <w:rPr>
                <w:b w:val="0"/>
                <w:sz w:val="17"/>
              </w:rPr>
              <w:t>778/1300</w:t>
            </w:r>
          </w:p>
        </w:tc>
        <w:tc>
          <w:tcPr>
            <w:tcW w:type="dxa" w:w="1191"/>
          </w:tcPr>
          <w:p>
            <w:pPr>
              <w:spacing w:after="20"/>
            </w:pPr>
            <w:r/>
            <w:r>
              <w:rPr>
                <w:b w:val="0"/>
                <w:sz w:val="17"/>
              </w:rPr>
              <w:t>871/1300</w:t>
            </w:r>
          </w:p>
        </w:tc>
        <w:tc>
          <w:tcPr>
            <w:tcW w:type="dxa" w:w="1531"/>
          </w:tcPr>
          <w:p>
            <w:pPr>
              <w:spacing w:after="20"/>
            </w:pPr>
            <w:r/>
            <w:r>
              <w:rPr>
                <w:b w:val="0"/>
                <w:sz w:val="17"/>
              </w:rPr>
              <w:t>brak</w:t>
            </w:r>
          </w:p>
        </w:tc>
      </w:tr>
      <w:tr>
        <w:tc>
          <w:tcPr>
            <w:tcW w:type="dxa" w:w="907"/>
          </w:tcPr>
          <w:p>
            <w:pPr>
              <w:spacing w:after="20"/>
            </w:pPr>
            <w:r/>
            <w:r>
              <w:rPr>
                <w:b w:val="0"/>
                <w:sz w:val="17"/>
              </w:rPr>
              <w:t>Z9</w:t>
            </w:r>
          </w:p>
        </w:tc>
        <w:tc>
          <w:tcPr>
            <w:tcW w:type="dxa" w:w="1247"/>
          </w:tcPr>
          <w:p>
            <w:pPr>
              <w:spacing w:after="20"/>
            </w:pPr>
            <w:r/>
            <w:r>
              <w:rPr>
                <w:b w:val="0"/>
                <w:sz w:val="17"/>
              </w:rPr>
              <w:t>3829/4000</w:t>
            </w:r>
          </w:p>
        </w:tc>
        <w:tc>
          <w:tcPr>
            <w:tcW w:type="dxa" w:w="1247"/>
          </w:tcPr>
          <w:p>
            <w:pPr>
              <w:spacing w:after="20"/>
            </w:pPr>
            <w:r/>
            <w:r>
              <w:rPr>
                <w:b w:val="0"/>
                <w:sz w:val="17"/>
              </w:rPr>
              <w:t>3764/4000</w:t>
            </w:r>
          </w:p>
        </w:tc>
        <w:tc>
          <w:tcPr>
            <w:tcW w:type="dxa" w:w="1134"/>
          </w:tcPr>
          <w:p>
            <w:pPr>
              <w:spacing w:after="20"/>
            </w:pPr>
            <w:r/>
            <w:r>
              <w:rPr>
                <w:b w:val="0"/>
                <w:sz w:val="17"/>
              </w:rPr>
              <w:t>282/500</w:t>
            </w:r>
          </w:p>
        </w:tc>
        <w:tc>
          <w:tcPr>
            <w:tcW w:type="dxa" w:w="1191"/>
          </w:tcPr>
          <w:p>
            <w:pPr>
              <w:spacing w:after="20"/>
            </w:pPr>
            <w:r/>
            <w:r>
              <w:rPr>
                <w:b w:val="0"/>
                <w:sz w:val="17"/>
              </w:rPr>
              <w:t>1086/1300</w:t>
            </w:r>
          </w:p>
        </w:tc>
        <w:tc>
          <w:tcPr>
            <w:tcW w:type="dxa" w:w="1191"/>
          </w:tcPr>
          <w:p>
            <w:pPr>
              <w:spacing w:after="20"/>
            </w:pPr>
            <w:r/>
            <w:r>
              <w:rPr>
                <w:b w:val="0"/>
                <w:sz w:val="17"/>
              </w:rPr>
              <w:t>851/1300</w:t>
            </w:r>
          </w:p>
        </w:tc>
        <w:tc>
          <w:tcPr>
            <w:tcW w:type="dxa" w:w="1191"/>
          </w:tcPr>
          <w:p>
            <w:pPr>
              <w:spacing w:after="20"/>
            </w:pPr>
            <w:r/>
            <w:r>
              <w:rPr>
                <w:b w:val="0"/>
                <w:sz w:val="17"/>
              </w:rPr>
              <w:t>863/1300</w:t>
            </w:r>
          </w:p>
        </w:tc>
        <w:tc>
          <w:tcPr>
            <w:tcW w:type="dxa" w:w="1531"/>
          </w:tcPr>
          <w:p>
            <w:pPr>
              <w:spacing w:after="20"/>
            </w:pPr>
            <w:r/>
            <w:r>
              <w:rPr>
                <w:b w:val="0"/>
                <w:sz w:val="17"/>
              </w:rPr>
              <w:t>brak</w:t>
            </w:r>
          </w:p>
        </w:tc>
      </w:tr>
    </w:tbl>
    <w:p/>
    <w:p>
      <w:pPr>
        <w:spacing w:after="60"/>
      </w:pPr>
      <w:r>
        <w:rPr>
          <w:b w:val="0"/>
        </w:rPr>
        <w:t>Sprawdzono automatycznie: limity znaków z Instrukcji, brak podwójnych spacji, spacji niełamliwych, tabulatorów, myślników długich i półpauz, strzałek, symboli większe-równe i mniejsze-równe oraz wypunktowań w postaci znaków specjalnych. Wszystkie pola spełniają kryteria.</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17"/>
            <w:shd w:val="clear" w:color="auto" w:fill="D9E2F3"/>
          </w:tcPr>
          <w:p>
            <w:pPr>
              <w:spacing w:after="20"/>
            </w:pPr>
            <w:r/>
            <w:r>
              <w:rPr>
                <w:b/>
                <w:sz w:val="17"/>
              </w:rPr>
              <w:t>Ryzyko</w:t>
            </w:r>
          </w:p>
        </w:tc>
        <w:tc>
          <w:tcPr>
            <w:tcW w:type="dxa" w:w="1701"/>
            <w:shd w:val="clear" w:color="auto" w:fill="D9E2F3"/>
          </w:tcPr>
          <w:p>
            <w:pPr>
              <w:spacing w:after="20"/>
            </w:pPr>
            <w:r/>
            <w:r>
              <w:rPr>
                <w:b/>
                <w:sz w:val="17"/>
              </w:rPr>
              <w:t>Nazwa</w:t>
            </w:r>
          </w:p>
        </w:tc>
        <w:tc>
          <w:tcPr>
            <w:tcW w:type="dxa" w:w="1701"/>
            <w:shd w:val="clear" w:color="auto" w:fill="D9E2F3"/>
          </w:tcPr>
          <w:p>
            <w:pPr>
              <w:spacing w:after="20"/>
            </w:pPr>
            <w:r/>
            <w:r>
              <w:rPr>
                <w:b/>
                <w:sz w:val="17"/>
              </w:rPr>
              <w:t>Opis</w:t>
            </w:r>
          </w:p>
        </w:tc>
        <w:tc>
          <w:tcPr>
            <w:tcW w:type="dxa" w:w="1984"/>
            <w:shd w:val="clear" w:color="auto" w:fill="D9E2F3"/>
          </w:tcPr>
          <w:p>
            <w:pPr>
              <w:spacing w:after="20"/>
            </w:pPr>
            <w:r/>
            <w:r>
              <w:rPr>
                <w:b/>
                <w:sz w:val="17"/>
              </w:rPr>
              <w:t>Zapobieganie</w:t>
            </w:r>
          </w:p>
        </w:tc>
        <w:tc>
          <w:tcPr>
            <w:tcW w:type="dxa" w:w="1701"/>
            <w:shd w:val="clear" w:color="auto" w:fill="D9E2F3"/>
          </w:tcPr>
          <w:p>
            <w:pPr>
              <w:spacing w:after="20"/>
            </w:pPr>
            <w:r/>
            <w:r>
              <w:rPr>
                <w:b/>
                <w:sz w:val="17"/>
              </w:rPr>
              <w:t>Znaki specjalne</w:t>
            </w:r>
          </w:p>
        </w:tc>
      </w:tr>
      <w:tr>
        <w:tc>
          <w:tcPr>
            <w:tcW w:type="dxa" w:w="1417"/>
          </w:tcPr>
          <w:p>
            <w:pPr>
              <w:spacing w:after="20"/>
            </w:pPr>
            <w:r/>
            <w:r>
              <w:rPr>
                <w:b w:val="0"/>
                <w:sz w:val="17"/>
              </w:rPr>
              <w:t>R1</w:t>
            </w:r>
          </w:p>
        </w:tc>
        <w:tc>
          <w:tcPr>
            <w:tcW w:type="dxa" w:w="1701"/>
          </w:tcPr>
          <w:p>
            <w:pPr>
              <w:spacing w:after="20"/>
            </w:pPr>
            <w:r/>
            <w:r>
              <w:rPr>
                <w:b w:val="0"/>
                <w:sz w:val="17"/>
              </w:rPr>
              <w:t>139/200</w:t>
            </w:r>
          </w:p>
        </w:tc>
        <w:tc>
          <w:tcPr>
            <w:tcW w:type="dxa" w:w="1701"/>
          </w:tcPr>
          <w:p>
            <w:pPr>
              <w:spacing w:after="20"/>
            </w:pPr>
            <w:r/>
            <w:r>
              <w:rPr>
                <w:b w:val="0"/>
                <w:sz w:val="17"/>
              </w:rPr>
              <w:t>1238/2000</w:t>
            </w:r>
          </w:p>
        </w:tc>
        <w:tc>
          <w:tcPr>
            <w:tcW w:type="dxa" w:w="1984"/>
          </w:tcPr>
          <w:p>
            <w:pPr>
              <w:spacing w:after="20"/>
            </w:pPr>
            <w:r/>
            <w:r>
              <w:rPr>
                <w:b w:val="0"/>
                <w:sz w:val="17"/>
              </w:rPr>
              <w:t>1334/2000</w:t>
            </w:r>
          </w:p>
        </w:tc>
        <w:tc>
          <w:tcPr>
            <w:tcW w:type="dxa" w:w="1701"/>
          </w:tcPr>
          <w:p>
            <w:pPr>
              <w:spacing w:after="20"/>
            </w:pPr>
            <w:r/>
            <w:r>
              <w:rPr>
                <w:b w:val="0"/>
                <w:sz w:val="17"/>
              </w:rPr>
              <w:t>brak</w:t>
            </w:r>
          </w:p>
        </w:tc>
      </w:tr>
      <w:tr>
        <w:tc>
          <w:tcPr>
            <w:tcW w:type="dxa" w:w="1417"/>
          </w:tcPr>
          <w:p>
            <w:pPr>
              <w:spacing w:after="20"/>
            </w:pPr>
            <w:r/>
            <w:r>
              <w:rPr>
                <w:b w:val="0"/>
                <w:sz w:val="17"/>
              </w:rPr>
              <w:t>R2</w:t>
            </w:r>
          </w:p>
        </w:tc>
        <w:tc>
          <w:tcPr>
            <w:tcW w:type="dxa" w:w="1701"/>
          </w:tcPr>
          <w:p>
            <w:pPr>
              <w:spacing w:after="20"/>
            </w:pPr>
            <w:r/>
            <w:r>
              <w:rPr>
                <w:b w:val="0"/>
                <w:sz w:val="17"/>
              </w:rPr>
              <w:t>165/200</w:t>
            </w:r>
          </w:p>
        </w:tc>
        <w:tc>
          <w:tcPr>
            <w:tcW w:type="dxa" w:w="1701"/>
          </w:tcPr>
          <w:p>
            <w:pPr>
              <w:spacing w:after="20"/>
            </w:pPr>
            <w:r/>
            <w:r>
              <w:rPr>
                <w:b w:val="0"/>
                <w:sz w:val="17"/>
              </w:rPr>
              <w:t>1152/2000</w:t>
            </w:r>
          </w:p>
        </w:tc>
        <w:tc>
          <w:tcPr>
            <w:tcW w:type="dxa" w:w="1984"/>
          </w:tcPr>
          <w:p>
            <w:pPr>
              <w:spacing w:after="20"/>
            </w:pPr>
            <w:r/>
            <w:r>
              <w:rPr>
                <w:b w:val="0"/>
                <w:sz w:val="17"/>
              </w:rPr>
              <w:t>1683/2000</w:t>
            </w:r>
          </w:p>
        </w:tc>
        <w:tc>
          <w:tcPr>
            <w:tcW w:type="dxa" w:w="1701"/>
          </w:tcPr>
          <w:p>
            <w:pPr>
              <w:spacing w:after="20"/>
            </w:pPr>
            <w:r/>
            <w:r>
              <w:rPr>
                <w:b w:val="0"/>
                <w:sz w:val="17"/>
              </w:rPr>
              <w:t>brak</w:t>
            </w:r>
          </w:p>
        </w:tc>
      </w:tr>
      <w:tr>
        <w:tc>
          <w:tcPr>
            <w:tcW w:type="dxa" w:w="1417"/>
          </w:tcPr>
          <w:p>
            <w:pPr>
              <w:spacing w:after="20"/>
            </w:pPr>
            <w:r/>
            <w:r>
              <w:rPr>
                <w:b w:val="0"/>
                <w:sz w:val="17"/>
              </w:rPr>
              <w:t>R3</w:t>
            </w:r>
          </w:p>
        </w:tc>
        <w:tc>
          <w:tcPr>
            <w:tcW w:type="dxa" w:w="1701"/>
          </w:tcPr>
          <w:p>
            <w:pPr>
              <w:spacing w:after="20"/>
            </w:pPr>
            <w:r/>
            <w:r>
              <w:rPr>
                <w:b w:val="0"/>
                <w:sz w:val="17"/>
              </w:rPr>
              <w:t>160/200</w:t>
            </w:r>
          </w:p>
        </w:tc>
        <w:tc>
          <w:tcPr>
            <w:tcW w:type="dxa" w:w="1701"/>
          </w:tcPr>
          <w:p>
            <w:pPr>
              <w:spacing w:after="20"/>
            </w:pPr>
            <w:r/>
            <w:r>
              <w:rPr>
                <w:b w:val="0"/>
                <w:sz w:val="17"/>
              </w:rPr>
              <w:t>1091/2000</w:t>
            </w:r>
          </w:p>
        </w:tc>
        <w:tc>
          <w:tcPr>
            <w:tcW w:type="dxa" w:w="1984"/>
          </w:tcPr>
          <w:p>
            <w:pPr>
              <w:spacing w:after="20"/>
            </w:pPr>
            <w:r/>
            <w:r>
              <w:rPr>
                <w:b w:val="0"/>
                <w:sz w:val="17"/>
              </w:rPr>
              <w:t>1329/2000</w:t>
            </w:r>
          </w:p>
        </w:tc>
        <w:tc>
          <w:tcPr>
            <w:tcW w:type="dxa" w:w="1701"/>
          </w:tcPr>
          <w:p>
            <w:pPr>
              <w:spacing w:after="20"/>
            </w:pPr>
            <w:r/>
            <w:r>
              <w:rPr>
                <w:b w:val="0"/>
                <w:sz w:val="17"/>
              </w:rPr>
              <w:t>brak</w:t>
            </w:r>
          </w:p>
        </w:tc>
      </w:tr>
      <w:tr>
        <w:tc>
          <w:tcPr>
            <w:tcW w:type="dxa" w:w="1417"/>
          </w:tcPr>
          <w:p>
            <w:pPr>
              <w:spacing w:after="20"/>
            </w:pPr>
            <w:r/>
            <w:r>
              <w:rPr>
                <w:b w:val="0"/>
                <w:sz w:val="17"/>
              </w:rPr>
              <w:t>R4</w:t>
            </w:r>
          </w:p>
        </w:tc>
        <w:tc>
          <w:tcPr>
            <w:tcW w:type="dxa" w:w="1701"/>
          </w:tcPr>
          <w:p>
            <w:pPr>
              <w:spacing w:after="20"/>
            </w:pPr>
            <w:r/>
            <w:r>
              <w:rPr>
                <w:b w:val="0"/>
                <w:sz w:val="17"/>
              </w:rPr>
              <w:t>176/200</w:t>
            </w:r>
          </w:p>
        </w:tc>
        <w:tc>
          <w:tcPr>
            <w:tcW w:type="dxa" w:w="1701"/>
          </w:tcPr>
          <w:p>
            <w:pPr>
              <w:spacing w:after="20"/>
            </w:pPr>
            <w:r/>
            <w:r>
              <w:rPr>
                <w:b w:val="0"/>
                <w:sz w:val="17"/>
              </w:rPr>
              <w:t>1047/2000</w:t>
            </w:r>
          </w:p>
        </w:tc>
        <w:tc>
          <w:tcPr>
            <w:tcW w:type="dxa" w:w="1984"/>
          </w:tcPr>
          <w:p>
            <w:pPr>
              <w:spacing w:after="20"/>
            </w:pPr>
            <w:r/>
            <w:r>
              <w:rPr>
                <w:b w:val="0"/>
                <w:sz w:val="17"/>
              </w:rPr>
              <w:t>1424/2000</w:t>
            </w:r>
          </w:p>
        </w:tc>
        <w:tc>
          <w:tcPr>
            <w:tcW w:type="dxa" w:w="1701"/>
          </w:tcPr>
          <w:p>
            <w:pPr>
              <w:spacing w:after="20"/>
            </w:pPr>
            <w:r/>
            <w:r>
              <w:rPr>
                <w:b w:val="0"/>
                <w:sz w:val="17"/>
              </w:rPr>
              <w:t>brak</w:t>
            </w:r>
          </w:p>
        </w:tc>
      </w:tr>
      <w:tr>
        <w:tc>
          <w:tcPr>
            <w:tcW w:type="dxa" w:w="1417"/>
          </w:tcPr>
          <w:p>
            <w:pPr>
              <w:spacing w:after="20"/>
            </w:pPr>
            <w:r/>
            <w:r>
              <w:rPr>
                <w:b w:val="0"/>
                <w:sz w:val="17"/>
              </w:rPr>
              <w:t>R5</w:t>
            </w:r>
          </w:p>
        </w:tc>
        <w:tc>
          <w:tcPr>
            <w:tcW w:type="dxa" w:w="1701"/>
          </w:tcPr>
          <w:p>
            <w:pPr>
              <w:spacing w:after="20"/>
            </w:pPr>
            <w:r/>
            <w:r>
              <w:rPr>
                <w:b w:val="0"/>
                <w:sz w:val="17"/>
              </w:rPr>
              <w:t>153/200</w:t>
            </w:r>
          </w:p>
        </w:tc>
        <w:tc>
          <w:tcPr>
            <w:tcW w:type="dxa" w:w="1701"/>
          </w:tcPr>
          <w:p>
            <w:pPr>
              <w:spacing w:after="20"/>
            </w:pPr>
            <w:r/>
            <w:r>
              <w:rPr>
                <w:b w:val="0"/>
                <w:sz w:val="17"/>
              </w:rPr>
              <w:t>996/2000</w:t>
            </w:r>
          </w:p>
        </w:tc>
        <w:tc>
          <w:tcPr>
            <w:tcW w:type="dxa" w:w="1984"/>
          </w:tcPr>
          <w:p>
            <w:pPr>
              <w:spacing w:after="20"/>
            </w:pPr>
            <w:r/>
            <w:r>
              <w:rPr>
                <w:b w:val="0"/>
                <w:sz w:val="17"/>
              </w:rPr>
              <w:t>1209/2000</w:t>
            </w:r>
          </w:p>
        </w:tc>
        <w:tc>
          <w:tcPr>
            <w:tcW w:type="dxa" w:w="1701"/>
          </w:tcPr>
          <w:p>
            <w:pPr>
              <w:spacing w:after="20"/>
            </w:pPr>
            <w:r/>
            <w:r>
              <w:rPr>
                <w:b w:val="0"/>
                <w:sz w:val="17"/>
              </w:rPr>
              <w:t>brak</w:t>
            </w:r>
          </w:p>
        </w:tc>
      </w:tr>
      <w:tr>
        <w:tc>
          <w:tcPr>
            <w:tcW w:type="dxa" w:w="1417"/>
          </w:tcPr>
          <w:p>
            <w:pPr>
              <w:spacing w:after="20"/>
            </w:pPr>
            <w:r/>
            <w:r>
              <w:rPr>
                <w:b w:val="0"/>
                <w:sz w:val="17"/>
              </w:rPr>
              <w:t>R9</w:t>
            </w:r>
          </w:p>
        </w:tc>
        <w:tc>
          <w:tcPr>
            <w:tcW w:type="dxa" w:w="1701"/>
          </w:tcPr>
          <w:p>
            <w:pPr>
              <w:spacing w:after="20"/>
            </w:pPr>
            <w:r/>
            <w:r>
              <w:rPr>
                <w:b w:val="0"/>
                <w:sz w:val="17"/>
              </w:rPr>
              <w:t>134/200</w:t>
            </w:r>
          </w:p>
        </w:tc>
        <w:tc>
          <w:tcPr>
            <w:tcW w:type="dxa" w:w="1701"/>
          </w:tcPr>
          <w:p>
            <w:pPr>
              <w:spacing w:after="20"/>
            </w:pPr>
            <w:r/>
            <w:r>
              <w:rPr>
                <w:b w:val="0"/>
                <w:sz w:val="17"/>
              </w:rPr>
              <w:t>1035/2000</w:t>
            </w:r>
          </w:p>
        </w:tc>
        <w:tc>
          <w:tcPr>
            <w:tcW w:type="dxa" w:w="1984"/>
          </w:tcPr>
          <w:p>
            <w:pPr>
              <w:spacing w:after="20"/>
            </w:pPr>
            <w:r/>
            <w:r>
              <w:rPr>
                <w:b w:val="0"/>
                <w:sz w:val="17"/>
              </w:rPr>
              <w:t>1317/2000</w:t>
            </w:r>
          </w:p>
        </w:tc>
        <w:tc>
          <w:tcPr>
            <w:tcW w:type="dxa" w:w="1701"/>
          </w:tcPr>
          <w:p>
            <w:pPr>
              <w:spacing w:after="20"/>
            </w:pPr>
            <w:r/>
            <w:r>
              <w:rPr>
                <w:b w:val="0"/>
                <w:sz w:val="17"/>
              </w:rPr>
              <w:t>brak</w:t>
            </w:r>
          </w:p>
        </w:tc>
      </w:tr>
      <w:tr>
        <w:tc>
          <w:tcPr>
            <w:tcW w:type="dxa" w:w="1417"/>
          </w:tcPr>
          <w:p>
            <w:pPr>
              <w:spacing w:after="20"/>
            </w:pPr>
            <w:r/>
            <w:r>
              <w:rPr>
                <w:b w:val="0"/>
                <w:sz w:val="17"/>
              </w:rPr>
              <w:t>R10</w:t>
            </w:r>
          </w:p>
        </w:tc>
        <w:tc>
          <w:tcPr>
            <w:tcW w:type="dxa" w:w="1701"/>
          </w:tcPr>
          <w:p>
            <w:pPr>
              <w:spacing w:after="20"/>
            </w:pPr>
            <w:r/>
            <w:r>
              <w:rPr>
                <w:b w:val="0"/>
                <w:sz w:val="17"/>
              </w:rPr>
              <w:t>178/200</w:t>
            </w:r>
          </w:p>
        </w:tc>
        <w:tc>
          <w:tcPr>
            <w:tcW w:type="dxa" w:w="1701"/>
          </w:tcPr>
          <w:p>
            <w:pPr>
              <w:spacing w:after="20"/>
            </w:pPr>
            <w:r/>
            <w:r>
              <w:rPr>
                <w:b w:val="0"/>
                <w:sz w:val="17"/>
              </w:rPr>
              <w:t>1060/2000</w:t>
            </w:r>
          </w:p>
        </w:tc>
        <w:tc>
          <w:tcPr>
            <w:tcW w:type="dxa" w:w="1984"/>
          </w:tcPr>
          <w:p>
            <w:pPr>
              <w:spacing w:after="20"/>
            </w:pPr>
            <w:r/>
            <w:r>
              <w:rPr>
                <w:b w:val="0"/>
                <w:sz w:val="17"/>
              </w:rPr>
              <w:t>1143/2000</w:t>
            </w:r>
          </w:p>
        </w:tc>
        <w:tc>
          <w:tcPr>
            <w:tcW w:type="dxa" w:w="1701"/>
          </w:tcPr>
          <w:p>
            <w:pPr>
              <w:spacing w:after="20"/>
            </w:pPr>
            <w:r/>
            <w:r>
              <w:rPr>
                <w:b w:val="0"/>
                <w:sz w:val="17"/>
              </w:rPr>
              <w:t>brak</w:t>
            </w:r>
          </w:p>
        </w:tc>
      </w:tr>
      <w:tr>
        <w:tc>
          <w:tcPr>
            <w:tcW w:type="dxa" w:w="1417"/>
          </w:tcPr>
          <w:p>
            <w:pPr>
              <w:spacing w:after="20"/>
            </w:pPr>
            <w:r/>
            <w:r>
              <w:rPr>
                <w:b w:val="0"/>
                <w:sz w:val="17"/>
              </w:rPr>
              <w:t>R11</w:t>
            </w:r>
          </w:p>
        </w:tc>
        <w:tc>
          <w:tcPr>
            <w:tcW w:type="dxa" w:w="1701"/>
          </w:tcPr>
          <w:p>
            <w:pPr>
              <w:spacing w:after="20"/>
            </w:pPr>
            <w:r/>
            <w:r>
              <w:rPr>
                <w:b w:val="0"/>
                <w:sz w:val="17"/>
              </w:rPr>
              <w:t>136/200</w:t>
            </w:r>
          </w:p>
        </w:tc>
        <w:tc>
          <w:tcPr>
            <w:tcW w:type="dxa" w:w="1701"/>
          </w:tcPr>
          <w:p>
            <w:pPr>
              <w:spacing w:after="20"/>
            </w:pPr>
            <w:r/>
            <w:r>
              <w:rPr>
                <w:b w:val="0"/>
                <w:sz w:val="17"/>
              </w:rPr>
              <w:t>806/2000</w:t>
            </w:r>
          </w:p>
        </w:tc>
        <w:tc>
          <w:tcPr>
            <w:tcW w:type="dxa" w:w="1984"/>
          </w:tcPr>
          <w:p>
            <w:pPr>
              <w:spacing w:after="20"/>
            </w:pPr>
            <w:r/>
            <w:r>
              <w:rPr>
                <w:b w:val="0"/>
                <w:sz w:val="17"/>
              </w:rPr>
              <w:t>1164/2000</w:t>
            </w:r>
          </w:p>
        </w:tc>
        <w:tc>
          <w:tcPr>
            <w:tcW w:type="dxa" w:w="1701"/>
          </w:tcPr>
          <w:p>
            <w:pPr>
              <w:spacing w:after="20"/>
            </w:pPr>
            <w:r/>
            <w:r>
              <w:rPr>
                <w:b w:val="0"/>
                <w:sz w:val="17"/>
              </w:rPr>
              <w:t>brak</w:t>
            </w:r>
          </w:p>
        </w:tc>
      </w:tr>
      <w:tr>
        <w:tc>
          <w:tcPr>
            <w:tcW w:type="dxa" w:w="1417"/>
          </w:tcPr>
          <w:p>
            <w:pPr>
              <w:spacing w:after="20"/>
            </w:pPr>
            <w:r/>
            <w:r>
              <w:rPr>
                <w:b w:val="0"/>
                <w:sz w:val="17"/>
              </w:rPr>
              <w:t>R12</w:t>
            </w:r>
          </w:p>
        </w:tc>
        <w:tc>
          <w:tcPr>
            <w:tcW w:type="dxa" w:w="1701"/>
          </w:tcPr>
          <w:p>
            <w:pPr>
              <w:spacing w:after="20"/>
            </w:pPr>
            <w:r/>
            <w:r>
              <w:rPr>
                <w:b w:val="0"/>
                <w:sz w:val="17"/>
              </w:rPr>
              <w:t>111/200</w:t>
            </w:r>
          </w:p>
        </w:tc>
        <w:tc>
          <w:tcPr>
            <w:tcW w:type="dxa" w:w="1701"/>
          </w:tcPr>
          <w:p>
            <w:pPr>
              <w:spacing w:after="20"/>
            </w:pPr>
            <w:r/>
            <w:r>
              <w:rPr>
                <w:b w:val="0"/>
                <w:sz w:val="17"/>
              </w:rPr>
              <w:t>739/2000</w:t>
            </w:r>
          </w:p>
        </w:tc>
        <w:tc>
          <w:tcPr>
            <w:tcW w:type="dxa" w:w="1984"/>
          </w:tcPr>
          <w:p>
            <w:pPr>
              <w:spacing w:after="20"/>
            </w:pPr>
            <w:r/>
            <w:r>
              <w:rPr>
                <w:b w:val="0"/>
                <w:sz w:val="17"/>
              </w:rPr>
              <w:t>873/2000</w:t>
            </w:r>
          </w:p>
        </w:tc>
        <w:tc>
          <w:tcPr>
            <w:tcW w:type="dxa" w:w="1701"/>
          </w:tcPr>
          <w:p>
            <w:pPr>
              <w:spacing w:after="20"/>
            </w:pPr>
            <w:r/>
            <w:r>
              <w:rPr>
                <w:b w:val="0"/>
                <w:sz w:val="17"/>
              </w:rPr>
              <w:t>brak</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