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Pkt 3.2: internacjonalizacja i ochrona własności przemysłowej (Z10, Z11)</w:t>
      </w:r>
    </w:p>
    <w:p>
      <w:r>
        <w:rPr>
          <w:b w:val="0"/>
        </w:rPr>
        <w:t>Wniosek FENG.01.01-IP.01-A1RR/26, CargoDT. Pakiet WP09 (uwagi K3-23, K3-24, K3-59 do K3-66, K14-01). Teksty są gotowe do wklejenia, bez pól do uzupełnienia. Zadania po Twojej stronie są w części 8.</w:t>
      </w:r>
    </w:p>
    <w:p>
      <w:pPr>
        <w:pStyle w:val="Heading1"/>
      </w:pPr>
      <w:r>
        <w:t>1. Co zmieniono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Uwaga</w:t>
            </w:r>
          </w:p>
        </w:tc>
        <w:tc>
          <w:tcPr>
            <w:tcW w:type="dxa" w:w="7937"/>
          </w:tcPr>
          <w:p>
            <w:r/>
            <w:r>
              <w:rPr>
                <w:b/>
                <w:sz w:val="18"/>
              </w:rPr>
              <w:t>Poprawka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K3-23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Nowy tekst „Produkt wytwarzany na terytorium Polski”: oprogramowanie, integracja, kompletacja, montaż i serwis przez zespół Everest11, komponenty kupowane jako gotowe. Spójny z pkt 2.5.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K3-24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Misja gospodarcza do Czech (2029) ma teraz własny koszt: 1 wyjazd, stawka jednostkowa, pomoc de minimis (Przewodnik 5.3.4). Liczba osób wynika z zadań.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K3-59, K3-61, K3-63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Wszystkie pozycje przejrzane wg Przewodnika, każda z kategorią, pomocą i metodą szacowania. „Materiały promocyjne” (6 000 zł, błędnie jako doradztwo art. 18) zastąpione elementem dekoracyjnym stoiska 1 200 zł (5.3.1). Ulotki, prezentacje, demo i tłumaczenia materiałów nie są kwalifikowalne i zostały usunięte.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K3-60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Podróże nie wymagają kursu (stawka w PLN). Dla opłat EPO podano kurs średni NBP z dnia ogłoszenia naboru 09.03.2026 (4,2836 PLN/EUR) i kurs planistyczny 4,50 z buforem 5%.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K3-62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Dopisane wyjaśnienie, że opłaty EPO nie podlegają VAT, więc ogółem równa się kwalifikowalnym.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K3-64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Pakiet 24 000 zł rozdzielony na powierzchnię i opłatę podstawową (de minimis, 5.3.8: 13 783 zł) oraz energię, zabudowę i meble (art. 19, 5.3.2: 10 217 zł). Podział i kwoty wynikają z cennika historycznego kongresu (stoisko narożne 9 m², górne granice zakresów, kurs NBP 4,2836, waloryzacja ok. 10,4%).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K3-65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Podróże wg stawki jednostkowej 5 489 zł: 2 osoby na kongres (art. 19, 5.3.3) i 1 osoba na misję (de minimis, 5.3.4).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K3-66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Rzecznik: orzeczenie o zdolności patentowej (8 000 zł, de minimis, 5.3.11) oddzielone od dokumentacji, zgłoszenia i tłumaczeń (15 500 zł, art. 28, jedna pozycja). Usługi rzecznika bez tłumaczeń to 20 000 zł, czyli górna granica oferty 16 000 do 20 000 zł, bez przekroczenia. Brak dublowania z Z9 (usunięte w K3-40).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K14-01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Wskaźnik przychodów poza RP: rok 2030 (rok po zakończeniu projektu), wartość 0 zł zamiast całości przychodów z Polski (489 300 zł). Zob. część 6.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Eksperci, ogólnie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8"/>
              </w:rPr>
              <w:t>Usunięto z Z10 zdanie, że eFTI „obejmuje wszystkich operatorów” i liczbę 400 000 do 600 000 naczep (bez źródła), a także „0% substytutów”.</w:t>
            </w:r>
          </w:p>
        </w:tc>
      </w:tr>
    </w:tbl>
    <w:p/>
    <w:p>
      <w:pPr>
        <w:pStyle w:val="Heading1"/>
      </w:pPr>
      <w:r>
        <w:t>2. Pkt 3.2.1 Istota działań</w:t>
      </w:r>
    </w:p>
    <w:p>
      <w:pPr>
        <w:pStyle w:val="Heading3"/>
      </w:pPr>
      <w:r>
        <w:t>Produkt wytwarzany na terytorium Polski (limit 2000)</w:t>
      </w:r>
    </w:p>
    <w:p>
      <w:pPr>
        <w:keepNext/>
        <w:spacing w:before="160" w:after="40"/>
      </w:pPr>
      <w:r>
        <w:rPr>
          <w:b/>
          <w:sz w:val="20"/>
        </w:rPr>
        <w:t>Treść</w:t>
      </w:r>
      <w:r>
        <w:rPr>
          <w:color w:val="666666"/>
          <w:sz w:val="17"/>
        </w:rPr>
        <w:t xml:space="preserve"> [1992 znaków]</w:t>
      </w:r>
    </w:p>
    <w:p>
      <w:pPr>
        <w:spacing w:after="60"/>
      </w:pPr>
      <w:r>
        <w:rPr>
          <w:b w:val="0"/>
        </w:rPr>
        <w:t>Tak. CargoDT będzie wytwarzany w Polsce przez osoby zatrudnione w Polsce, co spełnia warunek nr 2 z Instrukcji.</w:t>
      </w:r>
    </w:p>
    <w:p>
      <w:pPr>
        <w:spacing w:after="60"/>
      </w:pPr>
      <w:r>
        <w:rPr>
          <w:b w:val="0"/>
        </w:rPr>
        <w:t>Oprogramowanie. Modele AI, pipeline inferencyjny na platformie embedded, generator dokumentów PoL i PoC, integracje eFTI i e-CMR, API oraz platformę SaaS będą opracowywać i utrzymywać pracownicy Everest11: zespół AI, IT i cyberbezpieczeństwa.</w:t>
      </w:r>
    </w:p>
    <w:p>
      <w:pPr>
        <w:spacing w:after="60"/>
      </w:pPr>
      <w:r>
        <w:rPr>
          <w:b w:val="0"/>
        </w:rPr>
        <w:t>Część sprzętowa. Everest11 nie będzie produkować komponentów elektronicznych. Kamery, radar, platformę obliczeniową, zasilanie i obudowy kupi jako gotowe produkty komercyjne. Zestaw będzie powstawał w Polsce w trzech krokach, a wszystkie wykonają pracownicy Everest11. 1) Integracja i konfiguracja: oprogramowanie sterujące, kalibracja kamer i radaru. 2) Kompletacja: montaż kupionych komponentów w zestaw i test odbiorczy. 3) Instalacja w naczepie klienta, uruchomienie i serwis. Kompletację i montaż będzie prowadzić IoT Specialist, od 2033 r. z kolejnymi technikami. Pierwszą serię zestawów, 50 sztuk w 2029 r., Everest11 skompletuje własnym zespołem w małej serii. Kompletacja pozostanie w Everest11 także przy większych seriach po 2031 r., w wynajętej powierzchni magazynowo-montażowej w Polsce. W samym projekcie montaż prototypów w Z2 i Z9 wykona podwykonawca pod nadzorem IoT Specialist, ale dotyczy to egzemplarzy badawczych, a nie wytwarzania produktu handlowego.</w:t>
      </w:r>
    </w:p>
    <w:p>
      <w:pPr>
        <w:spacing w:after="60"/>
      </w:pPr>
      <w:r>
        <w:rPr>
          <w:b w:val="0"/>
        </w:rPr>
        <w:t>Usługa. Subskrypcję SaaS i wsparcie techniczne będzie świadczył zespół Everest11 w Polsce. Platforma będzie działać w chmurze, obsługiwana przez pracowników zatrudnionych w Polsce (usługa zdalna).</w:t>
      </w:r>
    </w:p>
    <w:p>
      <w:pPr>
        <w:spacing w:after="60"/>
      </w:pPr>
      <w:r>
        <w:rPr>
          <w:b w:val="0"/>
        </w:rPr>
        <w:t>PKD. W dniu złożenia wniosku w KRS Everest11 nie ma kodu PKD dla działalności produktowej, bo zostanie ona uruchomiona w wyniku projektu. Planowane kody według PKD 2025 (rozporządzenie Rady Ministrów z 18.12.2024, Dz.U. 2024 poz. 1936): 62.10.B Pozostała działalność w zakresie programowania oraz 63.10.D, usługi infrastruktury obliczeniowej i przetwarzania danych. Wniosek o zmianę wpisu zostanie złożony do 31.03.2027, czyli przed sprzedażą pierwszych egzemplarzy.</w:t>
      </w:r>
    </w:p>
    <w:p>
      <w:pPr>
        <w:pStyle w:val="Heading3"/>
      </w:pPr>
      <w:r>
        <w:t>Uzasadnienie wyboru sposobu i rynków promocji zagranicznej (limit 2000)</w:t>
      </w:r>
    </w:p>
    <w:p>
      <w:pPr>
        <w:keepNext/>
        <w:spacing w:before="160" w:after="40"/>
      </w:pPr>
      <w:r>
        <w:rPr>
          <w:b/>
          <w:sz w:val="20"/>
        </w:rPr>
        <w:t>Treść</w:t>
      </w:r>
      <w:r>
        <w:rPr>
          <w:color w:val="666666"/>
          <w:sz w:val="17"/>
        </w:rPr>
        <w:t xml:space="preserve"> [1844 znaków]</w:t>
      </w:r>
    </w:p>
    <w:p>
      <w:pPr>
        <w:spacing w:after="60"/>
      </w:pPr>
      <w:r>
        <w:rPr>
          <w:b w:val="0"/>
        </w:rPr>
        <w:t>Rynkiem docelowym CargoDT będzie Polska, a promocja zagraniczna obejmie Czechy, Słowację, Węgry i Rumunię. Wybór wynika z trzech powodów.</w:t>
      </w:r>
    </w:p>
    <w:p>
      <w:pPr>
        <w:spacing w:after="60"/>
      </w:pPr>
      <w:r>
        <w:rPr>
          <w:b w:val="0"/>
        </w:rPr>
        <w:t>Po pierwsze, są to kraje na trasach polskich przewoźników w przewozach międzynarodowych, czyli u klientów, których Everest11 już obsługuje.</w:t>
      </w:r>
    </w:p>
    <w:p>
      <w:pPr>
        <w:spacing w:after="60"/>
      </w:pPr>
      <w:r>
        <w:rPr>
          <w:b w:val="0"/>
        </w:rPr>
        <w:t>Po drugie, rozporządzenie eFTI (UE) 2020/1056 obowiązuje w całej Unii. Od 21.08.2025 organy państw członkowskich muszą przyjmować dane przewozowe w formacie eFTI, a przewoźnicy mogą z tej drogi korzystać dobrowolnie. Dokument Proof of Condition w formacie eFTI będzie więc działał w każdym z tych krajów bez zmian.</w:t>
      </w:r>
    </w:p>
    <w:p>
      <w:pPr>
        <w:spacing w:after="60"/>
      </w:pPr>
      <w:r>
        <w:rPr>
          <w:b w:val="0"/>
        </w:rPr>
        <w:t>Po trzecie, CargoDT wejdzie na te rynki bez lokalnej obecności: przez licencje API dla lokalnych dostawców TMS i przez giełdy transportowe, z którymi Everest11 jest już zintegrowane, czyli Trans.eu i TimoCom. Konkurencyjne oferty to rozwiązania fabryczne w nowych naczepach i systemy aftermarket bez modelu 3D przestrzeni ładunkowej (pkt 1.2), więc retrofit dla MŚP w subskrypcji będzie ofertą uzupełniającą.</w:t>
      </w:r>
    </w:p>
    <w:p>
      <w:pPr>
        <w:spacing w:after="60"/>
      </w:pPr>
      <w:r>
        <w:rPr>
          <w:b w:val="0"/>
        </w:rPr>
        <w:t>Sposób promocji. Podstawowym działaniem będzie udział Everest11 w TRANSLOG Connect Congress w Budapeszcie w listopadzie 2028 r. To coroczny kongres branży TSL w Europie Środkowo-Wschodniej, na którym wystawcy prowadzą spotkania B2B z dostawcami oprogramowania i logistyki. Uzupełnią go: jedna wyjazdowa misja gospodarcza do Czech w 2029 r., na której Everest11 spotka się z lokalnymi dostawcami TMS, oraz usługi doradcze: analiza rynków, model partnerstw i licencji API. Misja i doradztwo nie będą jedynymi działaniami, bo kongres jest wydarzeniem wiodącym.</w:t>
      </w:r>
    </w:p>
    <w:p>
      <w:pPr>
        <w:spacing w:after="60"/>
      </w:pPr>
      <w:r>
        <w:rPr>
          <w:b w:val="0"/>
        </w:rPr>
        <w:t>Cel handlowy: listy intencyjne z co najmniej 2 dostawcami TMS lub giełdami w regionie CEE jako podstawa licencji API od 2032 r. W 2030 r., pierwszym roku sprzedaży, sprzedaż trafi do klientów w Polsce, więc przychody poza RP w tym roku nie wystąpią, o czym mówi wskaźnik w sekcji 8.2.</w:t>
      </w:r>
    </w:p>
    <w:p>
      <w:pPr>
        <w:pStyle w:val="Heading1"/>
      </w:pPr>
      <w:r>
        <w:t>3. Pkt 3.2.2 Opisy zadań</w:t>
      </w:r>
    </w:p>
    <w:p>
      <w:pPr>
        <w:pStyle w:val="Heading3"/>
      </w:pPr>
      <w:r>
        <w:t>Z10 Promocja zagraniczna produktu CargoDT na rynkach CEE (limit 4000)</w:t>
      </w:r>
    </w:p>
    <w:p>
      <w:pPr>
        <w:keepNext/>
        <w:spacing w:before="160" w:after="40"/>
      </w:pPr>
      <w:r>
        <w:rPr>
          <w:b/>
          <w:sz w:val="20"/>
        </w:rPr>
        <w:t>Treść</w:t>
      </w:r>
      <w:r>
        <w:rPr>
          <w:color w:val="666666"/>
          <w:sz w:val="17"/>
        </w:rPr>
        <w:t xml:space="preserve"> [2704 znaków]</w:t>
      </w:r>
    </w:p>
    <w:p>
      <w:pPr>
        <w:spacing w:after="60"/>
      </w:pPr>
      <w:r>
        <w:rPr>
          <w:b w:val="0"/>
        </w:rPr>
        <w:t>Zadanie dotyczy umiędzynarodowienia produktu CargoDT: promocji w regionie CEE i pozyskania partnerów, którzy zintegrują CargoDT przez API ze swoimi systemami TMS. Zadanie zrealizuje Everest11. Produkt będzie wytwarzany w Polsce (pkt 3.2.1).</w:t>
      </w:r>
    </w:p>
    <w:p>
      <w:pPr>
        <w:spacing w:after="60"/>
      </w:pPr>
      <w:r>
        <w:rPr>
          <w:b w:val="0"/>
        </w:rPr>
        <w:t>Zakres.</w:t>
      </w:r>
    </w:p>
    <w:p>
      <w:pPr>
        <w:spacing w:after="60"/>
      </w:pPr>
      <w:r>
        <w:rPr>
          <w:b w:val="0"/>
        </w:rPr>
        <w:t>1) Udział w TRANSLOG Connect Congress w Budapeszcie, listopad 2028 r., w roli wystawcy: stoisko z elementem wizualizacji CargoDT, prezentacja prototypu z wynikami walidacji z Z9 i spotkania B2B z dostawcami TMS oraz giełdami transportowymi. Kongres będzie wydarzeniem podstawowym zadania.</w:t>
      </w:r>
    </w:p>
    <w:p>
      <w:pPr>
        <w:spacing w:after="60"/>
      </w:pPr>
      <w:r>
        <w:rPr>
          <w:b w:val="0"/>
        </w:rPr>
        <w:t>2) Zagraniczna misja wyjazdowa do Czech, I-IV 2029 r.: spotkania z lokalnymi dostawcami TMS i potencjalnymi partnerami licencyjnymi. Organizatora lub formułę misji Everest11 wybierze do końca 2028 r., a wyjazd odbędzie się przed 30.04.2029.</w:t>
      </w:r>
    </w:p>
    <w:p>
      <w:pPr>
        <w:spacing w:after="60"/>
      </w:pPr>
      <w:r>
        <w:rPr>
          <w:b w:val="0"/>
        </w:rPr>
        <w:t>3) Usługi doradcze zewnętrznego doradcy, 13 dni: analiza rynków CEE pod kątem wymagań regulacyjnych i kanałów sprzedaży, model partnerstw z dostawcami TMS i licencji API, przygotowanie materiałów do rozmów. Doradztwo będzie jednorazowe, nie będzie miało charakteru ciągłego i nie obejmie bieżącej działalności.</w:t>
      </w:r>
    </w:p>
    <w:p>
      <w:pPr>
        <w:spacing w:after="60"/>
      </w:pPr>
      <w:r>
        <w:rPr>
          <w:b w:val="0"/>
        </w:rPr>
        <w:t>Delegaci. Na kongres pojadą dwie osoby: kierownik zarządzający, który będzie reprezentować Lidera i podejmować wstępne ustalenia, oraz specjalista ds. logistyki TSL, który poprowadzi spotkania handlowe i zaprezentuje scenariusze operacyjne. Dwie osoby będą potrzebne, bo na stoisku w trakcie dwudniowego kongresu równolegle będą trwać spotkania 1:1 i prezentacje. Na misję pojedzie specjalista ds. logistyki TSL. Obie osoby są zatrudnione w Everest11 i będą pracować w projekcie.</w:t>
      </w:r>
    </w:p>
    <w:p>
      <w:pPr>
        <w:spacing w:after="60"/>
      </w:pPr>
      <w:r>
        <w:rPr>
          <w:b w:val="0"/>
        </w:rPr>
        <w:t>Finansowanie i pomoc. Pakiet wystawcy zostanie rozliczony jako opłata za powierzchnię i opłata podstawowa (pomoc de minimis, Przewodnik 5.3.8) oraz energia, zabudowa i meble (art. 19 GBER, 5.3.2). Zabudowa wizualna stoiska to art. 19 GBER (5.3.1). Podróże zostaną rozliczone stawką jednostkową 5 489 zł na osobę dla Europy: na kongres jako art. 19 GBER (5.3.3), na misję jako de minimis (5.3.4). Doradztwo to art. 18 GBER (5.3.7). Wydatki internacjonalizacyjne Everest11 wyniosą ok. 2,1% jego kosztów prac B+R, a limit to 15%.</w:t>
      </w:r>
    </w:p>
    <w:p>
      <w:pPr>
        <w:spacing w:after="60"/>
      </w:pPr>
      <w:r>
        <w:rPr>
          <w:b w:val="0"/>
        </w:rPr>
        <w:t>Rezultat i kamień milowy. Udział w kongresie jako wystawca, co najmniej 1 misja, co najmniej 5 rozmów z dostawcami TMS lub giełdami potwierdzonych notatkami ze spotkań, w tym listy intencyjne z co najmniej 2 z nich dotyczące licencji API, oraz raport doradcy z modelem partnerstw. Weryfikacja: lista wystawców organizatora, dokumentacja zdjęciowa stoiska, notatki i raport doradcy.</w:t>
      </w:r>
    </w:p>
    <w:p>
      <w:pPr>
        <w:spacing w:after="60"/>
      </w:pPr>
      <w:r>
        <w:rPr>
          <w:b w:val="0"/>
        </w:rPr>
        <w:t>Ryzyko. Odwołanie lub zmiana terminu kongresu przez organizatora. Wtedy Everest11 wybierze porównywalne wydarzenie branżowe w regionie CEE w tym samym okresie kwalifikowalności i zgłosi zmianę w trybie umowy o dofinansowanie.</w:t>
      </w:r>
    </w:p>
    <w:p>
      <w:pPr>
        <w:pStyle w:val="Heading3"/>
      </w:pPr>
      <w:r>
        <w:t>Z11 Zgłoszenie patentowe rezultatu projektu w procedurze europejskiej (limit 4000)</w:t>
      </w:r>
    </w:p>
    <w:p>
      <w:pPr>
        <w:keepNext/>
        <w:spacing w:before="160" w:after="40"/>
      </w:pPr>
      <w:r>
        <w:rPr>
          <w:b/>
          <w:sz w:val="20"/>
        </w:rPr>
        <w:t>Treść</w:t>
      </w:r>
      <w:r>
        <w:rPr>
          <w:color w:val="666666"/>
          <w:sz w:val="17"/>
        </w:rPr>
        <w:t xml:space="preserve"> [2455 znaków]</w:t>
      </w:r>
    </w:p>
    <w:p>
      <w:pPr>
        <w:spacing w:after="60"/>
      </w:pPr>
      <w:r>
        <w:rPr>
          <w:b w:val="0"/>
        </w:rPr>
        <w:t>Zadanie dotyczy uzyskania ochrony praw własności przemysłowej. Everest11 zgłosi w procedurze europejskiej przed Europejskim Urzędem Patentowym (EPO) wynalazek: metodę i system predykcji ryzyka uszkodzenia ładunku w transporcie drogowym na podstawie wielomodalnych sygnałów środowiskowych in-transit. Wynalazek jest wynikiem prac Z4 i zostanie potwierdzony danymi terenowymi z Z9.</w:t>
      </w:r>
    </w:p>
    <w:p>
      <w:pPr>
        <w:spacing w:after="60"/>
      </w:pPr>
      <w:r>
        <w:rPr>
          <w:b w:val="0"/>
        </w:rPr>
        <w:t>Zakres w projekcie obejmie czynności do złożenia zgłoszenia.</w:t>
      </w:r>
    </w:p>
    <w:p>
      <w:pPr>
        <w:spacing w:after="60"/>
      </w:pPr>
      <w:r>
        <w:rPr>
          <w:b w:val="0"/>
        </w:rPr>
        <w:t>1) Wstępne orzeczenie rzecznika patentowego o zdolności patentowej wynalazku. Zgodnie z Przewodnikiem koszt jest kwalifikowalny, jeśli orzeczenie będzie pozytywne.</w:t>
      </w:r>
    </w:p>
    <w:p>
      <w:pPr>
        <w:spacing w:after="60"/>
      </w:pPr>
      <w:r>
        <w:rPr>
          <w:b w:val="0"/>
        </w:rPr>
        <w:t>2) Dokumentacja zgłoszeniowa przygotowana przez rzecznika patentowego z zespołem B+R: opis wynalazku, zastrzeżenia, rysunki.</w:t>
      </w:r>
    </w:p>
    <w:p>
      <w:pPr>
        <w:spacing w:after="60"/>
      </w:pPr>
      <w:r>
        <w:rPr>
          <w:b w:val="0"/>
        </w:rPr>
        <w:t>3) Tłumaczenia dokumentacji, jeśli wymaga ich procedura.</w:t>
      </w:r>
    </w:p>
    <w:p>
      <w:pPr>
        <w:spacing w:after="60"/>
      </w:pPr>
      <w:r>
        <w:rPr>
          <w:b w:val="0"/>
        </w:rPr>
        <w:t>4) Złożenie zgłoszenia w EPO i opłaty urzędowe: zgłoszeniowa i za poszukiwanie europejskie.</w:t>
      </w:r>
    </w:p>
    <w:p>
      <w:pPr>
        <w:spacing w:after="60"/>
      </w:pPr>
      <w:r>
        <w:rPr>
          <w:b w:val="0"/>
        </w:rPr>
        <w:t>Rzecznik będzie podwykonawcą Everest11. Koncepcja wynalazku i zastrzeżenia pozostaną po stronie konsorcjum. Poszukiwania stanu techniki w Z1 i Z11 nie będą się dublować: Z1 dotyczy stanu techniki do projektowania systemu, a rzecznik w Z11 oceni zdolność patentową konkretnego wynalazku.</w:t>
      </w:r>
    </w:p>
    <w:p>
      <w:pPr>
        <w:spacing w:after="60"/>
      </w:pPr>
      <w:r>
        <w:rPr>
          <w:b w:val="0"/>
        </w:rPr>
        <w:t>Prawo do zgłoszenia. Prawa do wyniku Z4 będą przysługiwać PRz i Everest11 stosownie do wkładu (§ 11 umowy konsorcjum). Przed rozpoczęciem Z11 strony zawrą umowę o wykonywaniu wspólnych praw (§ 11 ust. 5), w której PRz upoważni Everest11 do dokonania zgłoszenia i ustali podział wynalazców. Przeniesienie praw majątkowych PRz na Lidera za wynagrodzeniem według wyceny niezależnego eksperta nastąpi według § 11: oświadczenie Lidera najpóźniej do 28.08.2029, a umowa przeniesienia do 30.11.2029. Szczegóły opisano w pkt 2.2.</w:t>
      </w:r>
    </w:p>
    <w:p>
      <w:pPr>
        <w:spacing w:after="60"/>
      </w:pPr>
      <w:r>
        <w:rPr>
          <w:b w:val="0"/>
        </w:rPr>
        <w:t>Dalsze etapy procedury EPO, czyli publikacja po ok. 18 miesiącach, badanie merytoryczne, udzielenie i walidacja krajowa, trwają zwykle kilka lat i wykraczają poza projekt. Udzielenie patentu nie będzie warunkiem zakończenia zadania, co jest zgodne ze wskaźnikiem produktu dla zgłoszeń. Koszty tych etapów Everest11 poniesie ze środków własnych.</w:t>
      </w:r>
    </w:p>
    <w:p>
      <w:pPr>
        <w:spacing w:after="60"/>
      </w:pPr>
      <w:r>
        <w:rPr>
          <w:b w:val="0"/>
        </w:rPr>
        <w:t>Rezultat i kamień milowy. Zgłoszenie EPO z numerem i datą pierwszeństwa, złożone przed ujawnieniem produktu, oraz pozytywne orzeczenie rzecznika o zdolności patentowej. Termin: M29, 04.2029.</w:t>
      </w:r>
    </w:p>
    <w:p>
      <w:pPr>
        <w:spacing w:after="60"/>
      </w:pPr>
      <w:r>
        <w:rPr>
          <w:b w:val="0"/>
        </w:rPr>
        <w:t>Ryzyko. Negatywne orzeczenie rzecznika. Wtedy Everest11 zrezygnuje ze zgłoszenia, koszt orzeczenia będzie niekwalifikowalny, a ochronę zapewni tajemnica przedsiębiorstwa dla wag modeli i kodu oraz prawa autorskie do oprogramowania.</w:t>
      </w:r>
    </w:p>
    <w:p>
      <w:pPr>
        <w:pStyle w:val="Heading1"/>
      </w:pPr>
      <w:r>
        <w:t>4. Pkt 3.2.3 Wydatki rzeczywiste (zastąp wszystkie dotychczasowe pozycje)</w:t>
      </w:r>
    </w:p>
    <w:p>
      <w:pPr>
        <w:spacing w:after="60"/>
      </w:pPr>
      <w:r>
        <w:rPr>
          <w:b w:val="0"/>
        </w:rPr>
        <w:t>Zasada: kwoty kwalifikowalne netto, bo Everest11 nie odlicza VAT w projekcie, a „wydatki ogółem” to kwota brutto z VAT 23%. Stawki jednostkowe (podróże) mają netto równe brutto, a opłaty EPO nie podlegają VAT.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Nr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8"/>
              </w:rPr>
              <w:t>Nazwa kosztu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Rodzaj pomocy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Kategoria kosztów FENG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8"/>
              </w:rPr>
              <w:t>Ogółem zł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8"/>
              </w:rPr>
              <w:t>Kwalifikowalne zł</w:t>
            </w:r>
          </w:p>
        </w:tc>
        <w:tc>
          <w:tcPr>
            <w:tcW w:type="dxa" w:w="567"/>
          </w:tcPr>
          <w:p>
            <w:r/>
            <w:r>
              <w:rPr>
                <w:b/>
                <w:sz w:val="18"/>
              </w:rPr>
              <w:t>% dof.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10-1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18"/>
              </w:rPr>
              <w:t>Opłata za powierzchnię stoiska i opłata podstawowa, TRANSLOG Connect Congress 2028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pomoc de minimis (rozporządzenie 2023/2831)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8"/>
              </w:rPr>
              <w:t>Usługi zewnętrzne, rezerwacja targów (de minimis), Przewodnik 5.3.8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16 953,09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13 783,00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10-2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18"/>
              </w:rPr>
              <w:t>Energia, zabudowa i meble stoiska, TRANSLOG Connect Congress 2028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pomoc dla MŚP na udział w targach (art. 19 GBER)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8"/>
              </w:rPr>
              <w:t>Usługi zewnętrzne (udział w targach), Przewodnik 5.3.2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12 566,91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10 217,00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10-3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18"/>
              </w:rPr>
              <w:t>Zabudowa stoiska: projekt graficzny i wykonanie elementu dekoracyjnego z wizualizacją CargoDT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pomoc dla MŚP na udział w targach (art. 19 GBER)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8"/>
              </w:rPr>
              <w:t>Dostawy (inne niż środki trwałe), udział w targach, Przewodnik 5.3.1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1 476,00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1 200,00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10-4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18"/>
              </w:rPr>
              <w:t>Wyjazdy służbowe na TRANSLOG Connect Congress w Budapeszcie, 2 osoby (stawka jednostkowa)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pomoc dla MŚP na udział w targach (art. 19 GBER)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8"/>
              </w:rPr>
              <w:t>Koszty wsparcia uczestników projektu (udział w targach), Przewodnik 5.3.3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10 978,00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10 978,00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10-5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18"/>
              </w:rPr>
              <w:t>Wyjazd służbowy na misję gospodarczą do Czech, 1 osoba (stawka jednostkowa)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pomoc de minimis (rozporządzenie 2023/2831)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8"/>
              </w:rPr>
              <w:t>Koszty wsparcia uczestników projektu (udział w zagranicznych gospodarczych misjach wyjazdowych), Przewodnik 5.3.4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5 489,00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5 489,00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10-6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18"/>
              </w:rPr>
              <w:t>Usługi doradcze w zakresie internacjonalizacji: rynki CEE, model partnerstw i licencji API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pomoc dla MŚP na usługi doradcze (art. 18 GBER)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8"/>
              </w:rPr>
              <w:t>Usługi zewnętrzne (doradztwo), Przewodnik 5.3.7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15 990,00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13 000,00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11-1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18"/>
              </w:rPr>
              <w:t>Wstępne orzeczenie rzecznika patentowego o zdolności patentowej wynalazku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pomoc de minimis (rozporządzenie 2023/2831)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8"/>
              </w:rPr>
              <w:t>Usługi zewnętrzne, wstępne orzeczenie (de minimis), Przewodnik 5.3.11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9 840,00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8 000,00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11-2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18"/>
              </w:rPr>
              <w:t>Usługi zewnętrzne rzecznika patentowego: dokumentacja zgłoszeniowa, zgłoszenie do EPO i tłumaczenia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pomoc dla MŚP na wspieranie innowacyjności (art. 28 GBER)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8"/>
              </w:rPr>
              <w:t>Usługi zewnętrzne (prawa własności przemysłowej), Przewodnik 5.3.10 a i b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19 065,00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15 500,00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11-3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18"/>
              </w:rPr>
              <w:t>Opłaty urzędowe EPO: zgłoszeniowa i za poszukiwanie europejskie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pomoc dla MŚP na wspieranie innowacyjności (art. 28 GBER)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8"/>
              </w:rPr>
              <w:t>Podatki i opłaty (prawa własności przemysłowej), Przewodnik 5.3.9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7 785,00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7 785,00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50%</w:t>
            </w:r>
          </w:p>
        </w:tc>
      </w:tr>
    </w:tbl>
    <w:p/>
    <w:p>
      <w:pPr>
        <w:spacing w:after="60"/>
      </w:pPr>
      <w:r>
        <w:rPr>
          <w:b w:val="0"/>
        </w:rPr>
        <w:t>Pozycje 10-4 i 10-5 wprowadzasz w pkt 3.2.5 jako koszty uproszczone, nie w 3.2.3. Pozycje 10-1 i 10-2 razem dają 24 000,00 zł kwalifikowalnych, czyli pakiet wystawcy.</w:t>
      </w:r>
    </w:p>
    <w:p>
      <w:pPr>
        <w:spacing w:after="60"/>
      </w:pPr>
      <w:r>
        <w:rPr>
          <w:b w:val="0"/>
        </w:rPr>
        <w:t>Suma internacjonalizacji po zmianach: kwalifikowalne 85 952,00 zł (przed zmianą 86 871,00 zł), ogółem 100 143,00 zł (przed zmianą 104 075,78 zł), dofinansowanie 50%, czyli 42 976,00 zł (przed zmianą 43 435,50 zł). Dofinansowanie spada o 459,50 zł, więc nie rośnie. Udział w kosztach prac B+R Everest11 wynosi ok. 2,1% przy limicie 15%.</w:t>
      </w:r>
    </w:p>
    <w:p>
      <w:pPr>
        <w:pStyle w:val="Heading3"/>
      </w:pPr>
      <w:r>
        <w:t>10-1 Opłata za powierzchnię stoiska i opłata podstawowa, TRANSLOG Connect Congress 2028</w:t>
      </w:r>
    </w:p>
    <w:p>
      <w:r>
        <w:rPr>
          <w:b/>
        </w:rPr>
        <w:t xml:space="preserve">Zadanie: </w:t>
      </w:r>
      <w:r>
        <w:rPr>
          <w:b w:val="0"/>
        </w:rPr>
        <w:t xml:space="preserve">Z10. </w:t>
      </w:r>
      <w:r>
        <w:rPr>
          <w:b/>
        </w:rPr>
        <w:t xml:space="preserve">Kwota kwalifikowalna: </w:t>
      </w:r>
      <w:r>
        <w:rPr>
          <w:b w:val="0"/>
        </w:rPr>
        <w:t>13 783,00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[689 znaków]</w:t>
      </w:r>
    </w:p>
    <w:p>
      <w:pPr>
        <w:spacing w:after="60"/>
      </w:pPr>
      <w:r>
        <w:rPr>
          <w:b w:val="0"/>
        </w:rPr>
        <w:t>Pozycja obejmie rezerwację powierzchni stoiska narożnego 9 m² i opłatę podstawową za udział Everest11 w roli wystawcy w kongresie TRANSLOG Connect Congress w Budapeszcie w listopadzie 2028 r. Opłata podstawowa obejmuje dwa bilety i wyżywienie dla wystawcy, czyli dla dwóch delegatów. Powierzchnia 9 m² będzie potrzebna, bo na stoisku zostanie zaprezentowany prototyp zestawu z panelem HMI i stanowisko z modelem 3D, a dwie osoby będą równolegle prowadzić rozmowy. Wydarzenie jest podstawowym działaniem zadania Z10 i warunkiem wskaźnika liczby imprez, w których Everest11 uczestniczy jako wystawca. Jednostką jest jedna rezerwacja powierzchni i jedna opłata podstawowa na jedno wydarzenie.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[625 znaków]</w:t>
      </w:r>
    </w:p>
    <w:p>
      <w:pPr>
        <w:spacing w:after="60"/>
      </w:pPr>
      <w:r>
        <w:rPr>
          <w:b w:val="0"/>
        </w:rPr>
        <w:t>Wydatek zostanie poniesiony w EUR i oszacowano go na podstawie cenników historycznych kongresu z wcześniejszych edycji, bo organizator, TEG The Events Group, nie publikuje aktualnego cennika i jest jedynym dostawcą usługi. Przyjęto stoisko narożne 285 EUR/m² (minimum 6 m²) dla 9 m², czyli 2 565 EUR, oraz opłatę podstawową 350 EUR, razem 2 915 EUR. Po kursie średnim NBP z 09.03.2026, 4,2836 PLN/EUR, daje to 12 487 zł. Kwotę powiększono o waloryzację ok. 10,4% do poziomu cen z listopada 2028 r. (ok. 3,4% rocznie przez trzy lata), co daje 13 783 zł. Ujęto koszt według cennika historycznego z waloryzacją, a nie najniższy.</w:t>
      </w:r>
    </w:p>
    <w:p>
      <w:pPr>
        <w:pStyle w:val="Heading3"/>
      </w:pPr>
      <w:r>
        <w:t>10-2 Energia, zabudowa i meble stoiska, TRANSLOG Connect Congress 2028</w:t>
      </w:r>
    </w:p>
    <w:p>
      <w:r>
        <w:rPr>
          <w:b/>
        </w:rPr>
        <w:t xml:space="preserve">Zadanie: </w:t>
      </w:r>
      <w:r>
        <w:rPr>
          <w:b w:val="0"/>
        </w:rPr>
        <w:t xml:space="preserve">Z10. </w:t>
      </w:r>
      <w:r>
        <w:rPr>
          <w:b/>
        </w:rPr>
        <w:t xml:space="preserve">Kwota kwalifikowalna: </w:t>
      </w:r>
      <w:r>
        <w:rPr>
          <w:b w:val="0"/>
        </w:rPr>
        <w:t>10 217,00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[398 znaków]</w:t>
      </w:r>
    </w:p>
    <w:p>
      <w:pPr>
        <w:spacing w:after="60"/>
      </w:pPr>
      <w:r>
        <w:rPr>
          <w:b w:val="0"/>
        </w:rPr>
        <w:t>Pozycja obejmie wynajem i obsługę stoiska narożnego 9 m² podczas kongresu w Budapeszcie w 2028 r.: energię i koszty pomocnicze, gotową zabudowę stoiska oraz meble. Stoisko będzie miejscem prezentacji CargoDT dostawcom TMS i giełdom transportowym, a bez zabudowy, zasilania i mebli prezentacja prototypu z wynikami walidacji Z9 nie będzie możliwa. Koszt dotyczy jednego stoiska i jednego wydarzenia.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[666 znaków]</w:t>
      </w:r>
    </w:p>
    <w:p>
      <w:pPr>
        <w:spacing w:after="60"/>
      </w:pPr>
      <w:r>
        <w:rPr>
          <w:b w:val="0"/>
        </w:rPr>
        <w:t>Wydatek zostanie poniesiony w EUR i oszacowano go na podstawie cenników historycznych kongresu z wcześniejszych edycji, bo organizator nie publikuje aktualnego cennika i jest jedynym dostawcą usługi. Przyjęto: energię i koszty pomocnicze ok. 130 EUR, gotową zabudowę 199 EUR/m² (górna granica zakresu 77,5 do 199 EUR/m²) dla 9 m², czyli 1 791 EUR, oraz meble 240 EUR (górna granica zakresu 120 do 240 EUR), razem 2 161 EUR. Po kursie średnim NBP z 09.03.2026, 4,2836 PLN/EUR, daje to 9 257 zł. Kwotę powiększono o waloryzację ok. 10,4% do poziomu cen z listopada 2028 r., co daje 10 217 zł. Razem pozycje 10-1 i 10-2 dają 24 000 zł. Ujęto górne granice zakresów cen.</w:t>
      </w:r>
    </w:p>
    <w:p>
      <w:pPr>
        <w:pStyle w:val="Heading3"/>
      </w:pPr>
      <w:r>
        <w:t>10-3 Zabudowa stoiska: projekt graficzny i wykonanie elementu dekoracyjnego z wizualizacją CargoDT</w:t>
      </w:r>
    </w:p>
    <w:p>
      <w:r>
        <w:rPr>
          <w:b/>
        </w:rPr>
        <w:t xml:space="preserve">Zadanie: </w:t>
      </w:r>
      <w:r>
        <w:rPr>
          <w:b w:val="0"/>
        </w:rPr>
        <w:t xml:space="preserve">Z10. </w:t>
      </w:r>
      <w:r>
        <w:rPr>
          <w:b/>
        </w:rPr>
        <w:t xml:space="preserve">Kwota kwalifikowalna: </w:t>
      </w:r>
      <w:r>
        <w:rPr>
          <w:b w:val="0"/>
        </w:rPr>
        <w:t>1 200,00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[437 znaków]</w:t>
      </w:r>
    </w:p>
    <w:p>
      <w:pPr>
        <w:spacing w:after="60"/>
      </w:pPr>
      <w:r>
        <w:rPr>
          <w:b w:val="0"/>
        </w:rPr>
        <w:t>Pozycja obejmie zindywidualizowany, widoczny element dekoracyjny stoiska z wizualizacją CargoDT: projekt graficzny i wykonanie ścianki lub banera wielkoformatowego w wersji angielskiej. Element zostanie zainstalowany na stoisku w Budapeszcie i nie obejmie ulotek, prezentacji ani materiałów rozdawanych. Koszt będzie niezbędny, bo element zidentyfikuje produkt i wystawcę na kongresie. Jednostką jest jeden zestaw projekt plus wykonanie.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[252 znaków]</w:t>
      </w:r>
    </w:p>
    <w:p>
      <w:pPr>
        <w:spacing w:after="60"/>
      </w:pPr>
      <w:r>
        <w:rPr>
          <w:b w:val="0"/>
        </w:rPr>
        <w:t>Źródłem są ogólnodostępne cenniki: projekt graficzny 800 zł (ok. 4,5 godz. po 180 zł, cennik Soluma Interactive) oraz wydruk wielkoformatowy elementu 400 zł (cennik Oferia.com.pl), dostęp 2026. Razem 1 200 zł. Przyjęto wartość z cenników bez marginesu.</w:t>
      </w:r>
    </w:p>
    <w:p>
      <w:pPr>
        <w:pStyle w:val="Heading3"/>
      </w:pPr>
      <w:r>
        <w:t>10-6 Usługi doradcze w zakresie internacjonalizacji: rynki CEE, model partnerstw i licencji API</w:t>
      </w:r>
    </w:p>
    <w:p>
      <w:r>
        <w:rPr>
          <w:b/>
        </w:rPr>
        <w:t xml:space="preserve">Zadanie: </w:t>
      </w:r>
      <w:r>
        <w:rPr>
          <w:b w:val="0"/>
        </w:rPr>
        <w:t xml:space="preserve">Z10. </w:t>
      </w:r>
      <w:r>
        <w:rPr>
          <w:b/>
        </w:rPr>
        <w:t xml:space="preserve">Kwota kwalifikowalna: </w:t>
      </w:r>
      <w:r>
        <w:rPr>
          <w:b w:val="0"/>
        </w:rPr>
        <w:t>13 000,00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[814 znaków]</w:t>
      </w:r>
    </w:p>
    <w:p>
      <w:pPr>
        <w:spacing w:after="60"/>
      </w:pPr>
      <w:r>
        <w:rPr>
          <w:b w:val="0"/>
        </w:rPr>
        <w:t>W ramach zaplanowanego kosztu niezbędne będzie wykonanie usług polegających na analizie rynków Czech, Słowacji, Węgier i Rumunii pod kątem regulacji i kanałów sprzedaży, opracowaniu modelu partnerstw z dostawcami TMS i warunków licencji API, a także przygotowaniu materiałów i scenariuszy rozmów na kongres i misję. Usługa będzie jednorazowa (nieciągła), z wyłączeniem doradztwa podatkowego, księgowego, prawnego oraz reklamy, a zewnętrzny doradca nie będzie w żaden sposób powiązany z Everest11. Powyższe prace zostaną zrealizowane w celu wsparcia i przygotowania procesu sprzedaży w regionie CEE, ponieważ Everest11 nie posiada w tym obszarze niezbędnego doświadczenia. Zaangażowanie: 13 dni x 8 h x 125 PLN (łączny czas podzielony na: 4 dni analizy, 5 dni na model partnerstw, 4 dni na materiały i scenariusze).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[485 znaków]</w:t>
      </w:r>
    </w:p>
    <w:p>
      <w:pPr>
        <w:spacing w:after="60"/>
      </w:pPr>
      <w:r>
        <w:rPr>
          <w:b w:val="0"/>
        </w:rPr>
        <w:t>Koszt jednostkowy 125 zł za godzinę, czyli 1 000 zł za dzień 8-godzinny, przyjęto na podstawie stawek rynkowych analityków biznesowych na poziomie mid i senior w kontraktach B2B (No Fluff Jobs, dostęp 2026). Liczba dni wynika z podziału zakresu: 4 plus 5 plus 4 dni, razem 13 dni, co daje 13 x 8 h x 125 zł = 13 000 zł. Wybór doradcy nastąpi w trybie rozeznania rynku przed rozpoczęciem usługi, a do rozliczenia zostanie przyjęta cena z wybranej oferty, nie wyższa niż kwota z wniosku.</w:t>
      </w:r>
    </w:p>
    <w:p>
      <w:pPr>
        <w:pStyle w:val="Heading3"/>
      </w:pPr>
      <w:r>
        <w:t>11-1 Wstępne orzeczenie rzecznika patentowego o zdolności patentowej wynalazku</w:t>
      </w:r>
    </w:p>
    <w:p>
      <w:r>
        <w:rPr>
          <w:b/>
        </w:rPr>
        <w:t xml:space="preserve">Zadanie: </w:t>
      </w:r>
      <w:r>
        <w:rPr>
          <w:b w:val="0"/>
        </w:rPr>
        <w:t xml:space="preserve">Z11. </w:t>
      </w:r>
      <w:r>
        <w:rPr>
          <w:b/>
        </w:rPr>
        <w:t xml:space="preserve">Kwota kwalifikowalna: </w:t>
      </w:r>
      <w:r>
        <w:rPr>
          <w:b w:val="0"/>
        </w:rPr>
        <w:t>8 000,00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[471 znaków]</w:t>
      </w:r>
    </w:p>
    <w:p>
      <w:pPr>
        <w:spacing w:after="60"/>
      </w:pPr>
      <w:r>
        <w:rPr>
          <w:b w:val="0"/>
        </w:rPr>
        <w:t>Rzecznik patentowy wyda wstępne orzeczenie o zdolności patentowej wynalazku: metody i systemu predykcji ryzyka uszkodzenia ładunku z wielomodalnych sygnałów in-transit. Orzeczenie obejmie przegląd stanu techniki w bazach patentowych i ocenę nowości oraz poziomu wynalazczego. Będzie warunkiem decyzji o zgłoszeniu i będzie niezbędne, bo Everest11 nie ma w zespole rzecznika. Koszt będzie kwalifikowalny, jeśli orzeczenie będzie pozytywne. Jednostką jest jedno orzeczenie.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[293 znaków]</w:t>
      </w:r>
    </w:p>
    <w:p>
      <w:pPr>
        <w:spacing w:after="60"/>
      </w:pPr>
      <w:r>
        <w:rPr>
          <w:b w:val="0"/>
        </w:rPr>
        <w:t>Podstawą jest oferta kancelarii JWP Rzecznicy Patentowi z 11.06.2026: badanie zdolności patentowej 6 000 do 8 000 zł. Przyjęto górną granicę przedziału, 8 000 zł, z uwagi na złożoność wynalazku, który obejmuje fuzję sygnałów, modele ML i sensorykę. Zakres oferty nie obejmuje opłat urzędowych.</w:t>
      </w:r>
    </w:p>
    <w:p>
      <w:pPr>
        <w:pStyle w:val="Heading3"/>
      </w:pPr>
      <w:r>
        <w:t>11-2 Usługi zewnętrzne rzecznika patentowego: dokumentacja zgłoszeniowa, zgłoszenie do EPO i tłumaczenia</w:t>
      </w:r>
    </w:p>
    <w:p>
      <w:r>
        <w:rPr>
          <w:b/>
        </w:rPr>
        <w:t xml:space="preserve">Zadanie: </w:t>
      </w:r>
      <w:r>
        <w:rPr>
          <w:b w:val="0"/>
        </w:rPr>
        <w:t xml:space="preserve">Z11. </w:t>
      </w:r>
      <w:r>
        <w:rPr>
          <w:b/>
        </w:rPr>
        <w:t xml:space="preserve">Kwota kwalifikowalna: </w:t>
      </w:r>
      <w:r>
        <w:rPr>
          <w:b w:val="0"/>
        </w:rPr>
        <w:t>15 500,00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[671 znaków]</w:t>
      </w:r>
    </w:p>
    <w:p>
      <w:pPr>
        <w:spacing w:after="60"/>
      </w:pPr>
      <w:r>
        <w:rPr>
          <w:b w:val="0"/>
        </w:rPr>
        <w:t>Rzecznik przygotuje dokumentację zgłoszeniową: opis wynalazku, zastrzeżenia patentowe i rysunki, złoży zgłoszenie w EPO i będzie reprezentował Everest11 przed urzędem do momentu złożenia. Usługa będzie niezbędna, bo zgłoszenie przed EPO wymaga zawodowego pełnomocnika i precyzyjnych zastrzeżeń, a Everest11 nie ma tych kompetencji. Pozycja obejmie także tłumaczenie PL-EN opisu wynalazku i zastrzeżeń, z terminologią AI, ML, sensoryki i transportu, o objętości ok. 5 800 słów, bo dokumentacja musi być złożona w języku urzędowym EPO. Zakres nie obejmie dalszego prowadzenia postępowania po złożeniu zgłoszenia ani badania zdolności patentowej, które ujęto w pozycji 11-1.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[600 znaków]</w:t>
      </w:r>
    </w:p>
    <w:p>
      <w:pPr>
        <w:spacing w:after="60"/>
      </w:pPr>
      <w:r>
        <w:rPr>
          <w:b w:val="0"/>
        </w:rPr>
        <w:t>Podstawą jest oferta kancelarii JWP Rzecznicy Patentowi z 11.06.2026. Opracowanie dokumentacji zgłoszeniowej i złożenie zgłoszenia w procedurze europejskiej: przedział 10 000 do 12 000 zł, przyjęto górną granicę, 12 000 zł. Tłumaczenie PL-EN: stawka z oferty 60 zł za 100 słów, objętość ok. 5 800 słów daje 3 480 zł, zaokrąglone do 3 500 zł. Razem 15 500 zł. Razem z pozycją 11-1 usługi rzecznika bez tłumaczeń wyniosą 20 000 zł, czyli górną granicę całej oferty 16 000 do 20 000 zł. Kontrolnie: rynkowe stawki tłumaczeń specjalistycznych 80 do 200 zł za stronę rozliczeniową (tlumaczymy24.pl, 2026).</w:t>
      </w:r>
    </w:p>
    <w:p>
      <w:pPr>
        <w:pStyle w:val="Heading3"/>
      </w:pPr>
      <w:r>
        <w:t>11-3 Opłaty urzędowe EPO: zgłoszeniowa i za poszukiwanie europejskie</w:t>
      </w:r>
    </w:p>
    <w:p>
      <w:r>
        <w:rPr>
          <w:b/>
        </w:rPr>
        <w:t xml:space="preserve">Zadanie: </w:t>
      </w:r>
      <w:r>
        <w:rPr>
          <w:b w:val="0"/>
        </w:rPr>
        <w:t xml:space="preserve">Z11. </w:t>
      </w:r>
      <w:r>
        <w:rPr>
          <w:b/>
        </w:rPr>
        <w:t xml:space="preserve">Kwota kwalifikowalna: </w:t>
      </w:r>
      <w:r>
        <w:rPr>
          <w:b w:val="0"/>
        </w:rPr>
        <w:t>7 785,00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[321 znaków]</w:t>
      </w:r>
    </w:p>
    <w:p>
      <w:pPr>
        <w:spacing w:after="60"/>
      </w:pPr>
      <w:r>
        <w:rPr>
          <w:b w:val="0"/>
        </w:rPr>
        <w:t>Zgłoszenie w EPO będzie wymagać opłaty zgłoszeniowej i opłaty za sprawozdanie z poszukiwania europejskiego. Opłaty będą warunkiem formalnym rozpoczęcia postępowania i uzyskania daty pierwszeństwa. Wydatki ogółem są równe kwalifikowalnym, bo opłaty urzędowe wnoszone na rzecz organizacji międzynarodowej nie podlegają VAT.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[446 znaków]</w:t>
      </w:r>
    </w:p>
    <w:p>
      <w:pPr>
        <w:spacing w:after="60"/>
      </w:pPr>
      <w:r>
        <w:rPr>
          <w:b w:val="0"/>
        </w:rPr>
        <w:t>Źródło: taryfa opłat EPO obowiązująca od 1.04.2026 (Schedule of Fees, decyzja Rady Administracyjnej CA/D 9/25): opłata zgłoszeniowa online 135 EUR plus opłata za poszukiwanie europejskie 1 595 EUR, razem 1 730 EUR. Kurs średni NBP z dnia ogłoszenia naboru, 09.03.2026, wynosił 4,2836 PLN/EUR, co daje 7 410,63 zł. Przyjęto kurs planistyczny 4,50 PLN/EUR, o 5% wyższy, co daje 7 785 zł i zawiera bufor na zmianę kursu do czasu poniesienia wydatku.</w:t>
      </w:r>
    </w:p>
    <w:p>
      <w:pPr>
        <w:pStyle w:val="Heading1"/>
      </w:pPr>
      <w:r>
        <w:t>5. Pkt 3.2.5 Koszty uproszczone i wskaźnik stawek w pkt 8.1</w:t>
      </w:r>
    </w:p>
    <w:p>
      <w:pPr>
        <w:spacing w:after="60"/>
      </w:pPr>
      <w:r>
        <w:rPr>
          <w:b w:val="0"/>
        </w:rPr>
        <w:t>Obecnie sekcja 3.2.5 jest pusta. Dodaj dwie pozycje (zadanie Z10), a w pkt 8.1 w sekcji „Wskaźniki produktu dotyczące kosztów fakultatywnych, stawki jednostkowe” uzupełnij wskaźnik wyjazdów. Pole „Kategoria kosztów CST” uzupełnia system.</w:t>
      </w:r>
    </w:p>
    <w:p>
      <w:pPr>
        <w:pStyle w:val="Heading3"/>
      </w:pPr>
      <w:r>
        <w:t>10-4 Wyjazd służbowy, stawka jednostkowa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Pole</w:t>
            </w:r>
          </w:p>
        </w:tc>
        <w:tc>
          <w:tcPr>
            <w:tcW w:type="dxa" w:w="6917"/>
          </w:tcPr>
          <w:p>
            <w:r/>
            <w:r>
              <w:rPr>
                <w:b/>
                <w:sz w:val="18"/>
              </w:rPr>
              <w:t>Wartość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Nazwa zadania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Z10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Rodzaj pomocy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art. 19 GBER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Nazwa kosztu (lista)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Targi/Misja Europa – 5 489,00 PLN/osoba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Kategoria kosztów FENG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Koszty wsparcia uczestników projektu (udział w targach)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Liczba stawek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Wydatki kwalifikowalne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10 978,00 zł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Dofinansowanie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5 489,00 zł (50%)</w:t>
            </w:r>
          </w:p>
        </w:tc>
      </w:tr>
    </w:tbl>
    <w:p/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[763 znaków]</w:t>
      </w:r>
    </w:p>
    <w:p>
      <w:pPr>
        <w:spacing w:after="60"/>
      </w:pPr>
      <w:r>
        <w:rPr>
          <w:b w:val="0"/>
        </w:rPr>
        <w:t>Wyjazd na TRANSLOG Connect Congress w Budapeszcie w listopadzie 2028 r. będzie podstawowym działaniem zadania Z10. Pojadą dwie osoby: kierownik zarządzający, który będzie reprezentować Lidera i podejmować wstępne ustalenia z partnerami, oraz specjalista ds. logistyki TSL, który poprowadzi spotkania handlowe i zaprezentuje scenariusze operacyjne. Dwie osoby będą potrzebne, bo w trakcie dwudniowego kongresu równolegle będą trwać prezentacje na stoisku i spotkania B2B 1:1, a zadania obu osób są różne. Liczba osób wynika z zadań, a nie z dostępnego budżetu. Obie osoby są zatrudnione w Everest11 i będą pracować przy realizacji projektu. Stawka dla Europy to 5 489 zł na osobę na wyjazd (Przewodnik 5.3.4). Kongres odbędzie się poza miejscem siedziby Everest11.</w:t>
      </w:r>
    </w:p>
    <w:p>
      <w:pPr>
        <w:pStyle w:val="Heading3"/>
      </w:pPr>
      <w:r>
        <w:t>10-5 Wyjazd służbowy, stawka jednostkowa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Pole</w:t>
            </w:r>
          </w:p>
        </w:tc>
        <w:tc>
          <w:tcPr>
            <w:tcW w:type="dxa" w:w="6917"/>
          </w:tcPr>
          <w:p>
            <w:r/>
            <w:r>
              <w:rPr>
                <w:b/>
                <w:sz w:val="18"/>
              </w:rPr>
              <w:t>Wartość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Nazwa zadania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Z10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Rodzaj pomocy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de minimis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Nazwa kosztu (lista)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Targi/Misja Europa – 5 489,00 PLN/osoba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Kategoria kosztów FENG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Koszty wsparcia uczestników projektu (udział w zagranicznych gospodarczych misjach wyjazdowych)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Liczba stawek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Wydatki kwalifikowalne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5 489,00 zł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Dofinansowanie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2 744,50 zł (50%)</w:t>
            </w:r>
          </w:p>
        </w:tc>
      </w:tr>
    </w:tbl>
    <w:p/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[636 znaków]</w:t>
      </w:r>
    </w:p>
    <w:p>
      <w:pPr>
        <w:spacing w:after="60"/>
      </w:pPr>
      <w:r>
        <w:rPr>
          <w:b w:val="0"/>
        </w:rPr>
        <w:t>Wyjazd na misję gospodarczą do Czech w 2029 r., przed końcem zadania Z10 (30.04.2029), posłuży spotkaniom z lokalnymi dostawcami TMS i partnerami licencyjnymi. Pojedzie jedna osoba, specjalista ds. logistyki TSL, który będzie kontynuował rozmowy rozpoczęte na kongresie i prowadził rozmowy handlowe po stronie Lidera. Jedna osoba wystarczy, bo misja będzie etapem kontynuacji kontaktów z kongresu i nie obejmie stoiska ani prezentacji sprzętu. Liczba osób wynika z zadań, a nie z budżetu. Osoba jest zatrudniona w Everest11 i będzie pracować przy realizacji projektu. Stawka dla Europy to 5 489 zł na osobę na wyjazd (Przewodnik 5.3.4).</w:t>
      </w:r>
    </w:p>
    <w:p>
      <w:pPr>
        <w:pStyle w:val="Heading3"/>
      </w:pPr>
      <w:r>
        <w:t>Wskaźnik wyjazdów w pkt 8.1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Pole</w:t>
            </w:r>
          </w:p>
        </w:tc>
        <w:tc>
          <w:tcPr>
            <w:tcW w:type="dxa" w:w="6917"/>
          </w:tcPr>
          <w:p>
            <w:r/>
            <w:r>
              <w:rPr>
                <w:b/>
                <w:sz w:val="18"/>
              </w:rPr>
              <w:t>Wartość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Nazwa wskaźnika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Zrealizowany wyjazd służbowy na 1 pracownika, Europa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Jednostka miary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szt.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Wartość docelowa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</w:tbl>
    <w:p/>
    <w:p>
      <w:pPr>
        <w:keepNext/>
        <w:spacing w:before="160" w:after="40"/>
      </w:pPr>
      <w:r>
        <w:rPr>
          <w:b/>
          <w:sz w:val="20"/>
        </w:rPr>
        <w:t>Opis metodologii wyliczenia wskaźnika</w:t>
      </w:r>
      <w:r>
        <w:rPr>
          <w:color w:val="666666"/>
          <w:sz w:val="17"/>
        </w:rPr>
        <w:t xml:space="preserve"> [340 znaków]</w:t>
      </w:r>
    </w:p>
    <w:p>
      <w:pPr>
        <w:spacing w:after="60"/>
      </w:pPr>
      <w:r>
        <w:rPr>
          <w:b w:val="0"/>
        </w:rPr>
        <w:t>Wartość docelowa 3 jest sumą wyjazdów służbowych pracowników Everest11 na terytorium Europy: 2 osoby na TRANSLOG Connect Congress w Budapeszcie w 2028 r. i 1 osoba na misję gospodarczą do Czech w 2029 r. Osoba, która pojedzie na dwa wydarzenia, zostanie policzona dwa razy. Wskaźnik osiągnie Everest11, a PRz nie będzie realizować wyjazdów.</w:t>
      </w:r>
    </w:p>
    <w:p>
      <w:pPr>
        <w:keepNext/>
        <w:spacing w:before="160" w:after="40"/>
      </w:pPr>
      <w:r>
        <w:rPr>
          <w:b/>
          <w:sz w:val="20"/>
        </w:rPr>
        <w:t>Opis sposobu weryfikacji</w:t>
      </w:r>
      <w:r>
        <w:rPr>
          <w:color w:val="666666"/>
          <w:sz w:val="17"/>
        </w:rPr>
        <w:t xml:space="preserve"> [144 znaków]</w:t>
      </w:r>
    </w:p>
    <w:p>
      <w:pPr>
        <w:spacing w:after="60"/>
      </w:pPr>
      <w:r>
        <w:rPr>
          <w:b w:val="0"/>
        </w:rPr>
        <w:t>Listy uczestników wydarzeń, bilety i potwierdzenia rejestracji, dokumentacja zdjęciowa i notatki ze spotkań, sprawozdanie z realizacji projektu.</w:t>
      </w:r>
    </w:p>
    <w:p>
      <w:pPr>
        <w:spacing w:after="60"/>
      </w:pPr>
      <w:r>
        <w:rPr>
          <w:b w:val="0"/>
        </w:rPr>
        <w:t>Dla wskaźników: Zrealizowany wyjazd służbowy na 1 pracownika, USA, Świat i Polska, wpisz wartość docelową 0, a w polach metodologii i weryfikacji „nie dotyczy”.</w:t>
      </w:r>
    </w:p>
    <w:p>
      <w:pPr>
        <w:pStyle w:val="Heading3"/>
      </w:pPr>
      <w:r>
        <w:t>Wskaźnik liczby imprez w pkt 8.1 (zmiana jednego zdania)</w:t>
      </w:r>
    </w:p>
    <w:p>
      <w:pPr>
        <w:spacing w:after="60"/>
      </w:pPr>
      <w:r>
        <w:rPr>
          <w:b w:val="0"/>
        </w:rPr>
        <w:t>W polu metodologii zdanie „wykupionego pakietu wystawcy ujętego w budżecie zadania Z10 (24 000 PLN, 2 delegatów)” zastąp zdaniem: „opłaty za powierzchnię stoiska i opłaty podstawowej (z biletami dla dwóch delegatów) oraz energii, zabudowy i mebli, ujętych w budżecie zadania Z10, razem 24 000 zł”. Reszta bez zmian.</w:t>
      </w:r>
    </w:p>
    <w:p>
      <w:pPr>
        <w:pStyle w:val="Heading1"/>
      </w:pPr>
      <w:r>
        <w:t>6. Pkt 8.2 Wskaźnik przychodów poza RP (K14-01)</w:t>
      </w:r>
    </w:p>
    <w:p>
      <w:pPr>
        <w:spacing w:after="60"/>
      </w:pPr>
      <w:r>
        <w:rPr>
          <w:b w:val="0"/>
        </w:rPr>
        <w:t>Obecny wskaźnik ma wartość 489 300 zł, czyli cały przychód 2030 r. od klientów w Polsce, a nie przychód poza RP. Ustaliłaś, że w pierwszym roku nie będzie licencji za granicą, więc wartość to 0 zł. Rok 2030 jest właściwy, bo to rok po zakończeniu projektu w kwietniu 2029 r. Sprawdź w LSI, że w polu jest 2030. Ryzyko: zero przy obligatoryjnym wskaźniku internacjonalizacji ekspert może skomentować, dlatego metodologia wyjaśnia, że 2030 to start sprzedaży w Polsce, a przychody zagraniczne zaczynają się w 2032-2033 r. według modelu i pkt 2.1.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Pole</w:t>
            </w:r>
          </w:p>
        </w:tc>
        <w:tc>
          <w:tcPr>
            <w:tcW w:type="dxa" w:w="6917"/>
          </w:tcPr>
          <w:p>
            <w:r/>
            <w:r>
              <w:rPr>
                <w:b/>
                <w:sz w:val="18"/>
              </w:rPr>
              <w:t>Wartość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Nazwa wskaźnika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Przychody ze sprzedaży poza terytorium RP produktów będących przedmiotem projektu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Jednostka miary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PLN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Rok bazowy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Wartość bazowa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Rok osiągnięcia wartości docelowej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2030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Wartość docelowa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/>
    <w:p>
      <w:pPr>
        <w:keepNext/>
        <w:spacing w:before="160" w:after="40"/>
      </w:pPr>
      <w:r>
        <w:rPr>
          <w:b/>
          <w:sz w:val="20"/>
        </w:rPr>
        <w:t>Opis metodologii wyliczenia wskaźnika</w:t>
      </w:r>
      <w:r>
        <w:rPr>
          <w:color w:val="666666"/>
          <w:sz w:val="17"/>
        </w:rPr>
        <w:t xml:space="preserve"> [683 znaków]</w:t>
      </w:r>
    </w:p>
    <w:p>
      <w:pPr>
        <w:spacing w:after="60"/>
      </w:pPr>
      <w:r>
        <w:rPr>
          <w:b w:val="0"/>
        </w:rPr>
        <w:t>Rokiem osiągnięcia wartości docelowej będzie 2030, czyli rok po zakończeniu projektu w kwietniu 2029 r. W 2030 r. nastąpi start sprzedaży komercyjnej, a nabywcami będą klienci w Polsce: operatorzy objęci listami intencyjnymi na 50 pojazdów. Przychody poza terytorium RP w tym roku nie wystąpią, więc wartość docelowa wynosi 0 zł. Pierwsze przychody ze sprzedaży poza RP wynikają z modelu finansowego od 2032-2033 r., z licencji API dla dostawców TMS w regionie CEE pozyskanych w zadaniu Z10, po 4 800 zł za umowę rocznie. Subskrypcje SaaS i zestawy sprzedane klientom w Polsce nie wejdą do wskaźnika, nawet jeśli pojazdy będą jeździć za granicą. Wskaźnik dotyczy wyłącznie Everest11.</w:t>
      </w:r>
    </w:p>
    <w:p>
      <w:pPr>
        <w:keepNext/>
        <w:spacing w:before="160" w:after="40"/>
      </w:pPr>
      <w:r>
        <w:rPr>
          <w:b/>
          <w:sz w:val="20"/>
        </w:rPr>
        <w:t>Opis sposobu weryfikacji</w:t>
      </w:r>
      <w:r>
        <w:rPr>
          <w:color w:val="666666"/>
          <w:sz w:val="17"/>
        </w:rPr>
        <w:t xml:space="preserve"> [214 znaków]</w:t>
      </w:r>
    </w:p>
    <w:p>
      <w:pPr>
        <w:spacing w:after="60"/>
      </w:pPr>
      <w:r>
        <w:rPr>
          <w:b w:val="0"/>
        </w:rPr>
        <w:t>Sprawozdanie finansowe Everest11 za 2030 r. z przychodami CargoDT w podziale na kraj nabywcy, rejestr umów i faktur sprzedaży z danymi nabywców. Wartość 0 potwierdzi brak faktur dla nabywców zagranicznych w 2030 r.</w:t>
      </w:r>
    </w:p>
    <w:p>
      <w:pPr>
        <w:pStyle w:val="Heading1"/>
      </w:pPr>
      <w:r>
        <w:t>7. Zmiany w innych miejscach wniosku i modelu</w:t>
      </w:r>
    </w:p>
    <w:p>
      <w:pPr>
        <w:pStyle w:val="ListBullet"/>
      </w:pPr>
      <w:r>
        <w:rPr>
          <w:b/>
        </w:rPr>
        <w:t>Pkt 6.1, Michał Hajduk:</w:t>
      </w:r>
      <w:r>
        <w:rPr>
          <w:b w:val="0"/>
        </w:rPr>
        <w:t xml:space="preserve"> do zakresu dopisano Z10 i wymiar „Z2, Z6, Z7, Z9, Z10”. Delegat musi być pracownikiem, którego zakres obowiązków potwierdza pracę przy projekcie. Zaktualizowany plik Sekcja_6.1_zespol_projektowy.docx jest w repozytorium.</w:t>
      </w:r>
    </w:p>
    <w:p>
      <w:pPr>
        <w:pStyle w:val="ListBullet"/>
      </w:pPr>
      <w:r>
        <w:rPr>
          <w:b/>
        </w:rPr>
        <w:t>Model finansowy i pkt 2.1:</w:t>
      </w:r>
      <w:r>
        <w:rPr>
          <w:b w:val="0"/>
        </w:rPr>
        <w:t xml:space="preserve"> bez zmian. Model ma ekspansję CEE od 2032-2033 r., a wskaźnik przychodów poza RP w 2030 r. wynosi 0 zł, więc teksty są spójne. W pkt 2.1 i modelu nie dopisuj licencji CEE w 2030 r.</w:t>
      </w:r>
    </w:p>
    <w:p>
      <w:pPr>
        <w:pStyle w:val="ListBullet"/>
      </w:pPr>
      <w:r>
        <w:rPr>
          <w:b/>
        </w:rPr>
        <w:t>Pkt 3.2.1, tabela wydarzeń:</w:t>
      </w:r>
      <w:r>
        <w:rPr>
          <w:b w:val="0"/>
        </w:rPr>
        <w:t xml:space="preserve"> wiersze zostają (kongres 2028, misja Czechy 2029). Rodzaj wydarzenia kongresu „udział w wydarzeniu targowo-konferencyjnym” zostaje.</w:t>
      </w:r>
    </w:p>
    <w:p>
      <w:pPr>
        <w:pStyle w:val="ListBullet"/>
      </w:pPr>
      <w:r>
        <w:rPr>
          <w:b/>
        </w:rPr>
        <w:t>Pkt 3.2.3, tłumaczenia (3 500 zł):</w:t>
      </w:r>
      <w:r>
        <w:rPr>
          <w:b w:val="0"/>
        </w:rPr>
        <w:t xml:space="preserve"> w obecnym wniosku „wydatki ogółem” są równe kwalifikowalnym. Poprawiono na 4 305 zł, bo tłumaczenie podlega VAT 23%, a VAT nie jest kwalifikowalny.</w:t>
      </w:r>
    </w:p>
    <w:p>
      <w:pPr>
        <w:pStyle w:val="ListBullet"/>
      </w:pPr>
      <w:r>
        <w:rPr>
          <w:b/>
        </w:rPr>
        <w:t>Pkt 3.2.2 Z11, dotychczasowy tekst:</w:t>
      </w:r>
      <w:r>
        <w:rPr>
          <w:b w:val="0"/>
        </w:rPr>
        <w:t xml:space="preserve"> zdanie, że PRz przenosi prawa „przed zgłoszeniem”, a rozliczenie następuje „12 miesięcy po zakończeniu projektu”, zastąp nowym tekstem Z11 (§ 11 umowy konsorcjum i umowa o wykonywaniu wspólnych praw).</w:t>
      </w:r>
    </w:p>
    <w:p>
      <w:pPr>
        <w:pStyle w:val="ListBullet"/>
      </w:pPr>
      <w:r>
        <w:rPr>
          <w:b/>
        </w:rPr>
        <w:t>Pkt 3.2.1, PKD:</w:t>
      </w:r>
      <w:r>
        <w:rPr>
          <w:b w:val="0"/>
        </w:rPr>
        <w:t xml:space="preserve"> nowy tekst podaje termin wniosku o zmianę wpisu: 31.03.2027.</w:t>
      </w:r>
    </w:p>
    <w:p>
      <w:pPr>
        <w:pStyle w:val="Heading1"/>
      </w:pPr>
      <w:r>
        <w:t>8. Sprawdzenie zgodności z Instrukcją (pkt 3.2.3)</w:t>
      </w:r>
    </w:p>
    <w:p>
      <w:pPr>
        <w:spacing w:after="60"/>
      </w:pPr>
      <w:r>
        <w:rPr>
          <w:b w:val="0"/>
        </w:rPr>
        <w:t>Instrukcja wymaga w uzasadnieniu kosztu: rodzaju usług, kosztu jednostkowego każdej usługi, liczby i zakresu oraz wykazania, że koszt jest niezbędny i dostosowany do zakresu. W metodzie szacowania wymaga: nazw źródeł danych, liczby i nazw dostawców, do których wysłano zapytanie ofertowe, liczby i nazw dostawców, którzy odpowiedzieli, wraz z kwotami, oraz wskazania, jaki koszt przyjęto (najwyższy, najniższy, średni, inny), a dla ogólnodostępnych cenników źródła.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</w:tcPr>
          <w:p>
            <w:r/>
            <w:r>
              <w:rPr>
                <w:b/>
                <w:sz w:val="18"/>
              </w:rPr>
              <w:t>Pozycja</w:t>
            </w:r>
          </w:p>
        </w:tc>
        <w:tc>
          <w:tcPr>
            <w:tcW w:type="dxa" w:w="3572"/>
          </w:tcPr>
          <w:p>
            <w:r/>
            <w:r>
              <w:rPr>
                <w:b/>
                <w:sz w:val="18"/>
              </w:rPr>
              <w:t>Uzasadnienie kosztu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Metoda szacowania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10-1, 10-2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Zgodne: zakres, jednostka, niezbędność.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Zgodne: źródło (cennik historyczny organizatora, jedyny dostawca), rozbicie na składowe, kurs z datą, przyjęty koszt (górne granice zakresów plus waloryzacja).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10-3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Zgodne.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Zgodne: ogólnodostępne cenniki, nazwy źródeł.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10-6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Zgodne: koszt jednostkowy 125 zł/h, 13 dni, zakres w podziale 4 plus 5 plus 4.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Częściowo: podano źródło stawek (No Fluff Jobs), brak liczby zapytanych dostawców, bo doradca zostanie wybrany po rozeznaniu rynku. Tekst to wyjaśnia.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11-1, 11-2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Zgodne: zakres, jednostka, niezbędność.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Częściowo: podstawą jest oferta JWP z 11.06.2026 i przyjęto górną granicę przedziału. Instrukcja chce liczby zapytanych i odpowiadających kancelarii. Jeśli wysyłałaś zapytania do innych kancelarii, napisz mi nazwy i kwoty, to dopiszę. Jeśli była tylko JWP, zostaje jak jest.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11-3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Zgodne.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Zgodne: oficjalna taryfa EPO, kurs NBP z datą, bufor.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10-4, 10-5 (3.2.5)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Zgodne: uzasadniona liczba osób i konieczność wyjazdu.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Nie dotyczy: stawka jednostkowa z Przewodnika.</w:t>
            </w:r>
          </w:p>
        </w:tc>
      </w:tr>
    </w:tbl>
    <w:p/>
    <w:p>
      <w:pPr>
        <w:pStyle w:val="Heading1"/>
      </w:pPr>
      <w:r>
        <w:t>9. Dwie rzeczy do zrobienia po Twojej stronie i po 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</w:tcPr>
          <w:p>
            <w:r/>
            <w:r>
              <w:rPr>
                <w:b/>
                <w:sz w:val="18"/>
              </w:rPr>
              <w:t>Co</w:t>
            </w:r>
          </w:p>
        </w:tc>
        <w:tc>
          <w:tcPr>
            <w:tcW w:type="dxa" w:w="6066"/>
          </w:tcPr>
          <w:p>
            <w:r/>
            <w:r>
              <w:rPr>
                <w:b/>
                <w:sz w:val="18"/>
              </w:rPr>
              <w:t>Po co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Umowa o wykonywaniu wspólnych praw z PRz (§ 11 ust. 5) zawarta przed Z11, czyli przed 11.2028.</w:t>
            </w:r>
          </w:p>
        </w:tc>
        <w:tc>
          <w:tcPr>
            <w:tcW w:type="dxa" w:w="6066"/>
          </w:tcPr>
          <w:p>
            <w:r/>
            <w:r>
              <w:rPr>
                <w:b w:val="0"/>
                <w:sz w:val="18"/>
              </w:rPr>
              <w:t>Zgłoszenie patentowe w Z11 zostanie złożone w 2028-2029 r., a prawa PRz do wyniku z Z4 przejdą na Everest11 dopiero później (oświadczenie do 28.08.2029, umowa przeniesienia do 30.11.2029). Do tego czasu wynalazek należy wspólnie do obu stron, więc Everest11 potrzebuje zgody PRz na zgłoszenie w EPO. To zamyka lukę, o którą może zapytać ekspert przy K2-02. Jeśli § 11 ust. 5 w umowie konsorcjum wygląda inaczej, niż opisałam, napisz mi, to poprawię zdanie w Z11. Nie jest to wymóg LSI, tylko zabezpieczenie spójności tekstu.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Wniosek o zmianę PKD w KRS do 31.03.2027.</w:t>
            </w:r>
          </w:p>
        </w:tc>
        <w:tc>
          <w:tcPr>
            <w:tcW w:type="dxa" w:w="6066"/>
          </w:tcPr>
          <w:p>
            <w:r/>
            <w:r>
              <w:rPr>
                <w:b w:val="0"/>
                <w:sz w:val="18"/>
              </w:rPr>
              <w:t>Instrukcja przy pkt „Produkt wytwarzany na terytorium Polski” wymaga, jeśli w dniu składania wniosku w KRS nie ma PKD dla produktu, podania kodu i terminu planowanego wpisu. Dotychczasowy tekst miał tylko „po rozpoczęciu realizacji, przed sprzedażą”, bez daty. Podałam datę 31.03.2027. Jeśli wolisz inny termin lub dotychczasową formułę, powiedz, zmienię jedno zdanie.</w:t>
            </w:r>
          </w:p>
        </w:tc>
      </w:tr>
    </w:tbl>
    <w:p/>
    <w:p>
      <w:pPr>
        <w:pStyle w:val="Heading1"/>
      </w:pPr>
      <w:r>
        <w:t>10. Pokrycie uwag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Uwaga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Gdzie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K3-23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Część 2, produkt wytwarzany w Polsce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K3-24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Części 3 i 5, pozycja 10-5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K3-59, K3-61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Część 4, wszystkie pozycje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K3-60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Pozycje 10-1, 10-2, 11-3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K3-62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Pozycja 11-3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K3-63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Pozycja 10-3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K3-64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Pozycje 10-1 i 10-2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K3-65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Część 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K3-66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Pozycje 11-1 i 11-2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K14-01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Część 6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Gotowe, wartość 0 zł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