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Evorain Sp. z o.o.</w:t>
      </w:r>
      <w:r>
        <w:rPr>
          <w:rFonts w:ascii="Aptos" w:hAnsi="Aptos" w:cs="Tahoma"/>
          <w:color w:val="000000"/>
          <w:sz w:val="22"/>
          <w:szCs w:val="22"/>
        </w:rPr>
        <w:tab/>
        <w:tab/>
        <w:tab/>
        <w:tab/>
        <w:tab/>
        <w:tab/>
        <w:tab/>
      </w:r>
      <w:r>
        <w:rPr>
          <w:rFonts w:ascii="Aptos" w:hAnsi="Aptos" w:cs="Tahoma"/>
          <w:color w:val="000000"/>
          <w:sz w:val="22"/>
          <w:szCs w:val="22"/>
        </w:rPr>
        <w:t xml:space="preserve">Częstochowa,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[data]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ul. Śląska 15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42-217 Częstochowa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NIP: 5732910678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  <w:highlight w:val="yellow"/>
        </w:rPr>
        <w:t xml:space="preserve">[imię i nazwisko opiekuna projektu w PARP]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Polska Agencja Rozwoju Przedsiębiorczości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ul. Pańska 81/83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00-834 Warszawa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jc w:val="both"/>
        <w:rPr>
          <w:rFonts w:ascii="Aptos" w:hAnsi="Aptos" w:cs="Tahoma"/>
          <w:i/>
          <w:iCs/>
          <w:color w:val="000000"/>
          <w:sz w:val="22"/>
          <w:szCs w:val="22"/>
        </w:rPr>
      </w:pPr>
      <w:r>
        <w:rPr>
          <w:rFonts w:ascii="Aptos" w:hAnsi="Aptos" w:cs="Tahoma"/>
          <w:i/>
          <w:iCs/>
          <w:color w:val="000000"/>
          <w:sz w:val="22"/>
          <w:szCs w:val="22"/>
        </w:rPr>
        <w:t xml:space="preserve">Dotyczy: Umowy o dofinansowanie: FENG.01.01-IP.02-4417/23 projekt pt. „Narzędzie do modelowania spersonalizowanej ścieżki kariery zawodowej w oparciu o nową metodę pomiaru potrzeb wewnętrznych człowieka, bazującą na obrazach i modelach sztucznej inteligencji”.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Szanowni Państwo,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Zwracam się z uprzejmą prośbą o wyrażenie zgody na wprowadzenie zmian do projektu w zakresie: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1.</w:t>
      </w:r>
      <w:r>
        <w:rPr>
          <w:rFonts w:ascii="Aptos" w:hAnsi="Aptos" w:cs="Tahoma"/>
          <w:color w:val="000000"/>
          <w:sz w:val="22"/>
          <w:szCs w:val="22"/>
        </w:rPr>
        <w:t xml:space="preserve">	zmiany terminów realizacji zadań projektu oraz związanych z nimi terminów kwalifikowalności wydatków, w tym: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852" w:hanging="284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- zadania 3: z okresu 01.09.2026 –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[28.02.2027]</w:t>
      </w:r>
      <w:r>
        <w:rPr>
          <w:rFonts w:ascii="Aptos" w:hAnsi="Aptos" w:cs="Tahoma"/>
          <w:color w:val="000000"/>
          <w:sz w:val="22"/>
          <w:szCs w:val="22"/>
        </w:rPr>
        <w:t xml:space="preserve"> na okres 01.09.2026 – 30.04.2027 (wydłużenie o 2 miesiące, z 6 do 8 miesięcy);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852" w:hanging="284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- zadania 4: z okresu 01.03.2027 – 31.08.2027 na okres 01.05.2027 – 31.08.2027 (okres realizacji skrócony do 4 miesięcy);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852" w:hanging="0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terminy realizacji zadań 1 (01.10.2025 – 28.02.2026) i 2 (01.03.2026 – 31.08.2026) oraz okres realizacji projektu (01.10.2025 – 31.08.2027) nie ulegają zmianie;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2.</w:t>
      </w:r>
      <w:r>
        <w:rPr>
          <w:rFonts w:ascii="Aptos" w:hAnsi="Aptos" w:cs="Tahoma"/>
          <w:color w:val="000000"/>
          <w:sz w:val="22"/>
          <w:szCs w:val="22"/>
        </w:rPr>
        <w:t xml:space="preserve">	przesunięcia do zadania 3 oszczędności powstałych w zadaniach 1 i 2 w związku z ich zakończeniem (wydatki w tych zadaniach rozliczono na poziomie wykonania); zadanie 3 jest dłuższe o 2 miesiące w stosunku do pierwotnego budżetu z uwagi na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[uzupełnić: przyczyna wydłużenia zadania 3]</w:t>
      </w:r>
      <w:r>
        <w:rPr>
          <w:rFonts w:ascii="Aptos" w:hAnsi="Aptos" w:cs="Tahoma"/>
          <w:color w:val="000000"/>
          <w:sz w:val="22"/>
          <w:szCs w:val="22"/>
        </w:rPr>
        <w:t xml:space="preserve">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3.</w:t>
      </w:r>
      <w:r>
        <w:rPr>
          <w:rFonts w:ascii="Aptos" w:hAnsi="Aptos" w:cs="Tahoma"/>
          <w:color w:val="000000"/>
          <w:sz w:val="22"/>
          <w:szCs w:val="22"/>
        </w:rPr>
        <w:t xml:space="preserve">	rezygnacji z jednego Grafika-Ilustratora – obecnie zaangażowane zasoby realizują obowiązki zaplanowane dla tego stanowiska;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4.</w:t>
      </w:r>
      <w:r>
        <w:rPr>
          <w:rFonts w:ascii="Aptos" w:hAnsi="Aptos" w:cs="Tahoma"/>
          <w:color w:val="000000"/>
          <w:sz w:val="22"/>
          <w:szCs w:val="22"/>
        </w:rPr>
        <w:t xml:space="preserve">	zmiany wymiaru zaangażowania Eksperta ds. psychometrii z 1 etatu na 0,5 etatu od 4. miesiąca realizacji projektu oraz jego ponownego zaangażowania w pełnym wymiarze od listopada 2026 r. (po pozyskaniu osoby o odpowiednich kompetencjach);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5.</w:t>
      </w:r>
      <w:r>
        <w:rPr>
          <w:rFonts w:ascii="Aptos" w:hAnsi="Aptos" w:cs="Tahoma"/>
          <w:color w:val="000000"/>
          <w:sz w:val="22"/>
          <w:szCs w:val="22"/>
        </w:rPr>
        <w:t xml:space="preserve">	korekty pozycji budżetowych wynikających z powyższych zmian oraz z aktualnych kosztów (licencje, amortyzacja laptopów, koszty pośrednie).</w:t>
      </w:r>
    </w:p>
    <w:p>
      <w:pPr>
        <w:keepNext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Powyższe zmiany niosą za sobą następujące zmiany w budżecie projektu (w zł):</w:t>
      </w:r>
    </w:p>
    <w:tbl>
      <w:tblPr>
        <w:tblW w:w="90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50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w="15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Zadanie</w:t>
            </w:r>
          </w:p>
        </w:tc>
        <w:tc>
          <w:tcPr>
            <w:tcW w:w="3780" w:type="dxa"/>
            <w:gridSpan w:val="3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Wydatki kwalifikowalne</w:t>
            </w:r>
          </w:p>
        </w:tc>
        <w:tc>
          <w:tcPr>
            <w:tcW w:w="3780" w:type="dxa"/>
            <w:gridSpan w:val="3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Dofinansowanie</w:t>
            </w:r>
          </w:p>
        </w:tc>
      </w:tr>
      <w:tr>
        <w:trPr>
          <w:cantSplit/>
          <w:tblHeader/>
        </w:trPr>
        <w:tc>
          <w:tcPr>
            <w:tcW w:w="15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dotychczas</w:t>
            </w: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po zmianie</w:t>
            </w: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różnica</w:t>
            </w: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dotychczas</w:t>
            </w: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po zmianie</w:t>
            </w:r>
          </w:p>
        </w:tc>
        <w:tc>
          <w:tcPr>
            <w:tcW w:w="126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różnica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Zadanie 1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868 383,93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807 424,87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−60 959,06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694 707,14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645 939,90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−48 767,24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Zadanie 2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1 203 935,71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1 010 537,41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−193 398,30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963 148,56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808 429,91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−154 718,65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Zadanie 3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1 103 935,71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1 384 363,85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+280 428,14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883 148,56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1 107 491,08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+224 342,52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Zadanie 4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698 237,14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663 476,08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−34 761,06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418 942,28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398 085,65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−20 856,63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Koszty pośrednie (25%)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968 623,12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966 450,55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−2 172,57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739 986,63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739 986,63</w:t>
            </w:r>
          </w:p>
        </w:tc>
        <w:tc>
          <w:tcPr>
            <w:tcW w:w="126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Razem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4 843 115,61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4 832 252,76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−10 862,85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3 699 933,17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3 699 933,17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0,00</w:t>
            </w:r>
          </w:p>
        </w:tc>
      </w:tr>
    </w:tbl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Łączna wartość wydatków kwalifikowalnych ulega zmniejszeniu o 10 862,85 zł (z 4 843 115,61 zł do 4 832 252,76 zł). Kwota dofinansowania (3 699 933,17 zł) nie ulega zmianie. Wydatki ogółem zmniejszają się z 4 866 115,61 zł do 4 832 397,68 zł, a wkład własny z 1 166 182,44 zł do 1 132 464,51 zł. Szczegółowe zestawienie zmian w pozycjach budżetowych stanowi załącznik nr 1 do niniejszego pisma.</w:t>
      </w:r>
    </w:p>
    <w:p>
      <w:pPr>
        <w:keepNext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Uzasadnienie: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Zadania 1 i 2.</w:t>
      </w:r>
      <w:r>
        <w:rPr>
          <w:rFonts w:ascii="Aptos" w:hAnsi="Aptos" w:cs="Tahoma"/>
          <w:color w:val="000000"/>
          <w:sz w:val="22"/>
          <w:szCs w:val="22"/>
        </w:rPr>
        <w:t xml:space="preserve"> Zadania 1 i 2 zostały zakończone, a wydatki w ich ramach rozliczono na poziomie rzeczywistego wykonania. Powstałe oszczędności (60 959,06 zł w zadaniu 1 i 193 398,30 zł w zadaniu 2, łącznie 254 357,36 zł wydatków kwalifikowalnych) zostały przesunięte do zadania 3. Wraz z oszczędnościami w zadaniu 4 (34 761,06 zł) i w kosztach pośrednich (2 172,57 zł) umożliwiły one zwiększenie budżetu zadania 3 o 280 428,14 zł; różnica 10 862,85 zł pozostaje niewykorzystana.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Zadanie 3.</w:t>
      </w:r>
      <w:r>
        <w:rPr>
          <w:rFonts w:ascii="Aptos" w:hAnsi="Aptos" w:cs="Tahoma"/>
          <w:color w:val="000000"/>
          <w:sz w:val="22"/>
          <w:szCs w:val="22"/>
        </w:rPr>
        <w:t xml:space="preserve"> Zadanie 3 jest dłuższe o 2 miesiące w stosunku do pierwotnego budżetu (8 zamiast 6 miesięcy) z uwagi na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[uzupełnić: przyczyna i zakres prac wymagających dodatkowego czasu]</w:t>
      </w:r>
      <w:r>
        <w:rPr>
          <w:rFonts w:ascii="Aptos" w:hAnsi="Aptos" w:cs="Tahoma"/>
          <w:color w:val="000000"/>
          <w:sz w:val="22"/>
          <w:szCs w:val="22"/>
        </w:rPr>
        <w:t xml:space="preserve">. Wydłużenie wymaga zapewnienia zaangażowania zespołu projektowego w zadaniu (pozycje 3.1–3.9, w tym amortyzacja sprzętu) przez dodatkowe 2 miesiące, co zwiększa budżet zadania z 1 103 935,71 zł do 1 384 363,85 zł wydatków kwalifikowalnych. W pozycjach 3.3, 3.4 i 3.5 (Ekspert ds. psychometrii, Senior Developer, Automation QA Engineer) kwoty zostały dostosowane tak, aby łączna kwota dofinansowania projektu nie uległa zwiększeniu.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Zadanie 4.</w:t>
      </w:r>
      <w:r>
        <w:rPr>
          <w:rFonts w:ascii="Aptos" w:hAnsi="Aptos" w:cs="Tahoma"/>
          <w:color w:val="000000"/>
          <w:sz w:val="22"/>
          <w:szCs w:val="22"/>
        </w:rPr>
        <w:t xml:space="preserve"> W związku z wydłużeniem zadania 3 zadanie 4 rozpoczyna się 01.05.2027 r. i trwa 4 miesiące, przy zachowaniu daty zakończenia projektu (31.08.2027 r.). Zakres zadania oraz zaangażowanie zespołu w zadaniu 4 nie ulegają zmianie, z wyjątkiem pozycji 4.7 (amortyzacja laptopów) i 4.9 (Grafik-Ilustrator), w których budżet został zmniejszony w związku ze zmianami opisanymi poniżej.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Grafik-Ilustrator.</w:t>
      </w:r>
      <w:r>
        <w:rPr>
          <w:rFonts w:ascii="Aptos" w:hAnsi="Aptos" w:cs="Tahoma"/>
          <w:color w:val="000000"/>
          <w:sz w:val="22"/>
          <w:szCs w:val="22"/>
        </w:rPr>
        <w:t xml:space="preserve"> Beneficjent rezygnuje z zaangażowania jednego Grafika-Ilustratora (stanowisko nie zostało obsadzone od początku realizacji projektu). Obowiązki zaplanowane dla tego stanowiska są realizowane przez dotychczas zaangażowane zasoby w pełnym zakresie przewidzianym w projekcie. Zmiana powoduje zmniejszenie budżetu w pozycjach 1.6, 2.7, 3.7 i 4.9 łącznie o 169 607,21 zł wydatków kwalifikowalnych (z 282 765,00 zł do 113 157,79 zł).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Ekspert ds. psychometrii.</w:t>
      </w:r>
      <w:r>
        <w:rPr>
          <w:rFonts w:ascii="Aptos" w:hAnsi="Aptos" w:cs="Tahoma"/>
          <w:color w:val="000000"/>
          <w:sz w:val="22"/>
          <w:szCs w:val="22"/>
        </w:rPr>
        <w:t xml:space="preserve"> W trakcie realizacji projektu zaistniała konieczność zmiany wymiaru zaangażowania jednego z dwóch ekspertów ds. psychometrii z 1 etatu na 0,5 etatu od 4. miesiąca realizacji projektu (od stycznia 2026 r.). Po kilku miesiącach poszukiwań Beneficjentowi udało się znaleźć osobę z odpowiednimi kompetencjami, nie niższymi niż ekspert ds. psychometrii wskazany we wniosku o dofinansowanie. Ponowne zaangażowanie w projekcie jest możliwe od listopada 2026 r. (14. miesiąc realizacji projektu). W rezultacie łączne zaangażowanie ekspertów ds. psychometrii wynosi: w miesiącach 1–3 – 2 etaty, w miesiącach 4–13 (styczeń–październik 2026 r.) – 1,5 etatu, od miesiąca 14 (listopad 2026 r.) do zakończenia projektu – 2 etaty, zgodnie z wnioskiem o dofinansowanie. Zmiana znajduje odzwierciedlenie w pozycjach 1.3, 2.3 i 3.3 budżetu.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[opcjonalnie: Dokumenty potwierdzające kompetencje nowej osoby zostaną przekazane na wniosek Agencji.]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Licencje, amortyzacja i koszty pośrednie.</w:t>
      </w:r>
      <w:r>
        <w:rPr>
          <w:rFonts w:ascii="Aptos" w:hAnsi="Aptos" w:cs="Tahoma"/>
          <w:color w:val="000000"/>
          <w:sz w:val="22"/>
          <w:szCs w:val="22"/>
        </w:rPr>
        <w:t xml:space="preserve"> Oszczędności w pozycji 2.8 „Licencje psychometrycznego narzędzia referencyjnego” (z 100 000,00 zł do 630,08 zł wydatków kwalifikowalnych) wynikają z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[uzupełnić: przyczyna oszczędności]</w:t>
      </w:r>
      <w:r>
        <w:rPr>
          <w:rFonts w:ascii="Aptos" w:hAnsi="Aptos" w:cs="Tahoma"/>
          <w:color w:val="000000"/>
          <w:sz w:val="22"/>
          <w:szCs w:val="22"/>
        </w:rPr>
        <w:t xml:space="preserve">. Skorygowano ponadto miesięczny koszt amortyzacji laptopów dla inżynierów AI do 569,02 zł (pozycje 1.8, 2.9, 3.8 i 4.7). Koszty pośrednie (stawka ryczałtowa 25%) przeliczono od zmienionych kosztów bezpośrednich kwalifikowalnych (z 968 623,12 zł do 966 450,55 zł).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Wprowadzenie przedmiotowych zmian ma na celu zabezpieczenie prawidłowej realizacji projektu i osiągnięcia zakładanych rezultatów. Zmiany nie wpłyną na zakres merytoryczny projektu, termin jego zakończenia (31.08.2027 r.) ani na wysokość dofinansowania (3 699 933,17 zł).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0" w:line="276" w:lineRule="auto"/>
        <w:jc w:val="both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Mając na uwadze powyższe oraz w celu zagwarantowania realizacji projektu z sukcesem wprowadzenie wyżej uzasadnionych zmian jest niezbędne.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ab/>
        <w:tab/>
        <w:tab/>
        <w:tab/>
        <w:tab/>
      </w:r>
      <w:r>
        <w:rPr>
          <w:rFonts w:ascii="Aptos" w:hAnsi="Aptos" w:cs="Tahoma"/>
          <w:color w:val="000000"/>
          <w:sz w:val="22"/>
          <w:szCs w:val="22"/>
        </w:rPr>
        <w:t xml:space="preserve">……………………………………………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ab/>
        <w:tab/>
        <w:tab/>
        <w:tab/>
        <w:tab/>
      </w:r>
      <w:r>
        <w:rPr>
          <w:rFonts w:ascii="Aptos" w:hAnsi="Aptos" w:cs="Tahoma"/>
          <w:color w:val="000000"/>
          <w:sz w:val="22"/>
          <w:szCs w:val="22"/>
          <w:highlight w:val="yellow"/>
        </w:rPr>
        <w:t xml:space="preserve">[imię i nazwisko osoby upoważnionej]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jc w:val="left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Załączniki: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1. Zestawienie zmian w pozycjach budżetowych.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left"/>
        <w:rPr>
          <w:rFonts w:ascii="Aptos" w:hAnsi="Aptos" w:cs="Tahoma"/>
          <w:b/>
          <w:bCs/>
          <w:color w:val="000000"/>
          <w:sz w:val="22"/>
          <w:szCs w:val="22"/>
        </w:rPr>
      </w:pPr>
      <w:r>
        <w:br w:type="page"/>
      </w: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Załącznik nr 1 – Zestawienie zmian w pozycjach budżetowych (w zł)</w:t>
      </w:r>
    </w:p>
    <w:tbl>
      <w:tblPr>
        <w:tblW w:w="86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650"/>
        <w:gridCol w:w="275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w="65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Poz.</w:t>
            </w:r>
          </w:p>
        </w:tc>
        <w:tc>
          <w:tcPr>
            <w:tcW w:w="275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Nazwa pozycji</w:t>
            </w:r>
          </w:p>
        </w:tc>
        <w:tc>
          <w:tcPr>
            <w:tcW w:w="2600" w:type="dxa"/>
            <w:gridSpan w:val="2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Wydatki kwalifikowalne</w:t>
            </w:r>
          </w:p>
        </w:tc>
        <w:tc>
          <w:tcPr>
            <w:tcW w:w="2600" w:type="dxa"/>
            <w:gridSpan w:val="2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Dofinansowanie</w:t>
            </w:r>
          </w:p>
        </w:tc>
      </w:tr>
      <w:tr>
        <w:trPr>
          <w:cantSplit/>
          <w:tblHeader/>
        </w:trPr>
        <w:tc>
          <w:tcPr>
            <w:tcW w:w="65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275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3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dotychczas</w:t>
            </w:r>
          </w:p>
        </w:tc>
        <w:tc>
          <w:tcPr>
            <w:tcW w:w="13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po zmianie</w:t>
            </w:r>
          </w:p>
        </w:tc>
        <w:tc>
          <w:tcPr>
            <w:tcW w:w="13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dotychczas</w:t>
            </w:r>
          </w:p>
        </w:tc>
        <w:tc>
          <w:tcPr>
            <w:tcW w:w="1300" w:type="dxa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 xml:space="preserve">po zmianie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Ekspert ds. psychometrii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135 550,00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121 994,98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108 440,00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97 595,98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Senior Developer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51 562,50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50 828,54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41 250,00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40 662,83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Automation QA Engineer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37 200,00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34 550,27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29 760,00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27 640,23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Grafik-Ilustrator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67 325,00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24 600,00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53 860,00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19 680,00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Amortyzacja – Laptopy dla inżynierów AI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3 571,43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2 276,08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2 857,14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1 820,86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Big Data Engineer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113 160,00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113 168,16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90 528,00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90 534,53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Ekspert ds. psychometrii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162 660,00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121 024,78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130 128,00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96 819,80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Automation QA Engineer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44 640,00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44 388,77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35 712,00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35 511,02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2.7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Grafik-Ilustrator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80 790,00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29 517,79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64 632,00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23 614,23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2.8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Licencje psychometrycznego narzędzia referencyjnego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100 000,00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630,08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80 000,00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504,06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2.9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Amortyzacja – Laptopy dla inżynierów AI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4 285,71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3 414,12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3 428,56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2 731,30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2.10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Architekt rozwiązań chmurowych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118 500,00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118 493,71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94 800,00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94 794,97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Ekspert AI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332 400,00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443 200,00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265 920,00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354 560,00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3.2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Big Data Engineer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113 160,00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150 880,00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90 528,00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120 704,00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3.3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Ekspert ds. psychometrii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162 660,00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201 199,15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130 128,00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160 959,32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Senior Developer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123 750,00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163 274,85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99 000,00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130 619,88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Automation QA Engineer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44 640,00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58 897,69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35 712,00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47 118,15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3.6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Analityk danych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123 750,00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165 000,00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99 000,00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132 000,00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3.7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Grafik-Ilustrator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80 790,00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39 360,00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64 632,00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31 488,00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3.8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Amortyzacja – Laptopy dla inżynierów AI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4 285,71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4 552,16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3 428,56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3 641,73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3.9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Architekt rozwiązań chmurowych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118 500,00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158 000,00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94 800,00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126 400,00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4.7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Amortyzacja – Laptopy dla inżynierów AI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2 857,14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2 276,08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1 714,28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1 365,65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4.9</w:t>
            </w: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Grafik-Ilustrator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53 860,00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19 680,00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32 316,00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11 808,00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75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Koszty pośrednie (25%)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968 623,12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966 450,55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739 986,63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 xml:space="preserve">739 986,63</w:t>
            </w:r>
          </w:p>
        </w:tc>
      </w:tr>
    </w:tbl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left"/>
        <w:rPr>
          <w:rFonts w:ascii="Aptos" w:hAnsi="Aptos" w:cs="Tahoma"/>
          <w:i/>
          <w:iCs/>
          <w:color w:val="000000"/>
          <w:sz w:val="22"/>
          <w:szCs w:val="22"/>
        </w:rPr>
      </w:pPr>
      <w:r>
        <w:rPr>
          <w:rFonts w:ascii="Aptos" w:hAnsi="Aptos" w:cs="Tahoma"/>
          <w:i/>
          <w:iCs/>
          <w:color w:val="000000"/>
          <w:sz w:val="22"/>
          <w:szCs w:val="22"/>
        </w:rPr>
        <w:t xml:space="preserve">Pozostałe pozycje budżetowe nie ulegają zmianie.</w:t>
      </w:r>
    </w:p>
    <w:sectPr w:rsidR="00024E1A" w:rsidRPr="00BD717E" w:rsidSect="00CB3B11">
      <w:headerReference w:type="default" r:id="rId7"/>
      <w:footerReference w:type="even" r:id="rId8"/>
      <w:footerReference w:type="default" r:id="rId9"/>
      <w:pgSz w:w="11906" w:h="16838"/>
      <w:pgMar w:top="903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9FE2" w14:textId="77777777" w:rsidR="007663D1" w:rsidRDefault="007663D1" w:rsidP="008130AF">
      <w:r>
        <w:separator/>
      </w:r>
    </w:p>
  </w:endnote>
  <w:endnote w:type="continuationSeparator" w:id="0">
    <w:p w14:paraId="3468A5A3" w14:textId="77777777" w:rsidR="007663D1" w:rsidRDefault="007663D1" w:rsidP="0081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742681409"/>
      <w:docPartObj>
        <w:docPartGallery w:val="Page Numbers (Bottom of Page)"/>
        <w:docPartUnique/>
      </w:docPartObj>
    </w:sdtPr>
    <w:sdtContent>
      <w:p w14:paraId="1A8784B0" w14:textId="227C995D" w:rsidR="002939B0" w:rsidRDefault="002939B0" w:rsidP="00746EB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3CF4E87B" w14:textId="77777777" w:rsidR="002939B0" w:rsidRDefault="002939B0" w:rsidP="002939B0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1784839977"/>
      <w:docPartObj>
        <w:docPartGallery w:val="Page Numbers (Bottom of Page)"/>
        <w:docPartUnique/>
      </w:docPartObj>
    </w:sdtPr>
    <w:sdtContent>
      <w:p w14:paraId="7166CD4B" w14:textId="78736F4A" w:rsidR="002939B0" w:rsidRPr="00F90960" w:rsidRDefault="002939B0" w:rsidP="00746EB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 w:rsidRPr="00F90960"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 w:rsidRPr="00F90960">
          <w:rPr>
            <w:rStyle w:val="Numerstrony"/>
            <w:noProof/>
          </w:rPr>
          <w:t>2</w:t>
        </w:r>
        <w:r>
          <w:rPr>
            <w:rStyle w:val="Numerstrony"/>
          </w:rPr>
          <w:fldChar w:fldCharType="end"/>
        </w:r>
      </w:p>
    </w:sdtContent>
  </w:sdt>
  <w:p>
    <w:pPr>
      <w:pStyle w:val="Stopka"/>
      <w:jc w:val="center"/>
      <w:rPr>
        <w:rFonts w:ascii="Arial" w:hAnsi="Arial" w:cs="Arial"/>
        <w:i/>
        <w:iCs/>
        <w:color w:val="000000"/>
        <w:sz w:val="15"/>
        <w:szCs w:val="15"/>
      </w:rPr>
    </w:pPr>
    <w:r>
      <w:rPr>
        <w:rFonts w:ascii="Arial" w:hAnsi="Arial" w:cs="Arial"/>
        <w:i/>
        <w:iCs/>
        <w:color w:val="000000"/>
        <w:sz w:val="15"/>
        <w:szCs w:val="15"/>
      </w:rPr>
      <w:t>Evorain Sp. z o.o., ul. Śląska 15, 42-217 Częstochowa, NIP: 5732910678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2E73" w14:textId="77777777" w:rsidR="007663D1" w:rsidRDefault="007663D1" w:rsidP="008130AF">
      <w:r>
        <w:separator/>
      </w:r>
    </w:p>
  </w:footnote>
  <w:footnote w:type="continuationSeparator" w:id="0">
    <w:p w14:paraId="61642935" w14:textId="77777777" w:rsidR="007663D1" w:rsidRDefault="007663D1" w:rsidP="0081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83A0" w14:textId="5121AE4F" w:rsidR="008130AF" w:rsidRDefault="008130AF">
    <w:pPr>
      <w:pStyle w:val="Nagwek"/>
    </w:pPr>
    <w:r w:rsidRPr="008130AF">
      <w:rPr>
        <w:noProof/>
      </w:rPr>
      <w:drawing>
        <wp:inline distT="0" distB="0" distL="0" distR="0" wp14:anchorId="1428E32B" wp14:editId="66742FC1">
          <wp:extent cx="5760720" cy="599440"/>
          <wp:effectExtent l="0" t="0" r="5080" b="0"/>
          <wp:docPr id="1774954754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495475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FF1"/>
    <w:multiLevelType w:val="hybridMultilevel"/>
    <w:tmpl w:val="9C46BB9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B63"/>
    <w:multiLevelType w:val="hybridMultilevel"/>
    <w:tmpl w:val="BF48BD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5539D"/>
    <w:multiLevelType w:val="multilevel"/>
    <w:tmpl w:val="067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2FDC"/>
    <w:multiLevelType w:val="hybridMultilevel"/>
    <w:tmpl w:val="9F0E49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4752B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0554A"/>
    <w:multiLevelType w:val="hybridMultilevel"/>
    <w:tmpl w:val="61CC33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337A4"/>
    <w:multiLevelType w:val="hybridMultilevel"/>
    <w:tmpl w:val="E340AC6E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3A27E2E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240A6"/>
    <w:multiLevelType w:val="hybridMultilevel"/>
    <w:tmpl w:val="288609F8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692F6C43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F2266"/>
    <w:multiLevelType w:val="hybridMultilevel"/>
    <w:tmpl w:val="DA72CF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E2B4F"/>
    <w:multiLevelType w:val="hybridMultilevel"/>
    <w:tmpl w:val="1FF44516"/>
    <w:lvl w:ilvl="0" w:tplc="F9E20AC8">
      <w:start w:val="13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625639">
    <w:abstractNumId w:val="6"/>
  </w:num>
  <w:num w:numId="2" w16cid:durableId="1269433260">
    <w:abstractNumId w:val="3"/>
  </w:num>
  <w:num w:numId="3" w16cid:durableId="2131628957">
    <w:abstractNumId w:val="5"/>
  </w:num>
  <w:num w:numId="4" w16cid:durableId="134955335">
    <w:abstractNumId w:val="0"/>
  </w:num>
  <w:num w:numId="5" w16cid:durableId="1666547646">
    <w:abstractNumId w:val="8"/>
  </w:num>
  <w:num w:numId="6" w16cid:durableId="1469935125">
    <w:abstractNumId w:val="10"/>
  </w:num>
  <w:num w:numId="7" w16cid:durableId="1983076117">
    <w:abstractNumId w:val="1"/>
  </w:num>
  <w:num w:numId="8" w16cid:durableId="148789675">
    <w:abstractNumId w:val="9"/>
  </w:num>
  <w:num w:numId="9" w16cid:durableId="1743484862">
    <w:abstractNumId w:val="11"/>
  </w:num>
  <w:num w:numId="10" w16cid:durableId="908080607">
    <w:abstractNumId w:val="4"/>
  </w:num>
  <w:num w:numId="11" w16cid:durableId="1873493347">
    <w:abstractNumId w:val="7"/>
  </w:num>
  <w:num w:numId="12" w16cid:durableId="1728869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75"/>
    <w:rsid w:val="00013C2F"/>
    <w:rsid w:val="00024E1A"/>
    <w:rsid w:val="0004229C"/>
    <w:rsid w:val="0004562A"/>
    <w:rsid w:val="000D5023"/>
    <w:rsid w:val="001457DC"/>
    <w:rsid w:val="002011BA"/>
    <w:rsid w:val="002359CE"/>
    <w:rsid w:val="00245084"/>
    <w:rsid w:val="00264198"/>
    <w:rsid w:val="002723C9"/>
    <w:rsid w:val="0028164A"/>
    <w:rsid w:val="002939B0"/>
    <w:rsid w:val="002A50DC"/>
    <w:rsid w:val="002E65A5"/>
    <w:rsid w:val="0031187E"/>
    <w:rsid w:val="00440A61"/>
    <w:rsid w:val="004729A4"/>
    <w:rsid w:val="00481616"/>
    <w:rsid w:val="004E6232"/>
    <w:rsid w:val="004F7A8E"/>
    <w:rsid w:val="005050A9"/>
    <w:rsid w:val="0051101F"/>
    <w:rsid w:val="00517136"/>
    <w:rsid w:val="0053086F"/>
    <w:rsid w:val="00554D1C"/>
    <w:rsid w:val="00591279"/>
    <w:rsid w:val="00632056"/>
    <w:rsid w:val="00636535"/>
    <w:rsid w:val="00660E98"/>
    <w:rsid w:val="006913F3"/>
    <w:rsid w:val="00692656"/>
    <w:rsid w:val="0070176F"/>
    <w:rsid w:val="007268AD"/>
    <w:rsid w:val="007316A6"/>
    <w:rsid w:val="007663D1"/>
    <w:rsid w:val="007725B6"/>
    <w:rsid w:val="00775745"/>
    <w:rsid w:val="00792CDC"/>
    <w:rsid w:val="007F5AF5"/>
    <w:rsid w:val="008130AF"/>
    <w:rsid w:val="008A51EF"/>
    <w:rsid w:val="008B0249"/>
    <w:rsid w:val="008B53BC"/>
    <w:rsid w:val="008C1ABF"/>
    <w:rsid w:val="00905565"/>
    <w:rsid w:val="009537F7"/>
    <w:rsid w:val="00964BA1"/>
    <w:rsid w:val="00985E7C"/>
    <w:rsid w:val="009869A6"/>
    <w:rsid w:val="009A1D1B"/>
    <w:rsid w:val="009B258D"/>
    <w:rsid w:val="009E09BE"/>
    <w:rsid w:val="00A02B94"/>
    <w:rsid w:val="00A60BDF"/>
    <w:rsid w:val="00AA729F"/>
    <w:rsid w:val="00AA79BE"/>
    <w:rsid w:val="00AB77FF"/>
    <w:rsid w:val="00B14270"/>
    <w:rsid w:val="00B25D3B"/>
    <w:rsid w:val="00B36E2F"/>
    <w:rsid w:val="00B61282"/>
    <w:rsid w:val="00BD717E"/>
    <w:rsid w:val="00BF1562"/>
    <w:rsid w:val="00C2138F"/>
    <w:rsid w:val="00C34AE8"/>
    <w:rsid w:val="00C43175"/>
    <w:rsid w:val="00CB3B11"/>
    <w:rsid w:val="00CB7123"/>
    <w:rsid w:val="00CE62F9"/>
    <w:rsid w:val="00D13226"/>
    <w:rsid w:val="00D415BE"/>
    <w:rsid w:val="00DB591A"/>
    <w:rsid w:val="00E14CE7"/>
    <w:rsid w:val="00E15A08"/>
    <w:rsid w:val="00E40313"/>
    <w:rsid w:val="00E57641"/>
    <w:rsid w:val="00EC4C75"/>
    <w:rsid w:val="00ED14E3"/>
    <w:rsid w:val="00EE62F4"/>
    <w:rsid w:val="00F0599E"/>
    <w:rsid w:val="00F54F33"/>
    <w:rsid w:val="00F56817"/>
    <w:rsid w:val="00F77F8D"/>
    <w:rsid w:val="00F90960"/>
    <w:rsid w:val="00FC10F6"/>
    <w:rsid w:val="00FC7D62"/>
    <w:rsid w:val="00FE46A0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84CB"/>
  <w15:chartTrackingRefBased/>
  <w15:docId w15:val="{8237BFF5-AE1D-5D41-936B-9E37518D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D717E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4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3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3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317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317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31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31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31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31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3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3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31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31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317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317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317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130A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130AF"/>
  </w:style>
  <w:style w:type="paragraph" w:styleId="Stopka">
    <w:name w:val="footer"/>
    <w:basedOn w:val="Normalny"/>
    <w:link w:val="StopkaZnak"/>
    <w:uiPriority w:val="99"/>
    <w:unhideWhenUsed/>
    <w:rsid w:val="008130A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130AF"/>
  </w:style>
  <w:style w:type="character" w:styleId="Numerstrony">
    <w:name w:val="page number"/>
    <w:basedOn w:val="Domylnaczcionkaakapitu"/>
    <w:uiPriority w:val="99"/>
    <w:semiHidden/>
    <w:unhideWhenUsed/>
    <w:rsid w:val="002939B0"/>
  </w:style>
  <w:style w:type="table" w:styleId="Tabela-Siatka">
    <w:name w:val="Table Grid"/>
    <w:basedOn w:val="Standardowy"/>
    <w:uiPriority w:val="39"/>
    <w:rsid w:val="007F5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638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retajczyke@gmail.com</dc:creator>
  <cp:keywords/>
  <dc:description/>
  <cp:lastModifiedBy>Ewa Retajczyk</cp:lastModifiedBy>
  <cp:revision>15</cp:revision>
  <cp:lastPrinted>2024-05-14T07:35:00Z</cp:lastPrinted>
  <dcterms:created xsi:type="dcterms:W3CDTF">2024-05-27T09:23:00Z</dcterms:created>
  <dcterms:modified xsi:type="dcterms:W3CDTF">2025-09-18T09:58:00Z</dcterms:modified>
</cp:coreProperties>
</file>