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K6-07: sprawozdanie za II kwartał 2026 w modelu finansowym Everest11</w:t>
      </w:r>
    </w:p>
    <w:p>
      <w:r>
        <w:rPr>
          <w:b w:val="0"/>
        </w:rPr>
        <w:t>Wniosek FENG.01.01-IP.01-A1RR/26, CargoDT. Pakiet WP11 (uwagi K6-07, K6-06, K6-04, K6-08 i powiązane). Dane z bilansu i rachunku zysków i strat Everest11 na 30.06.2026 r., podpisanych elektronicznie 02.10.2026. Zmiany zostały sprawdzone na modelu: policzyłam go przed zmianą i po zmianie (to samo przeliczenie, wartości przed zmianą zgadzają się z Twoim plikiem).</w:t>
      </w:r>
    </w:p>
    <w:p>
      <w:pPr>
        <w:pStyle w:val="Heading1"/>
      </w:pPr>
      <w:r>
        <w:t>1. Najważniejsze liczby za pierwsze półrocze 2026</w:t>
      </w:r>
    </w:p>
    <w:tbl>
      <w:tblPr>
        <w:tblStyle w:val="TableGrid"/>
        <w:tblW w:type="auto" w:w="0"/>
        <w:tblLook w:firstColumn="1" w:firstRow="1" w:lastColumn="0" w:lastRow="0" w:noHBand="0" w:noVBand="1" w:val="04A0"/>
      </w:tblPr>
      <w:tblGrid>
        <w:gridCol w:w="3213"/>
        <w:gridCol w:w="3213"/>
        <w:gridCol w:w="3213"/>
      </w:tblGrid>
      <w:tr>
        <w:tc>
          <w:tcPr>
            <w:tcW w:type="dxa" w:w="3685"/>
          </w:tcPr>
          <w:p>
            <w:r/>
            <w:r>
              <w:rPr>
                <w:b/>
                <w:sz w:val="18"/>
              </w:rPr>
              <w:t>Pozycja</w:t>
            </w:r>
          </w:p>
        </w:tc>
        <w:tc>
          <w:tcPr>
            <w:tcW w:type="dxa" w:w="3005"/>
          </w:tcPr>
          <w:p>
            <w:r/>
            <w:r>
              <w:rPr>
                <w:b/>
                <w:sz w:val="18"/>
              </w:rPr>
              <w:t>31.03.2026 (stary model)</w:t>
            </w:r>
          </w:p>
        </w:tc>
        <w:tc>
          <w:tcPr>
            <w:tcW w:type="dxa" w:w="3061"/>
          </w:tcPr>
          <w:p>
            <w:r/>
            <w:r>
              <w:rPr>
                <w:b/>
                <w:sz w:val="18"/>
              </w:rPr>
              <w:t>30.06.2026 (nowy model)</w:t>
            </w:r>
          </w:p>
        </w:tc>
      </w:tr>
      <w:tr>
        <w:tc>
          <w:tcPr>
            <w:tcW w:type="dxa" w:w="3685"/>
          </w:tcPr>
          <w:p>
            <w:r/>
            <w:r>
              <w:rPr>
                <w:b w:val="0"/>
                <w:sz w:val="18"/>
              </w:rPr>
              <w:t>Przychody netto ze sprzedaży (od 1.01)</w:t>
            </w:r>
          </w:p>
        </w:tc>
        <w:tc>
          <w:tcPr>
            <w:tcW w:type="dxa" w:w="3005"/>
          </w:tcPr>
          <w:p>
            <w:r/>
            <w:r>
              <w:rPr>
                <w:b w:val="0"/>
                <w:sz w:val="18"/>
              </w:rPr>
              <w:t>5 050 965,33 zł</w:t>
            </w:r>
          </w:p>
        </w:tc>
        <w:tc>
          <w:tcPr>
            <w:tcW w:type="dxa" w:w="3061"/>
          </w:tcPr>
          <w:p>
            <w:r/>
            <w:r>
              <w:rPr>
                <w:b w:val="0"/>
                <w:sz w:val="18"/>
              </w:rPr>
              <w:t>9 763 417,56 zł</w:t>
            </w:r>
          </w:p>
        </w:tc>
      </w:tr>
      <w:tr>
        <w:tc>
          <w:tcPr>
            <w:tcW w:type="dxa" w:w="3685"/>
          </w:tcPr>
          <w:p>
            <w:r/>
            <w:r>
              <w:rPr>
                <w:b w:val="0"/>
                <w:sz w:val="18"/>
              </w:rPr>
              <w:t>Koszty działalności operacyjnej</w:t>
            </w:r>
          </w:p>
        </w:tc>
        <w:tc>
          <w:tcPr>
            <w:tcW w:type="dxa" w:w="3005"/>
          </w:tcPr>
          <w:p>
            <w:r/>
            <w:r>
              <w:rPr>
                <w:b w:val="0"/>
                <w:sz w:val="18"/>
              </w:rPr>
              <w:t>4 730 572,40 zł</w:t>
            </w:r>
          </w:p>
        </w:tc>
        <w:tc>
          <w:tcPr>
            <w:tcW w:type="dxa" w:w="3061"/>
          </w:tcPr>
          <w:p>
            <w:r/>
            <w:r>
              <w:rPr>
                <w:b w:val="0"/>
                <w:sz w:val="18"/>
              </w:rPr>
              <w:t>9 144 947,60 zł</w:t>
            </w:r>
          </w:p>
        </w:tc>
      </w:tr>
      <w:tr>
        <w:tc>
          <w:tcPr>
            <w:tcW w:type="dxa" w:w="3685"/>
          </w:tcPr>
          <w:p>
            <w:r/>
            <w:r>
              <w:rPr>
                <w:b w:val="0"/>
                <w:sz w:val="18"/>
              </w:rPr>
              <w:t>w tym usługi obce</w:t>
            </w:r>
          </w:p>
        </w:tc>
        <w:tc>
          <w:tcPr>
            <w:tcW w:type="dxa" w:w="3005"/>
          </w:tcPr>
          <w:p>
            <w:r/>
            <w:r>
              <w:rPr>
                <w:b w:val="0"/>
                <w:sz w:val="18"/>
              </w:rPr>
              <w:t>4 596 378,45 zł</w:t>
            </w:r>
          </w:p>
        </w:tc>
        <w:tc>
          <w:tcPr>
            <w:tcW w:type="dxa" w:w="3061"/>
          </w:tcPr>
          <w:p>
            <w:r/>
            <w:r>
              <w:rPr>
                <w:b w:val="0"/>
                <w:sz w:val="18"/>
              </w:rPr>
              <w:t>8 884 709,98 zł (97% kosztów)</w:t>
            </w:r>
          </w:p>
        </w:tc>
      </w:tr>
      <w:tr>
        <w:tc>
          <w:tcPr>
            <w:tcW w:type="dxa" w:w="3685"/>
          </w:tcPr>
          <w:p>
            <w:r/>
            <w:r>
              <w:rPr>
                <w:b w:val="0"/>
                <w:sz w:val="18"/>
              </w:rPr>
              <w:t>Zysk netto</w:t>
            </w:r>
          </w:p>
        </w:tc>
        <w:tc>
          <w:tcPr>
            <w:tcW w:type="dxa" w:w="3005"/>
          </w:tcPr>
          <w:p>
            <w:r/>
            <w:r>
              <w:rPr>
                <w:b w:val="0"/>
                <w:sz w:val="18"/>
              </w:rPr>
              <w:t>259 518,27 zł</w:t>
            </w:r>
          </w:p>
        </w:tc>
        <w:tc>
          <w:tcPr>
            <w:tcW w:type="dxa" w:w="3061"/>
          </w:tcPr>
          <w:p>
            <w:r/>
            <w:r>
              <w:rPr>
                <w:b w:val="0"/>
                <w:sz w:val="18"/>
              </w:rPr>
              <w:t>500 960,67 zł (rentowność netto 5,1%)</w:t>
            </w:r>
          </w:p>
        </w:tc>
      </w:tr>
      <w:tr>
        <w:tc>
          <w:tcPr>
            <w:tcW w:type="dxa" w:w="3685"/>
          </w:tcPr>
          <w:p>
            <w:r/>
            <w:r>
              <w:rPr>
                <w:b w:val="0"/>
                <w:sz w:val="18"/>
              </w:rPr>
              <w:t>Należności z tytułu dostaw i usług</w:t>
            </w:r>
          </w:p>
        </w:tc>
        <w:tc>
          <w:tcPr>
            <w:tcW w:type="dxa" w:w="3005"/>
          </w:tcPr>
          <w:p>
            <w:r/>
            <w:r>
              <w:rPr>
                <w:b w:val="0"/>
                <w:sz w:val="18"/>
              </w:rPr>
              <w:t>3 070 704,26 zł</w:t>
            </w:r>
          </w:p>
        </w:tc>
        <w:tc>
          <w:tcPr>
            <w:tcW w:type="dxa" w:w="3061"/>
          </w:tcPr>
          <w:p>
            <w:r/>
            <w:r>
              <w:rPr>
                <w:b w:val="0"/>
                <w:sz w:val="18"/>
              </w:rPr>
              <w:t>1 999 624,57 zł</w:t>
            </w:r>
          </w:p>
        </w:tc>
      </w:tr>
      <w:tr>
        <w:tc>
          <w:tcPr>
            <w:tcW w:type="dxa" w:w="3685"/>
          </w:tcPr>
          <w:p>
            <w:r/>
            <w:r>
              <w:rPr>
                <w:b w:val="0"/>
                <w:sz w:val="18"/>
              </w:rPr>
              <w:t>Środki pieniężne</w:t>
            </w:r>
          </w:p>
        </w:tc>
        <w:tc>
          <w:tcPr>
            <w:tcW w:type="dxa" w:w="3005"/>
          </w:tcPr>
          <w:p>
            <w:r/>
            <w:r>
              <w:rPr>
                <w:b w:val="0"/>
                <w:sz w:val="18"/>
              </w:rPr>
              <w:t>517 227,56 zł</w:t>
            </w:r>
          </w:p>
        </w:tc>
        <w:tc>
          <w:tcPr>
            <w:tcW w:type="dxa" w:w="3061"/>
          </w:tcPr>
          <w:p>
            <w:r/>
            <w:r>
              <w:rPr>
                <w:b w:val="0"/>
                <w:sz w:val="18"/>
              </w:rPr>
              <w:t>193 600,00 zł</w:t>
            </w:r>
          </w:p>
        </w:tc>
      </w:tr>
      <w:tr>
        <w:tc>
          <w:tcPr>
            <w:tcW w:type="dxa" w:w="3685"/>
          </w:tcPr>
          <w:p>
            <w:r/>
            <w:r>
              <w:rPr>
                <w:b w:val="0"/>
                <w:sz w:val="18"/>
              </w:rPr>
              <w:t>Zobowiązania z tytułu dostaw i usług</w:t>
            </w:r>
          </w:p>
        </w:tc>
        <w:tc>
          <w:tcPr>
            <w:tcW w:type="dxa" w:w="3005"/>
          </w:tcPr>
          <w:p>
            <w:r/>
            <w:r>
              <w:rPr>
                <w:b w:val="0"/>
                <w:sz w:val="18"/>
              </w:rPr>
              <w:t>3 090 894,31 zł</w:t>
            </w:r>
          </w:p>
        </w:tc>
        <w:tc>
          <w:tcPr>
            <w:tcW w:type="dxa" w:w="3061"/>
          </w:tcPr>
          <w:p>
            <w:r/>
            <w:r>
              <w:rPr>
                <w:b w:val="0"/>
                <w:sz w:val="18"/>
              </w:rPr>
              <w:t>1 444 217,55 zł</w:t>
            </w:r>
          </w:p>
        </w:tc>
      </w:tr>
      <w:tr>
        <w:tc>
          <w:tcPr>
            <w:tcW w:type="dxa" w:w="3685"/>
          </w:tcPr>
          <w:p>
            <w:r/>
            <w:r>
              <w:rPr>
                <w:b w:val="0"/>
                <w:sz w:val="18"/>
              </w:rPr>
              <w:t>Kapitał własny</w:t>
            </w:r>
          </w:p>
        </w:tc>
        <w:tc>
          <w:tcPr>
            <w:tcW w:type="dxa" w:w="3005"/>
          </w:tcPr>
          <w:p>
            <w:r/>
            <w:r>
              <w:rPr>
                <w:b w:val="0"/>
                <w:sz w:val="18"/>
              </w:rPr>
              <w:t>351 628,22 zł</w:t>
            </w:r>
          </w:p>
        </w:tc>
        <w:tc>
          <w:tcPr>
            <w:tcW w:type="dxa" w:w="3061"/>
          </w:tcPr>
          <w:p>
            <w:r/>
            <w:r>
              <w:rPr>
                <w:b w:val="0"/>
                <w:sz w:val="18"/>
              </w:rPr>
              <w:t>593 070,62 zł</w:t>
            </w:r>
          </w:p>
        </w:tc>
      </w:tr>
      <w:tr>
        <w:tc>
          <w:tcPr>
            <w:tcW w:type="dxa" w:w="3685"/>
          </w:tcPr>
          <w:p>
            <w:r/>
            <w:r>
              <w:rPr>
                <w:b w:val="0"/>
                <w:sz w:val="18"/>
              </w:rPr>
              <w:t>Suma bilansowa</w:t>
            </w:r>
          </w:p>
        </w:tc>
        <w:tc>
          <w:tcPr>
            <w:tcW w:type="dxa" w:w="3005"/>
          </w:tcPr>
          <w:p>
            <w:r/>
            <w:r>
              <w:rPr>
                <w:b w:val="0"/>
                <w:sz w:val="18"/>
              </w:rPr>
              <w:t>3 595 028,53 zł</w:t>
            </w:r>
          </w:p>
        </w:tc>
        <w:tc>
          <w:tcPr>
            <w:tcW w:type="dxa" w:w="3061"/>
          </w:tcPr>
          <w:p>
            <w:r/>
            <w:r>
              <w:rPr>
                <w:b w:val="0"/>
                <w:sz w:val="18"/>
              </w:rPr>
              <w:t>2 202 168,17 zł</w:t>
            </w:r>
          </w:p>
        </w:tc>
      </w:tr>
      <w:tr>
        <w:tc>
          <w:tcPr>
            <w:tcW w:type="dxa" w:w="3685"/>
          </w:tcPr>
          <w:p>
            <w:r/>
            <w:r>
              <w:rPr>
                <w:b w:val="0"/>
                <w:sz w:val="18"/>
              </w:rPr>
              <w:t>Cykl rotacji należności (model)</w:t>
            </w:r>
          </w:p>
        </w:tc>
        <w:tc>
          <w:tcPr>
            <w:tcW w:type="dxa" w:w="3005"/>
          </w:tcPr>
          <w:p>
            <w:r/>
            <w:r>
              <w:rPr>
                <w:b w:val="0"/>
                <w:sz w:val="18"/>
              </w:rPr>
              <w:t>55 dni</w:t>
            </w:r>
          </w:p>
        </w:tc>
        <w:tc>
          <w:tcPr>
            <w:tcW w:type="dxa" w:w="3061"/>
          </w:tcPr>
          <w:p>
            <w:r/>
            <w:r>
              <w:rPr>
                <w:b w:val="0"/>
                <w:sz w:val="18"/>
              </w:rPr>
              <w:t>37 dni</w:t>
            </w:r>
          </w:p>
        </w:tc>
      </w:tr>
      <w:tr>
        <w:tc>
          <w:tcPr>
            <w:tcW w:type="dxa" w:w="3685"/>
          </w:tcPr>
          <w:p>
            <w:r/>
            <w:r>
              <w:rPr>
                <w:b w:val="0"/>
                <w:sz w:val="18"/>
              </w:rPr>
              <w:t>Cykl rotacji zobowiązań (model)</w:t>
            </w:r>
          </w:p>
        </w:tc>
        <w:tc>
          <w:tcPr>
            <w:tcW w:type="dxa" w:w="3005"/>
          </w:tcPr>
          <w:p>
            <w:r/>
            <w:r>
              <w:rPr>
                <w:b w:val="0"/>
                <w:sz w:val="18"/>
              </w:rPr>
              <w:t>59 dni</w:t>
            </w:r>
          </w:p>
        </w:tc>
        <w:tc>
          <w:tcPr>
            <w:tcW w:type="dxa" w:w="3061"/>
          </w:tcPr>
          <w:p>
            <w:r/>
            <w:r>
              <w:rPr>
                <w:b w:val="0"/>
                <w:sz w:val="18"/>
              </w:rPr>
              <w:t>29 dni</w:t>
            </w:r>
          </w:p>
        </w:tc>
      </w:tr>
      <w:tr>
        <w:tc>
          <w:tcPr>
            <w:tcW w:type="dxa" w:w="3685"/>
          </w:tcPr>
          <w:p>
            <w:r/>
            <w:r>
              <w:rPr>
                <w:b w:val="0"/>
                <w:sz w:val="18"/>
              </w:rPr>
              <w:t>Płynność bieżąca</w:t>
            </w:r>
          </w:p>
        </w:tc>
        <w:tc>
          <w:tcPr>
            <w:tcW w:type="dxa" w:w="3005"/>
          </w:tcPr>
          <w:p>
            <w:r/>
            <w:r>
              <w:rPr>
                <w:b w:val="0"/>
                <w:sz w:val="18"/>
              </w:rPr>
              <w:t>1,11</w:t>
            </w:r>
          </w:p>
        </w:tc>
        <w:tc>
          <w:tcPr>
            <w:tcW w:type="dxa" w:w="3061"/>
          </w:tcPr>
          <w:p>
            <w:r/>
            <w:r>
              <w:rPr>
                <w:b w:val="0"/>
                <w:sz w:val="18"/>
              </w:rPr>
              <w:t>1,37</w:t>
            </w:r>
          </w:p>
        </w:tc>
      </w:tr>
      <w:tr>
        <w:tc>
          <w:tcPr>
            <w:tcW w:type="dxa" w:w="3685"/>
          </w:tcPr>
          <w:p>
            <w:r/>
            <w:r>
              <w:rPr>
                <w:b w:val="0"/>
                <w:sz w:val="18"/>
              </w:rPr>
              <w:t>Udział kapitałów własnych</w:t>
            </w:r>
          </w:p>
        </w:tc>
        <w:tc>
          <w:tcPr>
            <w:tcW w:type="dxa" w:w="3005"/>
          </w:tcPr>
          <w:p>
            <w:r/>
            <w:r>
              <w:rPr>
                <w:b w:val="0"/>
                <w:sz w:val="18"/>
              </w:rPr>
              <w:t>9,8%</w:t>
            </w:r>
          </w:p>
        </w:tc>
        <w:tc>
          <w:tcPr>
            <w:tcW w:type="dxa" w:w="3061"/>
          </w:tcPr>
          <w:p>
            <w:r/>
            <w:r>
              <w:rPr>
                <w:b w:val="0"/>
                <w:sz w:val="18"/>
              </w:rPr>
              <w:t>26,9%</w:t>
            </w:r>
          </w:p>
        </w:tc>
      </w:tr>
    </w:tbl>
    <w:p/>
    <w:p>
      <w:pPr>
        <w:pStyle w:val="Heading1"/>
      </w:pPr>
      <w:r>
        <w:t>2. Co zmienić w modelu (plik Model_finansowy_CargoDT_Everest.xlsm)</w:t>
      </w:r>
    </w:p>
    <w:p>
      <w:pPr>
        <w:spacing w:after="60"/>
      </w:pPr>
      <w:r>
        <w:rPr>
          <w:b w:val="0"/>
        </w:rPr>
        <w:t>Model liczy zannualizowanie sam z daty ostatniego sprawozdania, więc wystarczy zmienić poniższe komórki. Pozostałe liczby (J31, J32, kolumna J w arkuszach Kapitał pracujący i Ocena kondycji finansowej) przeliczą się automatycznie na 182 dni i 6 miesięcy.</w:t>
      </w:r>
    </w:p>
    <w:p>
      <w:pPr>
        <w:pStyle w:val="Heading2"/>
      </w:pPr>
      <w:r>
        <w:t>2.1 Data sprawozdania</w:t>
      </w:r>
    </w:p>
    <w:tbl>
      <w:tblPr>
        <w:tblStyle w:val="TableGrid"/>
        <w:tblW w:type="auto" w:w="0"/>
        <w:tblLook w:firstColumn="1" w:firstRow="1" w:lastColumn="0" w:lastRow="0" w:noHBand="0" w:noVBand="1" w:val="04A0"/>
      </w:tblPr>
      <w:tblGrid>
        <w:gridCol w:w="2409"/>
        <w:gridCol w:w="2409"/>
        <w:gridCol w:w="2409"/>
        <w:gridCol w:w="2409"/>
      </w:tblGrid>
      <w:tr>
        <w:tc>
          <w:tcPr>
            <w:tcW w:type="dxa" w:w="1984"/>
          </w:tcPr>
          <w:p>
            <w:r/>
            <w:r>
              <w:rPr>
                <w:b/>
                <w:sz w:val="18"/>
              </w:rPr>
              <w:t>Arkusz</w:t>
            </w:r>
          </w:p>
        </w:tc>
        <w:tc>
          <w:tcPr>
            <w:tcW w:type="dxa" w:w="1417"/>
          </w:tcPr>
          <w:p>
            <w:r/>
            <w:r>
              <w:rPr>
                <w:b/>
                <w:sz w:val="18"/>
              </w:rPr>
              <w:t>Komórka</w:t>
            </w:r>
          </w:p>
        </w:tc>
        <w:tc>
          <w:tcPr>
            <w:tcW w:type="dxa" w:w="2835"/>
          </w:tcPr>
          <w:p>
            <w:r/>
            <w:r>
              <w:rPr>
                <w:b/>
                <w:sz w:val="18"/>
              </w:rPr>
              <w:t>Było</w:t>
            </w:r>
          </w:p>
        </w:tc>
        <w:tc>
          <w:tcPr>
            <w:tcW w:type="dxa" w:w="3515"/>
          </w:tcPr>
          <w:p>
            <w:r/>
            <w:r>
              <w:rPr>
                <w:b/>
                <w:sz w:val="18"/>
              </w:rPr>
              <w:t>Ma być</w:t>
            </w:r>
          </w:p>
        </w:tc>
      </w:tr>
      <w:tr>
        <w:tc>
          <w:tcPr>
            <w:tcW w:type="dxa" w:w="1984"/>
          </w:tcPr>
          <w:p>
            <w:r/>
            <w:r>
              <w:rPr>
                <w:b w:val="0"/>
                <w:sz w:val="18"/>
              </w:rPr>
              <w:t>Założenia</w:t>
            </w:r>
          </w:p>
        </w:tc>
        <w:tc>
          <w:tcPr>
            <w:tcW w:type="dxa" w:w="1417"/>
          </w:tcPr>
          <w:p>
            <w:r/>
            <w:r>
              <w:rPr>
                <w:b w:val="0"/>
                <w:sz w:val="18"/>
              </w:rPr>
              <w:t>C14</w:t>
            </w:r>
          </w:p>
        </w:tc>
        <w:tc>
          <w:tcPr>
            <w:tcW w:type="dxa" w:w="2835"/>
          </w:tcPr>
          <w:p>
            <w:r/>
            <w:r>
              <w:rPr>
                <w:b w:val="0"/>
                <w:sz w:val="18"/>
              </w:rPr>
              <w:t>31.03.2026</w:t>
            </w:r>
          </w:p>
        </w:tc>
        <w:tc>
          <w:tcPr>
            <w:tcW w:type="dxa" w:w="3515"/>
          </w:tcPr>
          <w:p>
            <w:r/>
            <w:r>
              <w:rPr>
                <w:b w:val="0"/>
                <w:sz w:val="18"/>
              </w:rPr>
              <w:t>30.06.2026</w:t>
            </w:r>
          </w:p>
        </w:tc>
      </w:tr>
    </w:tbl>
    <w:p/>
    <w:p>
      <w:pPr>
        <w:pStyle w:val="Heading2"/>
      </w:pPr>
      <w:r>
        <w:t>2.2 Arkusz Sprawozdania finansowe, kolumna F (w tys. zł)</w:t>
      </w:r>
    </w:p>
    <w:tbl>
      <w:tblPr>
        <w:tblStyle w:val="TableGrid"/>
        <w:tblW w:type="auto" w:w="0"/>
        <w:tblLook w:firstColumn="1" w:firstRow="1" w:lastColumn="0" w:lastRow="0" w:noHBand="0" w:noVBand="1" w:val="04A0"/>
      </w:tblPr>
      <w:tblGrid>
        <w:gridCol w:w="2409"/>
        <w:gridCol w:w="2409"/>
        <w:gridCol w:w="2409"/>
        <w:gridCol w:w="2409"/>
      </w:tblGrid>
      <w:tr>
        <w:tc>
          <w:tcPr>
            <w:tcW w:type="dxa" w:w="1474"/>
          </w:tcPr>
          <w:p>
            <w:r/>
            <w:r>
              <w:rPr>
                <w:b/>
                <w:sz w:val="18"/>
              </w:rPr>
              <w:t>Komórka</w:t>
            </w:r>
          </w:p>
        </w:tc>
        <w:tc>
          <w:tcPr>
            <w:tcW w:type="dxa" w:w="4195"/>
          </w:tcPr>
          <w:p>
            <w:r/>
            <w:r>
              <w:rPr>
                <w:b/>
                <w:sz w:val="18"/>
              </w:rPr>
              <w:t>Pozycja</w:t>
            </w:r>
          </w:p>
        </w:tc>
        <w:tc>
          <w:tcPr>
            <w:tcW w:type="dxa" w:w="1701"/>
          </w:tcPr>
          <w:p>
            <w:r/>
            <w:r>
              <w:rPr>
                <w:b/>
                <w:sz w:val="18"/>
              </w:rPr>
              <w:t>Było (31.03.2026)</w:t>
            </w:r>
          </w:p>
        </w:tc>
        <w:tc>
          <w:tcPr>
            <w:tcW w:type="dxa" w:w="2381"/>
          </w:tcPr>
          <w:p>
            <w:r/>
            <w:r>
              <w:rPr>
                <w:b/>
                <w:sz w:val="18"/>
              </w:rPr>
              <w:t>Ma być (30.06.2026)</w:t>
            </w:r>
          </w:p>
        </w:tc>
      </w:tr>
      <w:tr>
        <w:tc>
          <w:tcPr>
            <w:tcW w:type="dxa" w:w="1474"/>
          </w:tcPr>
          <w:p>
            <w:r/>
            <w:r>
              <w:rPr>
                <w:b w:val="0"/>
                <w:sz w:val="18"/>
              </w:rPr>
              <w:t>F64</w:t>
            </w:r>
          </w:p>
        </w:tc>
        <w:tc>
          <w:tcPr>
            <w:tcW w:type="dxa" w:w="4195"/>
          </w:tcPr>
          <w:p>
            <w:r/>
            <w:r>
              <w:rPr>
                <w:b w:val="0"/>
                <w:sz w:val="18"/>
              </w:rPr>
              <w:t>Należności z tytułu dostaw i usług, do 12 miesięcy</w:t>
            </w:r>
          </w:p>
        </w:tc>
        <w:tc>
          <w:tcPr>
            <w:tcW w:type="dxa" w:w="1701"/>
          </w:tcPr>
          <w:p>
            <w:r/>
            <w:r>
              <w:rPr>
                <w:b w:val="0"/>
                <w:sz w:val="18"/>
              </w:rPr>
              <w:t>3 070,70</w:t>
            </w:r>
          </w:p>
        </w:tc>
        <w:tc>
          <w:tcPr>
            <w:tcW w:type="dxa" w:w="2381"/>
          </w:tcPr>
          <w:p>
            <w:r/>
            <w:r>
              <w:rPr>
                <w:b w:val="0"/>
                <w:sz w:val="18"/>
              </w:rPr>
              <w:t>1 999,62</w:t>
            </w:r>
          </w:p>
        </w:tc>
      </w:tr>
      <w:tr>
        <w:tc>
          <w:tcPr>
            <w:tcW w:type="dxa" w:w="1474"/>
          </w:tcPr>
          <w:p>
            <w:r/>
            <w:r>
              <w:rPr>
                <w:b w:val="0"/>
                <w:sz w:val="18"/>
              </w:rPr>
              <w:t>F66</w:t>
            </w:r>
          </w:p>
        </w:tc>
        <w:tc>
          <w:tcPr>
            <w:tcW w:type="dxa" w:w="4195"/>
          </w:tcPr>
          <w:p>
            <w:r/>
            <w:r>
              <w:rPr>
                <w:b w:val="0"/>
                <w:sz w:val="18"/>
              </w:rPr>
              <w:t>Należności z tytułu podatków i innych świadczeń</w:t>
            </w:r>
          </w:p>
        </w:tc>
        <w:tc>
          <w:tcPr>
            <w:tcW w:type="dxa" w:w="1701"/>
          </w:tcPr>
          <w:p>
            <w:r/>
            <w:r>
              <w:rPr>
                <w:b w:val="0"/>
                <w:sz w:val="18"/>
              </w:rPr>
              <w:t>0</w:t>
            </w:r>
          </w:p>
        </w:tc>
        <w:tc>
          <w:tcPr>
            <w:tcW w:type="dxa" w:w="2381"/>
          </w:tcPr>
          <w:p>
            <w:r/>
            <w:r>
              <w:rPr>
                <w:b w:val="0"/>
                <w:sz w:val="18"/>
              </w:rPr>
              <w:t>0</w:t>
            </w:r>
          </w:p>
        </w:tc>
      </w:tr>
      <w:tr>
        <w:tc>
          <w:tcPr>
            <w:tcW w:type="dxa" w:w="1474"/>
          </w:tcPr>
          <w:p>
            <w:r/>
            <w:r>
              <w:rPr>
                <w:b w:val="0"/>
                <w:sz w:val="18"/>
              </w:rPr>
              <w:t>F82</w:t>
            </w:r>
          </w:p>
        </w:tc>
        <w:tc>
          <w:tcPr>
            <w:tcW w:type="dxa" w:w="4195"/>
          </w:tcPr>
          <w:p>
            <w:r/>
            <w:r>
              <w:rPr>
                <w:b w:val="0"/>
                <w:sz w:val="18"/>
              </w:rPr>
              <w:t>Środki pieniężne na rachunkach</w:t>
            </w:r>
          </w:p>
        </w:tc>
        <w:tc>
          <w:tcPr>
            <w:tcW w:type="dxa" w:w="1701"/>
          </w:tcPr>
          <w:p>
            <w:r/>
            <w:r>
              <w:rPr>
                <w:b w:val="0"/>
                <w:sz w:val="18"/>
              </w:rPr>
              <w:t>517,23</w:t>
            </w:r>
          </w:p>
        </w:tc>
        <w:tc>
          <w:tcPr>
            <w:tcW w:type="dxa" w:w="2381"/>
          </w:tcPr>
          <w:p>
            <w:r/>
            <w:r>
              <w:rPr>
                <w:b w:val="0"/>
                <w:sz w:val="18"/>
              </w:rPr>
              <w:t>193,49 (stan 193,60, patrz uwaga niżej)</w:t>
            </w:r>
          </w:p>
        </w:tc>
      </w:tr>
      <w:tr>
        <w:tc>
          <w:tcPr>
            <w:tcW w:type="dxa" w:w="1474"/>
          </w:tcPr>
          <w:p>
            <w:r/>
            <w:r>
              <w:rPr>
                <w:b w:val="0"/>
                <w:sz w:val="18"/>
              </w:rPr>
              <w:t>F86</w:t>
            </w:r>
          </w:p>
        </w:tc>
        <w:tc>
          <w:tcPr>
            <w:tcW w:type="dxa" w:w="4195"/>
          </w:tcPr>
          <w:p>
            <w:r/>
            <w:r>
              <w:rPr>
                <w:b w:val="0"/>
                <w:sz w:val="18"/>
              </w:rPr>
              <w:t>Krótkoterminowe rozliczenia międzyokresowe</w:t>
            </w:r>
          </w:p>
        </w:tc>
        <w:tc>
          <w:tcPr>
            <w:tcW w:type="dxa" w:w="1701"/>
          </w:tcPr>
          <w:p>
            <w:r/>
            <w:r>
              <w:rPr>
                <w:b w:val="0"/>
                <w:sz w:val="18"/>
              </w:rPr>
              <w:t>7,10</w:t>
            </w:r>
          </w:p>
        </w:tc>
        <w:tc>
          <w:tcPr>
            <w:tcW w:type="dxa" w:w="2381"/>
          </w:tcPr>
          <w:p>
            <w:r/>
            <w:r>
              <w:rPr>
                <w:b w:val="0"/>
                <w:sz w:val="18"/>
              </w:rPr>
              <w:t>8,94</w:t>
            </w:r>
          </w:p>
        </w:tc>
      </w:tr>
      <w:tr>
        <w:tc>
          <w:tcPr>
            <w:tcW w:type="dxa" w:w="1474"/>
          </w:tcPr>
          <w:p>
            <w:r/>
            <w:r>
              <w:rPr>
                <w:b w:val="0"/>
                <w:sz w:val="18"/>
              </w:rPr>
              <w:t>F95</w:t>
            </w:r>
          </w:p>
        </w:tc>
        <w:tc>
          <w:tcPr>
            <w:tcW w:type="dxa" w:w="4195"/>
          </w:tcPr>
          <w:p>
            <w:r/>
            <w:r>
              <w:rPr>
                <w:b w:val="0"/>
                <w:sz w:val="18"/>
              </w:rPr>
              <w:t>Kapitał podstawowy</w:t>
            </w:r>
          </w:p>
        </w:tc>
        <w:tc>
          <w:tcPr>
            <w:tcW w:type="dxa" w:w="1701"/>
          </w:tcPr>
          <w:p>
            <w:r/>
            <w:r>
              <w:rPr>
                <w:b w:val="0"/>
                <w:sz w:val="18"/>
              </w:rPr>
              <w:t>5</w:t>
            </w:r>
          </w:p>
        </w:tc>
        <w:tc>
          <w:tcPr>
            <w:tcW w:type="dxa" w:w="2381"/>
          </w:tcPr>
          <w:p>
            <w:r/>
            <w:r>
              <w:rPr>
                <w:b w:val="0"/>
                <w:sz w:val="18"/>
              </w:rPr>
              <w:t>5</w:t>
            </w:r>
          </w:p>
        </w:tc>
      </w:tr>
      <w:tr>
        <w:tc>
          <w:tcPr>
            <w:tcW w:type="dxa" w:w="1474"/>
          </w:tcPr>
          <w:p>
            <w:r/>
            <w:r>
              <w:rPr>
                <w:b w:val="0"/>
                <w:sz w:val="18"/>
              </w:rPr>
              <w:t>F98</w:t>
            </w:r>
          </w:p>
        </w:tc>
        <w:tc>
          <w:tcPr>
            <w:tcW w:type="dxa" w:w="4195"/>
          </w:tcPr>
          <w:p>
            <w:r/>
            <w:r>
              <w:rPr>
                <w:b w:val="0"/>
                <w:sz w:val="18"/>
              </w:rPr>
              <w:t>Kapitał zapasowy</w:t>
            </w:r>
          </w:p>
        </w:tc>
        <w:tc>
          <w:tcPr>
            <w:tcW w:type="dxa" w:w="1701"/>
          </w:tcPr>
          <w:p>
            <w:r/>
            <w:r>
              <w:rPr>
                <w:b w:val="0"/>
                <w:sz w:val="18"/>
              </w:rPr>
              <w:t>42,55</w:t>
            </w:r>
          </w:p>
        </w:tc>
        <w:tc>
          <w:tcPr>
            <w:tcW w:type="dxa" w:w="2381"/>
          </w:tcPr>
          <w:p>
            <w:r/>
            <w:r>
              <w:rPr>
                <w:b w:val="0"/>
                <w:sz w:val="18"/>
              </w:rPr>
              <w:t>42,55</w:t>
            </w:r>
          </w:p>
        </w:tc>
      </w:tr>
      <w:tr>
        <w:tc>
          <w:tcPr>
            <w:tcW w:type="dxa" w:w="1474"/>
          </w:tcPr>
          <w:p>
            <w:r/>
            <w:r>
              <w:rPr>
                <w:b w:val="0"/>
                <w:sz w:val="18"/>
              </w:rPr>
              <w:t>F101</w:t>
            </w:r>
          </w:p>
        </w:tc>
        <w:tc>
          <w:tcPr>
            <w:tcW w:type="dxa" w:w="4195"/>
          </w:tcPr>
          <w:p>
            <w:r/>
            <w:r>
              <w:rPr>
                <w:b w:val="0"/>
                <w:sz w:val="18"/>
              </w:rPr>
              <w:t>Zysk z lat ubiegłych</w:t>
            </w:r>
          </w:p>
        </w:tc>
        <w:tc>
          <w:tcPr>
            <w:tcW w:type="dxa" w:w="1701"/>
          </w:tcPr>
          <w:p>
            <w:r/>
            <w:r>
              <w:rPr>
                <w:b w:val="0"/>
                <w:sz w:val="18"/>
              </w:rPr>
              <w:t>44,56</w:t>
            </w:r>
          </w:p>
        </w:tc>
        <w:tc>
          <w:tcPr>
            <w:tcW w:type="dxa" w:w="2381"/>
          </w:tcPr>
          <w:p>
            <w:r/>
            <w:r>
              <w:rPr>
                <w:b w:val="0"/>
                <w:sz w:val="18"/>
              </w:rPr>
              <w:t>44,56</w:t>
            </w:r>
          </w:p>
        </w:tc>
      </w:tr>
      <w:tr>
        <w:tc>
          <w:tcPr>
            <w:tcW w:type="dxa" w:w="1474"/>
          </w:tcPr>
          <w:p>
            <w:r/>
            <w:r>
              <w:rPr>
                <w:b w:val="0"/>
                <w:sz w:val="18"/>
              </w:rPr>
              <w:t>F123</w:t>
            </w:r>
          </w:p>
        </w:tc>
        <w:tc>
          <w:tcPr>
            <w:tcW w:type="dxa" w:w="4195"/>
          </w:tcPr>
          <w:p>
            <w:r/>
            <w:r>
              <w:rPr>
                <w:b w:val="0"/>
                <w:sz w:val="18"/>
              </w:rPr>
              <w:t>Zobowiązania wobec jednostek powiązanych</w:t>
            </w:r>
          </w:p>
        </w:tc>
        <w:tc>
          <w:tcPr>
            <w:tcW w:type="dxa" w:w="1701"/>
          </w:tcPr>
          <w:p>
            <w:r/>
            <w:r>
              <w:rPr>
                <w:b w:val="0"/>
                <w:sz w:val="18"/>
              </w:rPr>
              <w:t>0</w:t>
            </w:r>
          </w:p>
        </w:tc>
        <w:tc>
          <w:tcPr>
            <w:tcW w:type="dxa" w:w="2381"/>
          </w:tcPr>
          <w:p>
            <w:r/>
            <w:r>
              <w:rPr>
                <w:b w:val="0"/>
                <w:sz w:val="18"/>
              </w:rPr>
              <w:t>0</w:t>
            </w:r>
          </w:p>
        </w:tc>
      </w:tr>
      <w:tr>
        <w:tc>
          <w:tcPr>
            <w:tcW w:type="dxa" w:w="1474"/>
          </w:tcPr>
          <w:p>
            <w:r/>
            <w:r>
              <w:rPr>
                <w:b w:val="0"/>
                <w:sz w:val="18"/>
              </w:rPr>
              <w:t>F131</w:t>
            </w:r>
          </w:p>
        </w:tc>
        <w:tc>
          <w:tcPr>
            <w:tcW w:type="dxa" w:w="4195"/>
          </w:tcPr>
          <w:p>
            <w:r/>
            <w:r>
              <w:rPr>
                <w:b w:val="0"/>
                <w:sz w:val="18"/>
              </w:rPr>
              <w:t>Zobowiązania z tytułu dostaw i usług, do 12 miesięcy</w:t>
            </w:r>
          </w:p>
        </w:tc>
        <w:tc>
          <w:tcPr>
            <w:tcW w:type="dxa" w:w="1701"/>
          </w:tcPr>
          <w:p>
            <w:r/>
            <w:r>
              <w:rPr>
                <w:b w:val="0"/>
                <w:sz w:val="18"/>
              </w:rPr>
              <w:t>3 090,89</w:t>
            </w:r>
          </w:p>
        </w:tc>
        <w:tc>
          <w:tcPr>
            <w:tcW w:type="dxa" w:w="2381"/>
          </w:tcPr>
          <w:p>
            <w:r/>
            <w:r>
              <w:rPr>
                <w:b w:val="0"/>
                <w:sz w:val="18"/>
              </w:rPr>
              <w:t>1 444,22</w:t>
            </w:r>
          </w:p>
        </w:tc>
      </w:tr>
      <w:tr>
        <w:tc>
          <w:tcPr>
            <w:tcW w:type="dxa" w:w="1474"/>
          </w:tcPr>
          <w:p>
            <w:r/>
            <w:r>
              <w:rPr>
                <w:b w:val="0"/>
                <w:sz w:val="18"/>
              </w:rPr>
              <w:t>F135</w:t>
            </w:r>
          </w:p>
        </w:tc>
        <w:tc>
          <w:tcPr>
            <w:tcW w:type="dxa" w:w="4195"/>
          </w:tcPr>
          <w:p>
            <w:r/>
            <w:r>
              <w:rPr>
                <w:b w:val="0"/>
                <w:sz w:val="18"/>
              </w:rPr>
              <w:t>Zobowiązania z tytułu podatków, ceł i ubezpieczeń (podatki 34,024 plus ZUS 48,356)</w:t>
            </w:r>
          </w:p>
        </w:tc>
        <w:tc>
          <w:tcPr>
            <w:tcW w:type="dxa" w:w="1701"/>
          </w:tcPr>
          <w:p>
            <w:r/>
            <w:r>
              <w:rPr>
                <w:b w:val="0"/>
                <w:sz w:val="18"/>
              </w:rPr>
              <w:t>70,01</w:t>
            </w:r>
          </w:p>
        </w:tc>
        <w:tc>
          <w:tcPr>
            <w:tcW w:type="dxa" w:w="2381"/>
          </w:tcPr>
          <w:p>
            <w:r/>
            <w:r>
              <w:rPr>
                <w:b w:val="0"/>
                <w:sz w:val="18"/>
              </w:rPr>
              <w:t>82,38</w:t>
            </w:r>
          </w:p>
        </w:tc>
      </w:tr>
      <w:tr>
        <w:tc>
          <w:tcPr>
            <w:tcW w:type="dxa" w:w="1474"/>
          </w:tcPr>
          <w:p>
            <w:r/>
            <w:r>
              <w:rPr>
                <w:b w:val="0"/>
                <w:sz w:val="18"/>
              </w:rPr>
              <w:t>F136</w:t>
            </w:r>
          </w:p>
        </w:tc>
        <w:tc>
          <w:tcPr>
            <w:tcW w:type="dxa" w:w="4195"/>
          </w:tcPr>
          <w:p>
            <w:r/>
            <w:r>
              <w:rPr>
                <w:b w:val="0"/>
                <w:sz w:val="18"/>
              </w:rPr>
              <w:t>Zobowiązania z tytułu wynagrodzeń</w:t>
            </w:r>
          </w:p>
        </w:tc>
        <w:tc>
          <w:tcPr>
            <w:tcW w:type="dxa" w:w="1701"/>
          </w:tcPr>
          <w:p>
            <w:r/>
            <w:r>
              <w:rPr>
                <w:b w:val="0"/>
                <w:sz w:val="18"/>
              </w:rPr>
              <w:t>82,50</w:t>
            </w:r>
          </w:p>
        </w:tc>
        <w:tc>
          <w:tcPr>
            <w:tcW w:type="dxa" w:w="2381"/>
          </w:tcPr>
          <w:p>
            <w:r/>
            <w:r>
              <w:rPr>
                <w:b w:val="0"/>
                <w:sz w:val="18"/>
              </w:rPr>
              <w:t>82,50</w:t>
            </w:r>
          </w:p>
        </w:tc>
      </w:tr>
      <w:tr>
        <w:tc>
          <w:tcPr>
            <w:tcW w:type="dxa" w:w="1474"/>
          </w:tcPr>
          <w:p>
            <w:r/>
            <w:r>
              <w:rPr>
                <w:b w:val="0"/>
                <w:sz w:val="18"/>
              </w:rPr>
              <w:t>F152</w:t>
            </w:r>
          </w:p>
        </w:tc>
        <w:tc>
          <w:tcPr>
            <w:tcW w:type="dxa" w:w="4195"/>
          </w:tcPr>
          <w:p>
            <w:r/>
            <w:r>
              <w:rPr>
                <w:b w:val="0"/>
                <w:sz w:val="18"/>
              </w:rPr>
              <w:t>Przychody netto ze sprzedaży</w:t>
            </w:r>
          </w:p>
        </w:tc>
        <w:tc>
          <w:tcPr>
            <w:tcW w:type="dxa" w:w="1701"/>
          </w:tcPr>
          <w:p>
            <w:r/>
            <w:r>
              <w:rPr>
                <w:b w:val="0"/>
                <w:sz w:val="18"/>
              </w:rPr>
              <w:t>5 050,97</w:t>
            </w:r>
          </w:p>
        </w:tc>
        <w:tc>
          <w:tcPr>
            <w:tcW w:type="dxa" w:w="2381"/>
          </w:tcPr>
          <w:p>
            <w:r/>
            <w:r>
              <w:rPr>
                <w:b w:val="0"/>
                <w:sz w:val="18"/>
              </w:rPr>
              <w:t>9 763,42</w:t>
            </w:r>
          </w:p>
        </w:tc>
      </w:tr>
      <w:tr>
        <w:tc>
          <w:tcPr>
            <w:tcW w:type="dxa" w:w="1474"/>
          </w:tcPr>
          <w:p>
            <w:r/>
            <w:r>
              <w:rPr>
                <w:b w:val="0"/>
                <w:sz w:val="18"/>
              </w:rPr>
              <w:t>F158</w:t>
            </w:r>
          </w:p>
        </w:tc>
        <w:tc>
          <w:tcPr>
            <w:tcW w:type="dxa" w:w="4195"/>
          </w:tcPr>
          <w:p>
            <w:r/>
            <w:r>
              <w:rPr>
                <w:b w:val="0"/>
                <w:sz w:val="18"/>
              </w:rPr>
              <w:t>Zużycie materiałów i energii</w:t>
            </w:r>
          </w:p>
        </w:tc>
        <w:tc>
          <w:tcPr>
            <w:tcW w:type="dxa" w:w="1701"/>
          </w:tcPr>
          <w:p>
            <w:r/>
            <w:r>
              <w:rPr>
                <w:b w:val="0"/>
                <w:sz w:val="18"/>
              </w:rPr>
              <w:t>8,40</w:t>
            </w:r>
          </w:p>
        </w:tc>
        <w:tc>
          <w:tcPr>
            <w:tcW w:type="dxa" w:w="2381"/>
          </w:tcPr>
          <w:p>
            <w:r/>
            <w:r>
              <w:rPr>
                <w:b w:val="0"/>
                <w:sz w:val="18"/>
              </w:rPr>
              <w:t>12,43</w:t>
            </w:r>
          </w:p>
        </w:tc>
      </w:tr>
      <w:tr>
        <w:tc>
          <w:tcPr>
            <w:tcW w:type="dxa" w:w="1474"/>
          </w:tcPr>
          <w:p>
            <w:r/>
            <w:r>
              <w:rPr>
                <w:b w:val="0"/>
                <w:sz w:val="18"/>
              </w:rPr>
              <w:t>F159</w:t>
            </w:r>
          </w:p>
        </w:tc>
        <w:tc>
          <w:tcPr>
            <w:tcW w:type="dxa" w:w="4195"/>
          </w:tcPr>
          <w:p>
            <w:r/>
            <w:r>
              <w:rPr>
                <w:b w:val="0"/>
                <w:sz w:val="18"/>
              </w:rPr>
              <w:t>Usługi obce</w:t>
            </w:r>
          </w:p>
        </w:tc>
        <w:tc>
          <w:tcPr>
            <w:tcW w:type="dxa" w:w="1701"/>
          </w:tcPr>
          <w:p>
            <w:r/>
            <w:r>
              <w:rPr>
                <w:b w:val="0"/>
                <w:sz w:val="18"/>
              </w:rPr>
              <w:t>4 596,38</w:t>
            </w:r>
          </w:p>
        </w:tc>
        <w:tc>
          <w:tcPr>
            <w:tcW w:type="dxa" w:w="2381"/>
          </w:tcPr>
          <w:p>
            <w:r/>
            <w:r>
              <w:rPr>
                <w:b w:val="0"/>
                <w:sz w:val="18"/>
              </w:rPr>
              <w:t>8 884,71</w:t>
            </w:r>
          </w:p>
        </w:tc>
      </w:tr>
      <w:tr>
        <w:tc>
          <w:tcPr>
            <w:tcW w:type="dxa" w:w="1474"/>
          </w:tcPr>
          <w:p>
            <w:r/>
            <w:r>
              <w:rPr>
                <w:b w:val="0"/>
                <w:sz w:val="18"/>
              </w:rPr>
              <w:t>F160</w:t>
            </w:r>
          </w:p>
        </w:tc>
        <w:tc>
          <w:tcPr>
            <w:tcW w:type="dxa" w:w="4195"/>
          </w:tcPr>
          <w:p>
            <w:r/>
            <w:r>
              <w:rPr>
                <w:b w:val="0"/>
                <w:sz w:val="18"/>
              </w:rPr>
              <w:t>Podatki i opłaty</w:t>
            </w:r>
          </w:p>
        </w:tc>
        <w:tc>
          <w:tcPr>
            <w:tcW w:type="dxa" w:w="1701"/>
          </w:tcPr>
          <w:p>
            <w:r/>
            <w:r>
              <w:rPr>
                <w:b w:val="0"/>
                <w:sz w:val="18"/>
              </w:rPr>
              <w:t>0</w:t>
            </w:r>
          </w:p>
        </w:tc>
        <w:tc>
          <w:tcPr>
            <w:tcW w:type="dxa" w:w="2381"/>
          </w:tcPr>
          <w:p>
            <w:r/>
            <w:r>
              <w:rPr>
                <w:b w:val="0"/>
                <w:sz w:val="18"/>
              </w:rPr>
              <w:t>0</w:t>
            </w:r>
          </w:p>
        </w:tc>
      </w:tr>
      <w:tr>
        <w:tc>
          <w:tcPr>
            <w:tcW w:type="dxa" w:w="1474"/>
          </w:tcPr>
          <w:p>
            <w:r/>
            <w:r>
              <w:rPr>
                <w:b w:val="0"/>
                <w:sz w:val="18"/>
              </w:rPr>
              <w:t>F162</w:t>
            </w:r>
          </w:p>
        </w:tc>
        <w:tc>
          <w:tcPr>
            <w:tcW w:type="dxa" w:w="4195"/>
          </w:tcPr>
          <w:p>
            <w:r/>
            <w:r>
              <w:rPr>
                <w:b w:val="0"/>
                <w:sz w:val="18"/>
              </w:rPr>
              <w:t>Wynagrodzenia</w:t>
            </w:r>
          </w:p>
        </w:tc>
        <w:tc>
          <w:tcPr>
            <w:tcW w:type="dxa" w:w="1701"/>
          </w:tcPr>
          <w:p>
            <w:r/>
            <w:r>
              <w:rPr>
                <w:b w:val="0"/>
                <w:sz w:val="18"/>
              </w:rPr>
              <w:t>104,16</w:t>
            </w:r>
          </w:p>
        </w:tc>
        <w:tc>
          <w:tcPr>
            <w:tcW w:type="dxa" w:w="2381"/>
          </w:tcPr>
          <w:p>
            <w:r/>
            <w:r>
              <w:rPr>
                <w:b w:val="0"/>
                <w:sz w:val="18"/>
              </w:rPr>
              <w:t>205,20</w:t>
            </w:r>
          </w:p>
        </w:tc>
      </w:tr>
      <w:tr>
        <w:tc>
          <w:tcPr>
            <w:tcW w:type="dxa" w:w="1474"/>
          </w:tcPr>
          <w:p>
            <w:r/>
            <w:r>
              <w:rPr>
                <w:b w:val="0"/>
                <w:sz w:val="18"/>
              </w:rPr>
              <w:t>F163</w:t>
            </w:r>
          </w:p>
        </w:tc>
        <w:tc>
          <w:tcPr>
            <w:tcW w:type="dxa" w:w="4195"/>
          </w:tcPr>
          <w:p>
            <w:r/>
            <w:r>
              <w:rPr>
                <w:b w:val="0"/>
                <w:sz w:val="18"/>
              </w:rPr>
              <w:t>Ubezpieczenia społeczne i inne świadczenia</w:t>
            </w:r>
          </w:p>
        </w:tc>
        <w:tc>
          <w:tcPr>
            <w:tcW w:type="dxa" w:w="1701"/>
          </w:tcPr>
          <w:p>
            <w:r/>
            <w:r>
              <w:rPr>
                <w:b w:val="0"/>
                <w:sz w:val="18"/>
              </w:rPr>
              <w:t>21,63</w:t>
            </w:r>
          </w:p>
        </w:tc>
        <w:tc>
          <w:tcPr>
            <w:tcW w:type="dxa" w:w="2381"/>
          </w:tcPr>
          <w:p>
            <w:r/>
            <w:r>
              <w:rPr>
                <w:b w:val="0"/>
                <w:sz w:val="18"/>
              </w:rPr>
              <w:t>42,61</w:t>
            </w:r>
          </w:p>
        </w:tc>
      </w:tr>
      <w:tr>
        <w:tc>
          <w:tcPr>
            <w:tcW w:type="dxa" w:w="1474"/>
          </w:tcPr>
          <w:p>
            <w:r/>
            <w:r>
              <w:rPr>
                <w:b w:val="0"/>
                <w:sz w:val="18"/>
              </w:rPr>
              <w:t>F164</w:t>
            </w:r>
          </w:p>
        </w:tc>
        <w:tc>
          <w:tcPr>
            <w:tcW w:type="dxa" w:w="4195"/>
          </w:tcPr>
          <w:p>
            <w:r/>
            <w:r>
              <w:rPr>
                <w:b w:val="0"/>
                <w:sz w:val="18"/>
              </w:rPr>
              <w:t>Pozostałe koszty rodzajowe</w:t>
            </w:r>
          </w:p>
        </w:tc>
        <w:tc>
          <w:tcPr>
            <w:tcW w:type="dxa" w:w="1701"/>
          </w:tcPr>
          <w:p>
            <w:r/>
            <w:r>
              <w:rPr>
                <w:b w:val="0"/>
                <w:sz w:val="18"/>
              </w:rPr>
              <w:t>0</w:t>
            </w:r>
          </w:p>
        </w:tc>
        <w:tc>
          <w:tcPr>
            <w:tcW w:type="dxa" w:w="2381"/>
          </w:tcPr>
          <w:p>
            <w:r/>
            <w:r>
              <w:rPr>
                <w:b w:val="0"/>
                <w:sz w:val="18"/>
              </w:rPr>
              <w:t>0</w:t>
            </w:r>
          </w:p>
        </w:tc>
      </w:tr>
      <w:tr>
        <w:tc>
          <w:tcPr>
            <w:tcW w:type="dxa" w:w="1474"/>
          </w:tcPr>
          <w:p>
            <w:r/>
            <w:r>
              <w:rPr>
                <w:b w:val="0"/>
                <w:sz w:val="18"/>
              </w:rPr>
              <w:t>F170, F174, F179, F185</w:t>
            </w:r>
          </w:p>
        </w:tc>
        <w:tc>
          <w:tcPr>
            <w:tcW w:type="dxa" w:w="4195"/>
          </w:tcPr>
          <w:p>
            <w:r/>
            <w:r>
              <w:rPr>
                <w:b w:val="0"/>
                <w:sz w:val="18"/>
              </w:rPr>
              <w:t>Pozostałe przychody i koszty operacyjne, odsetki</w:t>
            </w:r>
          </w:p>
        </w:tc>
        <w:tc>
          <w:tcPr>
            <w:tcW w:type="dxa" w:w="1701"/>
          </w:tcPr>
          <w:p>
            <w:r/>
            <w:r>
              <w:rPr>
                <w:b w:val="0"/>
                <w:sz w:val="18"/>
              </w:rPr>
              <w:t>0</w:t>
            </w:r>
          </w:p>
        </w:tc>
        <w:tc>
          <w:tcPr>
            <w:tcW w:type="dxa" w:w="2381"/>
          </w:tcPr>
          <w:p>
            <w:r/>
            <w:r>
              <w:rPr>
                <w:b w:val="0"/>
                <w:sz w:val="18"/>
              </w:rPr>
              <w:t>0</w:t>
            </w:r>
          </w:p>
        </w:tc>
      </w:tr>
      <w:tr>
        <w:tc>
          <w:tcPr>
            <w:tcW w:type="dxa" w:w="1474"/>
          </w:tcPr>
          <w:p>
            <w:r/>
            <w:r>
              <w:rPr>
                <w:b w:val="0"/>
                <w:sz w:val="18"/>
              </w:rPr>
              <w:t>F195</w:t>
            </w:r>
          </w:p>
        </w:tc>
        <w:tc>
          <w:tcPr>
            <w:tcW w:type="dxa" w:w="4195"/>
          </w:tcPr>
          <w:p>
            <w:r/>
            <w:r>
              <w:rPr>
                <w:b w:val="0"/>
                <w:sz w:val="18"/>
              </w:rPr>
              <w:t>Podatek dochodowy</w:t>
            </w:r>
          </w:p>
        </w:tc>
        <w:tc>
          <w:tcPr>
            <w:tcW w:type="dxa" w:w="1701"/>
          </w:tcPr>
          <w:p>
            <w:r/>
            <w:r>
              <w:rPr>
                <w:b w:val="0"/>
                <w:sz w:val="18"/>
              </w:rPr>
              <w:t>60,87</w:t>
            </w:r>
          </w:p>
        </w:tc>
        <w:tc>
          <w:tcPr>
            <w:tcW w:type="dxa" w:w="2381"/>
          </w:tcPr>
          <w:p>
            <w:r/>
            <w:r>
              <w:rPr>
                <w:b w:val="0"/>
                <w:sz w:val="18"/>
              </w:rPr>
              <w:t>117,49 (rzeczywiście 117,51, patrz uwaga niżej)</w:t>
            </w:r>
          </w:p>
        </w:tc>
      </w:tr>
    </w:tbl>
    <w:p/>
    <w:p>
      <w:pPr>
        <w:spacing w:after="60"/>
      </w:pPr>
      <w:r>
        <w:rPr>
          <w:b w:val="0"/>
        </w:rPr>
        <w:t>Uwaga o dwóch zaokrągleniach. Model zaokrągla sumy częściowe do tysięcy złotych i sprawdza, czy aktywa równają się pasywom. Przy wartościach rzeczywistych (193,60 i 117,51) wychodziła różnica 2 tys. zł: zysk netto 500 w modelu wobec 501 w sprawozdaniu, a aktywa o 1 tys. zł większe od pasywów. Dlatego dwie komórki (F82 i F195) mają wartości o 0,11 i 0,02 tys. zł mniejsze od rzeczywistych. Po tej zmianie aktywa i pasywa wynoszą po 2 202 tys. zł, zysk netto 501 tys. zł, a kontrolki w arkuszu Sprawozdania finansowe dają „OK”. W arkuszu Ocena kondycji finansowej kontrolka rachunku przepływów (komórka J124) pokazuje różnicę 1 tys. zł, wynikającą z zaokrągleń w rachunku przepływów liczonym pośrednio. Taka sama flaga była już w danych za 2025 r. (komórka I124), a w starym modelu za I kwartał kontrolka bilansu (J95) pokazywała różnicę, więc nie jest to nowy rodzaj uwagi. Jeśli wolisz wpisać wartości rzeczywiste, kontrolka „Aktywa minus pasywa” w arkuszu Sprawozdania pokaże różnicę 2 tys. zł.</w:t>
      </w:r>
    </w:p>
    <w:p>
      <w:pPr>
        <w:pStyle w:val="Heading2"/>
      </w:pPr>
      <w:r>
        <w:t>2.3 Prognoza działalności dotychczasowej: zamiana „I kwartał razy 4” na „I półrocze razy 2”</w:t>
      </w:r>
    </w:p>
    <w:p>
      <w:pPr>
        <w:spacing w:after="60"/>
      </w:pPr>
      <w:r>
        <w:rPr>
          <w:b w:val="0"/>
        </w:rPr>
        <w:t>W modelu prognoza działalności dotychczasowej to wpisane liczby, a nie wzory, więc nie zmienią się same. Usunięcie danych za I kwartał (K6-07) wymaga też zmiany podstawy prognozy. Wpisz poniższe wartości w kolumnach K do X (lata 2026 do 2039).</w:t>
      </w:r>
    </w:p>
    <w:tbl>
      <w:tblPr>
        <w:tblStyle w:val="TableGrid"/>
        <w:tblW w:type="auto" w:w="0"/>
        <w:tblLook w:firstColumn="1" w:firstRow="1" w:lastColumn="0" w:lastRow="0" w:noHBand="0" w:noVBand="1" w:val="04A0"/>
      </w:tblPr>
      <w:tblGrid>
        <w:gridCol w:w="1928"/>
        <w:gridCol w:w="1928"/>
        <w:gridCol w:w="1928"/>
        <w:gridCol w:w="1928"/>
        <w:gridCol w:w="1928"/>
      </w:tblGrid>
      <w:tr>
        <w:tc>
          <w:tcPr>
            <w:tcW w:type="dxa" w:w="1701"/>
          </w:tcPr>
          <w:p>
            <w:r/>
            <w:r>
              <w:rPr>
                <w:b/>
                <w:sz w:val="18"/>
              </w:rPr>
              <w:t>Arkusz</w:t>
            </w:r>
          </w:p>
        </w:tc>
        <w:tc>
          <w:tcPr>
            <w:tcW w:type="dxa" w:w="907"/>
          </w:tcPr>
          <w:p>
            <w:r/>
            <w:r>
              <w:rPr>
                <w:b/>
                <w:sz w:val="18"/>
              </w:rPr>
              <w:t>Wiersz</w:t>
            </w:r>
          </w:p>
        </w:tc>
        <w:tc>
          <w:tcPr>
            <w:tcW w:type="dxa" w:w="3628"/>
          </w:tcPr>
          <w:p>
            <w:r/>
            <w:r>
              <w:rPr>
                <w:b/>
                <w:sz w:val="18"/>
              </w:rPr>
              <w:t>Pozycja</w:t>
            </w:r>
          </w:p>
        </w:tc>
        <w:tc>
          <w:tcPr>
            <w:tcW w:type="dxa" w:w="1474"/>
          </w:tcPr>
          <w:p>
            <w:r/>
            <w:r>
              <w:rPr>
                <w:b/>
                <w:sz w:val="18"/>
              </w:rPr>
              <w:t>Było</w:t>
            </w:r>
          </w:p>
        </w:tc>
        <w:tc>
          <w:tcPr>
            <w:tcW w:type="dxa" w:w="2041"/>
          </w:tcPr>
          <w:p>
            <w:r/>
            <w:r>
              <w:rPr>
                <w:b/>
                <w:sz w:val="18"/>
              </w:rPr>
              <w:t>Ma być (kolumny K do X)</w:t>
            </w:r>
          </w:p>
        </w:tc>
      </w:tr>
      <w:tr>
        <w:tc>
          <w:tcPr>
            <w:tcW w:type="dxa" w:w="1701"/>
          </w:tcPr>
          <w:p>
            <w:r/>
            <w:r>
              <w:rPr>
                <w:b w:val="0"/>
                <w:sz w:val="18"/>
              </w:rPr>
              <w:t>Przychody</w:t>
            </w:r>
          </w:p>
        </w:tc>
        <w:tc>
          <w:tcPr>
            <w:tcW w:type="dxa" w:w="907"/>
          </w:tcPr>
          <w:p>
            <w:r/>
            <w:r>
              <w:rPr>
                <w:b w:val="0"/>
                <w:sz w:val="18"/>
              </w:rPr>
              <w:t>27</w:t>
            </w:r>
          </w:p>
        </w:tc>
        <w:tc>
          <w:tcPr>
            <w:tcW w:type="dxa" w:w="3628"/>
          </w:tcPr>
          <w:p>
            <w:r/>
            <w:r>
              <w:rPr>
                <w:b w:val="0"/>
                <w:sz w:val="18"/>
              </w:rPr>
              <w:t>Sprzedaż produktów (działalność dotychczasowa)</w:t>
            </w:r>
          </w:p>
        </w:tc>
        <w:tc>
          <w:tcPr>
            <w:tcW w:type="dxa" w:w="1474"/>
          </w:tcPr>
          <w:p>
            <w:r/>
            <w:r>
              <w:rPr>
                <w:b w:val="0"/>
                <w:sz w:val="18"/>
              </w:rPr>
              <w:t>20 203,86</w:t>
            </w:r>
          </w:p>
        </w:tc>
        <w:tc>
          <w:tcPr>
            <w:tcW w:type="dxa" w:w="2041"/>
          </w:tcPr>
          <w:p>
            <w:r/>
            <w:r>
              <w:rPr>
                <w:b w:val="0"/>
                <w:sz w:val="18"/>
              </w:rPr>
              <w:t>19 526,84</w:t>
            </w:r>
          </w:p>
        </w:tc>
      </w:tr>
      <w:tr>
        <w:tc>
          <w:tcPr>
            <w:tcW w:type="dxa" w:w="1701"/>
          </w:tcPr>
          <w:p>
            <w:r/>
            <w:r>
              <w:rPr>
                <w:b w:val="0"/>
                <w:sz w:val="18"/>
              </w:rPr>
              <w:t>Koszty operacyjne</w:t>
            </w:r>
          </w:p>
        </w:tc>
        <w:tc>
          <w:tcPr>
            <w:tcW w:type="dxa" w:w="907"/>
          </w:tcPr>
          <w:p>
            <w:r/>
            <w:r>
              <w:rPr>
                <w:b w:val="0"/>
                <w:sz w:val="18"/>
              </w:rPr>
              <w:t>15</w:t>
            </w:r>
          </w:p>
        </w:tc>
        <w:tc>
          <w:tcPr>
            <w:tcW w:type="dxa" w:w="3628"/>
          </w:tcPr>
          <w:p>
            <w:r/>
            <w:r>
              <w:rPr>
                <w:b w:val="0"/>
                <w:sz w:val="18"/>
              </w:rPr>
              <w:t>Zużycie materiałów i energii</w:t>
            </w:r>
          </w:p>
        </w:tc>
        <w:tc>
          <w:tcPr>
            <w:tcW w:type="dxa" w:w="1474"/>
          </w:tcPr>
          <w:p>
            <w:r/>
            <w:r>
              <w:rPr>
                <w:b w:val="0"/>
                <w:sz w:val="18"/>
              </w:rPr>
              <w:t>33,62</w:t>
            </w:r>
          </w:p>
        </w:tc>
        <w:tc>
          <w:tcPr>
            <w:tcW w:type="dxa" w:w="2041"/>
          </w:tcPr>
          <w:p>
            <w:r/>
            <w:r>
              <w:rPr>
                <w:b w:val="0"/>
                <w:sz w:val="18"/>
              </w:rPr>
              <w:t>24,87</w:t>
            </w:r>
          </w:p>
        </w:tc>
      </w:tr>
      <w:tr>
        <w:tc>
          <w:tcPr>
            <w:tcW w:type="dxa" w:w="1701"/>
          </w:tcPr>
          <w:p>
            <w:r/>
            <w:r>
              <w:rPr>
                <w:b w:val="0"/>
                <w:sz w:val="18"/>
              </w:rPr>
              <w:t>Koszty operacyjne</w:t>
            </w:r>
          </w:p>
        </w:tc>
        <w:tc>
          <w:tcPr>
            <w:tcW w:type="dxa" w:w="907"/>
          </w:tcPr>
          <w:p>
            <w:r/>
            <w:r>
              <w:rPr>
                <w:b w:val="0"/>
                <w:sz w:val="18"/>
              </w:rPr>
              <w:t>24</w:t>
            </w:r>
          </w:p>
        </w:tc>
        <w:tc>
          <w:tcPr>
            <w:tcW w:type="dxa" w:w="3628"/>
          </w:tcPr>
          <w:p>
            <w:r/>
            <w:r>
              <w:rPr>
                <w:b w:val="0"/>
                <w:sz w:val="18"/>
              </w:rPr>
              <w:t>Usługi obce</w:t>
            </w:r>
          </w:p>
        </w:tc>
        <w:tc>
          <w:tcPr>
            <w:tcW w:type="dxa" w:w="1474"/>
          </w:tcPr>
          <w:p>
            <w:r/>
            <w:r>
              <w:rPr>
                <w:b w:val="0"/>
                <w:sz w:val="18"/>
              </w:rPr>
              <w:t>18 385,51</w:t>
            </w:r>
          </w:p>
        </w:tc>
        <w:tc>
          <w:tcPr>
            <w:tcW w:type="dxa" w:w="2041"/>
          </w:tcPr>
          <w:p>
            <w:r/>
            <w:r>
              <w:rPr>
                <w:b w:val="0"/>
                <w:sz w:val="18"/>
              </w:rPr>
              <w:t>17 769,42</w:t>
            </w:r>
          </w:p>
        </w:tc>
      </w:tr>
      <w:tr>
        <w:tc>
          <w:tcPr>
            <w:tcW w:type="dxa" w:w="1701"/>
          </w:tcPr>
          <w:p>
            <w:r/>
            <w:r>
              <w:rPr>
                <w:b w:val="0"/>
                <w:sz w:val="18"/>
              </w:rPr>
              <w:t>Koszty operacyjne</w:t>
            </w:r>
          </w:p>
        </w:tc>
        <w:tc>
          <w:tcPr>
            <w:tcW w:type="dxa" w:w="907"/>
          </w:tcPr>
          <w:p>
            <w:r/>
            <w:r>
              <w:rPr>
                <w:b w:val="0"/>
                <w:sz w:val="18"/>
              </w:rPr>
              <w:t>43</w:t>
            </w:r>
          </w:p>
        </w:tc>
        <w:tc>
          <w:tcPr>
            <w:tcW w:type="dxa" w:w="3628"/>
          </w:tcPr>
          <w:p>
            <w:r/>
            <w:r>
              <w:rPr>
                <w:b w:val="0"/>
                <w:sz w:val="18"/>
              </w:rPr>
              <w:t>Personel dotychczasowy (średnie miesięczne wynagrodzenie)</w:t>
            </w:r>
          </w:p>
        </w:tc>
        <w:tc>
          <w:tcPr>
            <w:tcW w:type="dxa" w:w="1474"/>
          </w:tcPr>
          <w:p>
            <w:r/>
            <w:r>
              <w:rPr>
                <w:b w:val="0"/>
                <w:sz w:val="18"/>
              </w:rPr>
              <w:t>34,72</w:t>
            </w:r>
          </w:p>
        </w:tc>
        <w:tc>
          <w:tcPr>
            <w:tcW w:type="dxa" w:w="2041"/>
          </w:tcPr>
          <w:p>
            <w:r/>
            <w:r>
              <w:rPr>
                <w:b w:val="0"/>
                <w:sz w:val="18"/>
              </w:rPr>
              <w:t>34,20</w:t>
            </w:r>
          </w:p>
        </w:tc>
      </w:tr>
      <w:tr>
        <w:tc>
          <w:tcPr>
            <w:tcW w:type="dxa" w:w="1701"/>
          </w:tcPr>
          <w:p>
            <w:r/>
            <w:r>
              <w:rPr>
                <w:b w:val="0"/>
                <w:sz w:val="18"/>
              </w:rPr>
              <w:t>Koszty operacyjne</w:t>
            </w:r>
          </w:p>
        </w:tc>
        <w:tc>
          <w:tcPr>
            <w:tcW w:type="dxa" w:w="907"/>
          </w:tcPr>
          <w:p>
            <w:r/>
            <w:r>
              <w:rPr>
                <w:b w:val="0"/>
                <w:sz w:val="18"/>
              </w:rPr>
              <w:t>65</w:t>
            </w:r>
          </w:p>
        </w:tc>
        <w:tc>
          <w:tcPr>
            <w:tcW w:type="dxa" w:w="3628"/>
          </w:tcPr>
          <w:p>
            <w:r/>
            <w:r>
              <w:rPr>
                <w:b w:val="0"/>
                <w:sz w:val="18"/>
              </w:rPr>
              <w:t>Ubezpieczenia społeczne i inne świadczenia</w:t>
            </w:r>
          </w:p>
        </w:tc>
        <w:tc>
          <w:tcPr>
            <w:tcW w:type="dxa" w:w="1474"/>
          </w:tcPr>
          <w:p>
            <w:r/>
            <w:r>
              <w:rPr>
                <w:b w:val="0"/>
                <w:sz w:val="18"/>
              </w:rPr>
              <w:t>86,51</w:t>
            </w:r>
          </w:p>
        </w:tc>
        <w:tc>
          <w:tcPr>
            <w:tcW w:type="dxa" w:w="2041"/>
          </w:tcPr>
          <w:p>
            <w:r/>
            <w:r>
              <w:rPr>
                <w:b w:val="0"/>
                <w:sz w:val="18"/>
              </w:rPr>
              <w:t>85,21</w:t>
            </w:r>
          </w:p>
        </w:tc>
      </w:tr>
    </w:tbl>
    <w:p/>
    <w:p>
      <w:pPr>
        <w:spacing w:after="60"/>
      </w:pPr>
      <w:r>
        <w:rPr>
          <w:b w:val="0"/>
        </w:rPr>
        <w:t>Wartości to dwukrotność wyników I półrocza z tabeli w części 1: 2 x 9 763,42 = 19 526,84; 2 x 12,43 = 24,87; 2 x 8 884,71 = 17 769,42; 2 x 205,20 / 12 = 34,20; 2 x 42,61 = 85,21. Prognozowana rentowność działalności dotychczasowej pozostaje taka sama (6,3% marży ze sprzedaży), ale obroty są o 3,3% niższe niż przy mnożeniu I kwartału, czyli prognoza jest ostrożniejsza.</w:t>
      </w:r>
    </w:p>
    <w:p>
      <w:pPr>
        <w:pStyle w:val="Heading1"/>
      </w:pPr>
      <w:r>
        <w:t>3. Wpływ na wyniki modelu (przed i po zmianach z części 2)</w:t>
      </w:r>
    </w:p>
    <w:tbl>
      <w:tblPr>
        <w:tblStyle w:val="TableGrid"/>
        <w:tblW w:type="auto" w:w="0"/>
        <w:tblLook w:firstColumn="1" w:firstRow="1" w:lastColumn="0" w:lastRow="0" w:noHBand="0" w:noVBand="1" w:val="04A0"/>
      </w:tblPr>
      <w:tblGrid>
        <w:gridCol w:w="3213"/>
        <w:gridCol w:w="3213"/>
        <w:gridCol w:w="3213"/>
      </w:tblGrid>
      <w:tr>
        <w:tc>
          <w:tcPr>
            <w:tcW w:type="dxa" w:w="4762"/>
          </w:tcPr>
          <w:p>
            <w:r/>
            <w:r>
              <w:rPr>
                <w:b/>
                <w:sz w:val="18"/>
              </w:rPr>
              <w:t>Wskaźnik</w:t>
            </w:r>
          </w:p>
        </w:tc>
        <w:tc>
          <w:tcPr>
            <w:tcW w:type="dxa" w:w="2494"/>
          </w:tcPr>
          <w:p>
            <w:r/>
            <w:r>
              <w:rPr>
                <w:b/>
                <w:sz w:val="18"/>
              </w:rPr>
              <w:t>Przed</w:t>
            </w:r>
          </w:p>
        </w:tc>
        <w:tc>
          <w:tcPr>
            <w:tcW w:type="dxa" w:w="2494"/>
          </w:tcPr>
          <w:p>
            <w:r/>
            <w:r>
              <w:rPr>
                <w:b/>
                <w:sz w:val="18"/>
              </w:rPr>
              <w:t>Po</w:t>
            </w:r>
          </w:p>
        </w:tc>
      </w:tr>
      <w:tr>
        <w:tc>
          <w:tcPr>
            <w:tcW w:type="dxa" w:w="4762"/>
          </w:tcPr>
          <w:p>
            <w:r/>
            <w:r>
              <w:rPr>
                <w:b w:val="0"/>
                <w:sz w:val="18"/>
              </w:rPr>
              <w:t>Przychody działalności dotychczasowej, rocznie (tys. zł)</w:t>
            </w:r>
          </w:p>
        </w:tc>
        <w:tc>
          <w:tcPr>
            <w:tcW w:type="dxa" w:w="2494"/>
          </w:tcPr>
          <w:p>
            <w:r/>
            <w:r>
              <w:rPr>
                <w:b w:val="0"/>
                <w:sz w:val="18"/>
              </w:rPr>
              <w:t>20 204</w:t>
            </w:r>
          </w:p>
        </w:tc>
        <w:tc>
          <w:tcPr>
            <w:tcW w:type="dxa" w:w="2494"/>
          </w:tcPr>
          <w:p>
            <w:r/>
            <w:r>
              <w:rPr>
                <w:b w:val="0"/>
                <w:sz w:val="18"/>
              </w:rPr>
              <w:t>19 527</w:t>
            </w:r>
          </w:p>
        </w:tc>
      </w:tr>
      <w:tr>
        <w:tc>
          <w:tcPr>
            <w:tcW w:type="dxa" w:w="4762"/>
          </w:tcPr>
          <w:p>
            <w:r/>
            <w:r>
              <w:rPr>
                <w:b w:val="0"/>
                <w:sz w:val="18"/>
              </w:rPr>
              <w:t>Zysk netto łącznie, 2026 (tys. zł)</w:t>
            </w:r>
          </w:p>
        </w:tc>
        <w:tc>
          <w:tcPr>
            <w:tcW w:type="dxa" w:w="2494"/>
          </w:tcPr>
          <w:p>
            <w:r/>
            <w:r>
              <w:rPr>
                <w:b w:val="0"/>
                <w:sz w:val="18"/>
              </w:rPr>
              <w:t>996</w:t>
            </w:r>
          </w:p>
        </w:tc>
        <w:tc>
          <w:tcPr>
            <w:tcW w:type="dxa" w:w="2494"/>
          </w:tcPr>
          <w:p>
            <w:r/>
            <w:r>
              <w:rPr>
                <w:b w:val="0"/>
                <w:sz w:val="18"/>
              </w:rPr>
              <w:t>962</w:t>
            </w:r>
          </w:p>
        </w:tc>
      </w:tr>
      <w:tr>
        <w:tc>
          <w:tcPr>
            <w:tcW w:type="dxa" w:w="4762"/>
          </w:tcPr>
          <w:p>
            <w:r/>
            <w:r>
              <w:rPr>
                <w:b w:val="0"/>
                <w:sz w:val="18"/>
              </w:rPr>
              <w:t>Zysk netto łącznie, 2029 (tys. zł)</w:t>
            </w:r>
          </w:p>
        </w:tc>
        <w:tc>
          <w:tcPr>
            <w:tcW w:type="dxa" w:w="2494"/>
          </w:tcPr>
          <w:p>
            <w:r/>
            <w:r>
              <w:rPr>
                <w:b w:val="0"/>
                <w:sz w:val="18"/>
              </w:rPr>
              <w:t>926</w:t>
            </w:r>
          </w:p>
        </w:tc>
        <w:tc>
          <w:tcPr>
            <w:tcW w:type="dxa" w:w="2494"/>
          </w:tcPr>
          <w:p>
            <w:r/>
            <w:r>
              <w:rPr>
                <w:b w:val="0"/>
                <w:sz w:val="18"/>
              </w:rPr>
              <w:t>892</w:t>
            </w:r>
          </w:p>
        </w:tc>
      </w:tr>
      <w:tr>
        <w:tc>
          <w:tcPr>
            <w:tcW w:type="dxa" w:w="4762"/>
          </w:tcPr>
          <w:p>
            <w:r/>
            <w:r>
              <w:rPr>
                <w:b w:val="0"/>
                <w:sz w:val="18"/>
              </w:rPr>
              <w:t>Środki pieniężne na koniec 2026 (tys. zł)</w:t>
            </w:r>
          </w:p>
        </w:tc>
        <w:tc>
          <w:tcPr>
            <w:tcW w:type="dxa" w:w="2494"/>
          </w:tcPr>
          <w:p>
            <w:r/>
            <w:r>
              <w:rPr>
                <w:b w:val="0"/>
                <w:sz w:val="18"/>
              </w:rPr>
              <w:t>2 648</w:t>
            </w:r>
          </w:p>
        </w:tc>
        <w:tc>
          <w:tcPr>
            <w:tcW w:type="dxa" w:w="2494"/>
          </w:tcPr>
          <w:p>
            <w:r/>
            <w:r>
              <w:rPr>
                <w:b w:val="0"/>
                <w:sz w:val="18"/>
              </w:rPr>
              <w:t>2 564</w:t>
            </w:r>
          </w:p>
        </w:tc>
      </w:tr>
      <w:tr>
        <w:tc>
          <w:tcPr>
            <w:tcW w:type="dxa" w:w="4762"/>
          </w:tcPr>
          <w:p>
            <w:r/>
            <w:r>
              <w:rPr>
                <w:b w:val="0"/>
                <w:sz w:val="18"/>
              </w:rPr>
              <w:t>Środki pieniężne na koniec 2029 (tys. zł)</w:t>
            </w:r>
          </w:p>
        </w:tc>
        <w:tc>
          <w:tcPr>
            <w:tcW w:type="dxa" w:w="2494"/>
          </w:tcPr>
          <w:p>
            <w:r/>
            <w:r>
              <w:rPr>
                <w:b w:val="0"/>
                <w:sz w:val="18"/>
              </w:rPr>
              <w:t>6 315</w:t>
            </w:r>
          </w:p>
        </w:tc>
        <w:tc>
          <w:tcPr>
            <w:tcW w:type="dxa" w:w="2494"/>
          </w:tcPr>
          <w:p>
            <w:r/>
            <w:r>
              <w:rPr>
                <w:b w:val="0"/>
                <w:sz w:val="18"/>
              </w:rPr>
              <w:t>6 114</w:t>
            </w:r>
          </w:p>
        </w:tc>
      </w:tr>
      <w:tr>
        <w:tc>
          <w:tcPr>
            <w:tcW w:type="dxa" w:w="4762"/>
          </w:tcPr>
          <w:p>
            <w:r/>
            <w:r>
              <w:rPr>
                <w:b w:val="0"/>
                <w:sz w:val="18"/>
              </w:rPr>
              <w:t>Środki pieniężne na koniec 2034 (tys. zł)</w:t>
            </w:r>
          </w:p>
        </w:tc>
        <w:tc>
          <w:tcPr>
            <w:tcW w:type="dxa" w:w="2494"/>
          </w:tcPr>
          <w:p>
            <w:r/>
            <w:r>
              <w:rPr>
                <w:b w:val="0"/>
                <w:sz w:val="18"/>
              </w:rPr>
              <w:t>14 325</w:t>
            </w:r>
          </w:p>
        </w:tc>
        <w:tc>
          <w:tcPr>
            <w:tcW w:type="dxa" w:w="2494"/>
          </w:tcPr>
          <w:p>
            <w:r/>
            <w:r>
              <w:rPr>
                <w:b w:val="0"/>
                <w:sz w:val="18"/>
              </w:rPr>
              <w:t>13 950</w:t>
            </w:r>
          </w:p>
        </w:tc>
      </w:tr>
      <w:tr>
        <w:tc>
          <w:tcPr>
            <w:tcW w:type="dxa" w:w="4762"/>
          </w:tcPr>
          <w:p>
            <w:r/>
            <w:r>
              <w:rPr>
                <w:b w:val="0"/>
                <w:sz w:val="18"/>
              </w:rPr>
              <w:t>Płynność bieżąca 2026</w:t>
            </w:r>
          </w:p>
        </w:tc>
        <w:tc>
          <w:tcPr>
            <w:tcW w:type="dxa" w:w="2494"/>
          </w:tcPr>
          <w:p>
            <w:r/>
            <w:r>
              <w:rPr>
                <w:b w:val="0"/>
                <w:sz w:val="18"/>
              </w:rPr>
              <w:t>1,23</w:t>
            </w:r>
          </w:p>
        </w:tc>
        <w:tc>
          <w:tcPr>
            <w:tcW w:type="dxa" w:w="2494"/>
          </w:tcPr>
          <w:p>
            <w:r/>
            <w:r>
              <w:rPr>
                <w:b w:val="0"/>
                <w:sz w:val="18"/>
              </w:rPr>
              <w:t>1,23</w:t>
            </w:r>
          </w:p>
        </w:tc>
      </w:tr>
      <w:tr>
        <w:tc>
          <w:tcPr>
            <w:tcW w:type="dxa" w:w="4762"/>
          </w:tcPr>
          <w:p>
            <w:r/>
            <w:r>
              <w:rPr>
                <w:b w:val="0"/>
                <w:sz w:val="18"/>
              </w:rPr>
              <w:t>Płynność bieżąca 2029</w:t>
            </w:r>
          </w:p>
        </w:tc>
        <w:tc>
          <w:tcPr>
            <w:tcW w:type="dxa" w:w="2494"/>
          </w:tcPr>
          <w:p>
            <w:r/>
            <w:r>
              <w:rPr>
                <w:b w:val="0"/>
                <w:sz w:val="18"/>
              </w:rPr>
              <w:t>1,74</w:t>
            </w:r>
          </w:p>
        </w:tc>
        <w:tc>
          <w:tcPr>
            <w:tcW w:type="dxa" w:w="2494"/>
          </w:tcPr>
          <w:p>
            <w:r/>
            <w:r>
              <w:rPr>
                <w:b w:val="0"/>
                <w:sz w:val="18"/>
              </w:rPr>
              <w:t>1,75</w:t>
            </w:r>
          </w:p>
        </w:tc>
      </w:tr>
      <w:tr>
        <w:tc>
          <w:tcPr>
            <w:tcW w:type="dxa" w:w="4762"/>
          </w:tcPr>
          <w:p>
            <w:r/>
            <w:r>
              <w:rPr>
                <w:b w:val="0"/>
                <w:sz w:val="18"/>
              </w:rPr>
              <w:t>Udział kapitałów własnych 2026</w:t>
            </w:r>
          </w:p>
        </w:tc>
        <w:tc>
          <w:tcPr>
            <w:tcW w:type="dxa" w:w="2494"/>
          </w:tcPr>
          <w:p>
            <w:r/>
            <w:r>
              <w:rPr>
                <w:b w:val="0"/>
                <w:sz w:val="18"/>
              </w:rPr>
              <w:t>19%</w:t>
            </w:r>
          </w:p>
        </w:tc>
        <w:tc>
          <w:tcPr>
            <w:tcW w:type="dxa" w:w="2494"/>
          </w:tcPr>
          <w:p>
            <w:r/>
            <w:r>
              <w:rPr>
                <w:b w:val="0"/>
                <w:sz w:val="18"/>
              </w:rPr>
              <w:t>19%</w:t>
            </w:r>
          </w:p>
        </w:tc>
      </w:tr>
      <w:tr>
        <w:tc>
          <w:tcPr>
            <w:tcW w:type="dxa" w:w="4762"/>
          </w:tcPr>
          <w:p>
            <w:r/>
            <w:r>
              <w:rPr>
                <w:b w:val="0"/>
                <w:sz w:val="18"/>
              </w:rPr>
              <w:t>Opłacalność projektu (arkusz Opłacalność)</w:t>
            </w:r>
          </w:p>
        </w:tc>
        <w:tc>
          <w:tcPr>
            <w:tcW w:type="dxa" w:w="2494"/>
          </w:tcPr>
          <w:p>
            <w:r/>
            <w:r>
              <w:rPr>
                <w:b w:val="0"/>
                <w:sz w:val="18"/>
              </w:rPr>
              <w:t>bez zmian</w:t>
            </w:r>
          </w:p>
        </w:tc>
        <w:tc>
          <w:tcPr>
            <w:tcW w:type="dxa" w:w="2494"/>
          </w:tcPr>
          <w:p>
            <w:r/>
            <w:r>
              <w:rPr>
                <w:b w:val="0"/>
                <w:sz w:val="18"/>
              </w:rPr>
              <w:t>bez zmian</w:t>
            </w:r>
          </w:p>
        </w:tc>
      </w:tr>
    </w:tbl>
    <w:p/>
    <w:p>
      <w:pPr>
        <w:spacing w:after="60"/>
      </w:pPr>
      <w:r>
        <w:rPr>
          <w:b w:val="0"/>
        </w:rPr>
        <w:t>Żaden rok nie ma ujemnych środków pieniężnych, wskaźniki płynności i zadłużenia zmieniają się o jedną setną lub nie zmieniają się wcale, a opłacalność projektu się nie zmienia. Zdolność finansowa Lidera nie pogarsza się po wprowadzeniu danych za II kwartał.</w:t>
      </w:r>
    </w:p>
    <w:p>
      <w:pPr>
        <w:pStyle w:val="Heading1"/>
      </w:pPr>
      <w:r>
        <w:t>4. Komentarze w arkuszach (wersje do wklejenia)</w:t>
      </w:r>
    </w:p>
    <w:p>
      <w:pPr>
        <w:pStyle w:val="Heading2"/>
      </w:pPr>
      <w:r>
        <w:t>4.1 Arkusz Sprawozdania finansowe, pole Komentarz (K6-06)</w:t>
      </w:r>
    </w:p>
    <w:p>
      <w:pPr>
        <w:spacing w:after="60"/>
      </w:pPr>
      <w:r>
        <w:rPr>
          <w:b w:val="0"/>
        </w:rPr>
        <w:t>Przychody dotychczasowej działalności wyniosły 1 167 tys. zł w 2023 r., 777 tys. zł w 2024 r., 14 254 tys. zł w 2025 r. i 9 763 tys. zł w pierwszym półroczu 2026 r. Skok w 2025 r. wynika z pozyskania większych zleceń spedycyjnych. Spółka działa w modelu asset-light, bez własnej floty, więc większość przychodu przechodzi w koszty usług obcych: w pierwszym półroczu 2026 r. było to 8 885 tys. zł, czyli 97% kosztów operacyjnych. Dlatego marża jednostkowa i wynik netto są niskie względem obrotu, a w 2025 r. zysk netto wyniósł 41 tys. zł przy przychodzie 14,25 mln zł. Zysk netto za pierwsze półrocze 2026 r. wynosi 501 tys. zł, czyli 5,1% przychodu, i jest wyższy niż za cały 2025 r., co potwierdza utrzymanie działalności na podwyższonym poziomie. Na 30.06.2026 r. należności z tytułu dostaw i usług wynosiły 2 000 tys. zł, wobec 3 071 tys. zł na 31.03.2026 r., co odpowiada cyklowi rotacji 37 dni. Prognozę oparto na prostym przeliczeniu wyniku pierwszego półrocza razy dwa, bez zakładania dalszego wzrostu. Prognozowane przychody (19 527 tys. zł rocznie) są o 3,3% niższe niż przy mnożeniu wyniku pierwszego kwartału razy cztery (20 204 tys. zł), więc przy tak krótkiej historii na nowym poziomie obrotów przyjęto podejście ostrożniejsze niż ekstrapolacja trendu.</w:t>
      </w:r>
    </w:p>
    <w:p>
      <w:pPr>
        <w:pStyle w:val="Heading2"/>
      </w:pPr>
      <w:r>
        <w:t>4.2 Arkusz Przychody, komentarz do działalności dotychczasowej (K6-05)</w:t>
      </w:r>
    </w:p>
    <w:p>
      <w:pPr>
        <w:spacing w:after="60"/>
      </w:pPr>
      <w:r>
        <w:rPr>
          <w:b w:val="0"/>
        </w:rPr>
        <w:t>DZIAŁALNOŚĆ DOTYCHCZASOWA: prognozę przyjęto na poziomie zannualizowanego pierwszego półrocza 2026 r. (2 x 9 763 418 zł = 19 526 835 zł rocznie), utrzymanym płasko w całym horyzoncie, czyli bez wzrostu. Wzrost względem lat 2023 i 2024 (1,17 mln zł i 0,78 mln zł) wynika ze skokowego rozwoju usług spedycyjno-transportowych w 2025 r. (14,25 mln zł) i utrzymania obrotów w pierwszym półroczu 2026 r. (9,76 mln zł). Niższe wyniki wcześniejszych lat wynikały z ówczesnej optymalizacji podatkowej, a nie ze skali operacyjnej.</w:t>
      </w:r>
    </w:p>
    <w:p>
      <w:pPr>
        <w:pStyle w:val="Heading2"/>
      </w:pPr>
      <w:r>
        <w:t>4.3 Arkusz Koszty operacyjne, pierwsze zdanie komentarza (K6-09)</w:t>
      </w:r>
    </w:p>
    <w:p>
      <w:pPr>
        <w:spacing w:after="60"/>
      </w:pPr>
      <w:r>
        <w:rPr>
          <w:b w:val="0"/>
        </w:rPr>
        <w:t>Koszty dotychczasowej działalności przyjęto płasko na poziomie zannualizowanego pierwszego półrocza 2026 r. (2 x 9 144 948 zł = 18 289 895 zł rocznie), bez wzrostu skali.</w:t>
      </w:r>
    </w:p>
    <w:p>
      <w:pPr>
        <w:spacing w:after="60"/>
      </w:pPr>
      <w:r>
        <w:rPr>
          <w:b w:val="0"/>
        </w:rPr>
        <w:t>Dalszą część komentarza zostaw bez zmian (od zdania „Koszty fazy B+R (2026–2029) obejmują…”).</w:t>
      </w:r>
    </w:p>
    <w:p>
      <w:pPr>
        <w:pStyle w:val="Heading2"/>
      </w:pPr>
      <w:r>
        <w:t>4.4 Arkusz Kapitał pracujący, dopisek na końcu komentarza (K6-04, K6-08)</w:t>
      </w:r>
    </w:p>
    <w:p>
      <w:pPr>
        <w:spacing w:after="60"/>
      </w:pPr>
      <w:r>
        <w:rPr>
          <w:b w:val="0"/>
        </w:rPr>
        <w:t>W pierwszym półroczu 2026 r. cykl rotacji należności wyniósł 37 dni, a zobowiązań z tytułu dostaw i usług 29 dni (na 30.06.2026 r. należności 2 000 tys. zł, zobowiązania 1 444 tys. zł). Prognozowane rotacje działalności dotychczasowej są średnią z lat 2023–2025, więc w przypadku należności są ostrożniejsze niż wynik półrocza.</w:t>
      </w:r>
    </w:p>
    <w:p>
      <w:pPr>
        <w:pStyle w:val="Heading1"/>
      </w:pPr>
      <w:r>
        <w:t>5. Decyzja do podjęcia: rotacja zobowiązań w prognozie</w:t>
      </w:r>
    </w:p>
    <w:p>
      <w:pPr>
        <w:spacing w:after="60"/>
      </w:pPr>
      <w:r>
        <w:rPr>
          <w:b w:val="0"/>
        </w:rPr>
        <w:t>Model liczy rotację zobowiązań działalności dotychczasowej jako średnią z lat 2023 do 2025 (96 dni w 2026 r., potem 111 do 133 dni). Na koniec 2025 r. zobowiązania handlowe wynosiły 7,5 mln zł (193 dni), na 31.03.2026 r. 3,1 mln zł (59 dni), a na 30.06.2026 r. 1,4 mln zł (29 dni). Prognoza zakłada więc znacznie dłuższy kredyt kupiecki od dostawców (przewoźników) niż w ostatnich dwóch kwartałach. Sprawdziłam, jak zmienia się wynik modelu, gdy rotacja zobowiązań jest niższa:</w:t>
      </w:r>
    </w:p>
    <w:tbl>
      <w:tblPr>
        <w:tblStyle w:val="TableGrid"/>
        <w:tblW w:type="auto" w:w="0"/>
        <w:tblLook w:firstColumn="1" w:firstRow="1" w:lastColumn="0" w:lastRow="0" w:noHBand="0" w:noVBand="1" w:val="04A0"/>
      </w:tblPr>
      <w:tblGrid>
        <w:gridCol w:w="2409"/>
        <w:gridCol w:w="2409"/>
        <w:gridCol w:w="2409"/>
        <w:gridCol w:w="2409"/>
      </w:tblGrid>
      <w:tr>
        <w:tc>
          <w:tcPr>
            <w:tcW w:type="dxa" w:w="3515"/>
          </w:tcPr>
          <w:p>
            <w:r/>
            <w:r>
              <w:rPr>
                <w:b/>
                <w:sz w:val="18"/>
              </w:rPr>
              <w:t>Założenie rotacji zobowiązań 2026 i dalej</w:t>
            </w:r>
          </w:p>
        </w:tc>
        <w:tc>
          <w:tcPr>
            <w:tcW w:type="dxa" w:w="2268"/>
          </w:tcPr>
          <w:p>
            <w:r/>
            <w:r>
              <w:rPr>
                <w:b/>
                <w:sz w:val="18"/>
              </w:rPr>
              <w:t>Środki pieniężne na koniec 2026</w:t>
            </w:r>
          </w:p>
        </w:tc>
        <w:tc>
          <w:tcPr>
            <w:tcW w:type="dxa" w:w="1928"/>
          </w:tcPr>
          <w:p>
            <w:r/>
            <w:r>
              <w:rPr>
                <w:b/>
                <w:sz w:val="18"/>
              </w:rPr>
              <w:t>Na koniec 2027</w:t>
            </w:r>
          </w:p>
        </w:tc>
        <w:tc>
          <w:tcPr>
            <w:tcW w:type="dxa" w:w="2041"/>
          </w:tcPr>
          <w:p>
            <w:r/>
            <w:r>
              <w:rPr>
                <w:b/>
                <w:sz w:val="18"/>
              </w:rPr>
              <w:t>Na koniec 2029</w:t>
            </w:r>
          </w:p>
        </w:tc>
      </w:tr>
      <w:tr>
        <w:tc>
          <w:tcPr>
            <w:tcW w:type="dxa" w:w="3515"/>
          </w:tcPr>
          <w:p>
            <w:r/>
            <w:r>
              <w:rPr>
                <w:b w:val="0"/>
                <w:sz w:val="18"/>
              </w:rPr>
              <w:t>Model dziś: średnia 2023–2025 (96 do 133 dni)</w:t>
            </w:r>
          </w:p>
        </w:tc>
        <w:tc>
          <w:tcPr>
            <w:tcW w:type="dxa" w:w="2268"/>
          </w:tcPr>
          <w:p>
            <w:r/>
            <w:r>
              <w:rPr>
                <w:b w:val="0"/>
                <w:sz w:val="18"/>
              </w:rPr>
              <w:t>2 564 tys. zł</w:t>
            </w:r>
          </w:p>
        </w:tc>
        <w:tc>
          <w:tcPr>
            <w:tcW w:type="dxa" w:w="1928"/>
          </w:tcPr>
          <w:p>
            <w:r/>
            <w:r>
              <w:rPr>
                <w:b w:val="0"/>
                <w:sz w:val="18"/>
              </w:rPr>
              <w:t>4 284 tys. zł</w:t>
            </w:r>
          </w:p>
        </w:tc>
        <w:tc>
          <w:tcPr>
            <w:tcW w:type="dxa" w:w="2041"/>
          </w:tcPr>
          <w:p>
            <w:r/>
            <w:r>
              <w:rPr>
                <w:b w:val="0"/>
                <w:sz w:val="18"/>
              </w:rPr>
              <w:t>6 114 tys. zł</w:t>
            </w:r>
          </w:p>
        </w:tc>
      </w:tr>
      <w:tr>
        <w:tc>
          <w:tcPr>
            <w:tcW w:type="dxa" w:w="3515"/>
          </w:tcPr>
          <w:p>
            <w:r/>
            <w:r>
              <w:rPr>
                <w:b w:val="0"/>
                <w:sz w:val="18"/>
              </w:rPr>
              <w:t>60 dni (poziom 31.03.2026)</w:t>
            </w:r>
          </w:p>
        </w:tc>
        <w:tc>
          <w:tcPr>
            <w:tcW w:type="dxa" w:w="2268"/>
          </w:tcPr>
          <w:p>
            <w:r/>
            <w:r>
              <w:rPr>
                <w:b w:val="0"/>
                <w:sz w:val="18"/>
              </w:rPr>
              <w:t>760 tys. zł</w:t>
            </w:r>
          </w:p>
        </w:tc>
        <w:tc>
          <w:tcPr>
            <w:tcW w:type="dxa" w:w="1928"/>
          </w:tcPr>
          <w:p>
            <w:r/>
            <w:r>
              <w:rPr>
                <w:b w:val="0"/>
                <w:sz w:val="18"/>
              </w:rPr>
              <w:t>1 728 tys. zł</w:t>
            </w:r>
          </w:p>
        </w:tc>
        <w:tc>
          <w:tcPr>
            <w:tcW w:type="dxa" w:w="2041"/>
          </w:tcPr>
          <w:p>
            <w:r/>
            <w:r>
              <w:rPr>
                <w:b w:val="0"/>
                <w:sz w:val="18"/>
              </w:rPr>
              <w:t>3 458 tys. zł</w:t>
            </w:r>
          </w:p>
        </w:tc>
      </w:tr>
      <w:tr>
        <w:tc>
          <w:tcPr>
            <w:tcW w:type="dxa" w:w="3515"/>
          </w:tcPr>
          <w:p>
            <w:r/>
            <w:r>
              <w:rPr>
                <w:b w:val="0"/>
                <w:sz w:val="18"/>
              </w:rPr>
              <w:t>29 dni (poziom 30.06.2026)</w:t>
            </w:r>
          </w:p>
        </w:tc>
        <w:tc>
          <w:tcPr>
            <w:tcW w:type="dxa" w:w="2268"/>
          </w:tcPr>
          <w:p>
            <w:r/>
            <w:r>
              <w:rPr>
                <w:b w:val="0"/>
                <w:sz w:val="18"/>
              </w:rPr>
              <w:t>-793 tys. zł</w:t>
            </w:r>
          </w:p>
        </w:tc>
        <w:tc>
          <w:tcPr>
            <w:tcW w:type="dxa" w:w="1928"/>
          </w:tcPr>
          <w:p>
            <w:r/>
            <w:r>
              <w:rPr>
                <w:b w:val="0"/>
                <w:sz w:val="18"/>
              </w:rPr>
              <w:t>175 tys. zł</w:t>
            </w:r>
          </w:p>
        </w:tc>
        <w:tc>
          <w:tcPr>
            <w:tcW w:type="dxa" w:w="2041"/>
          </w:tcPr>
          <w:p>
            <w:r/>
            <w:r>
              <w:rPr>
                <w:b w:val="0"/>
                <w:sz w:val="18"/>
              </w:rPr>
              <w:t>1 905 tys. zł</w:t>
            </w:r>
          </w:p>
        </w:tc>
      </w:tr>
    </w:tbl>
    <w:p/>
    <w:p>
      <w:pPr>
        <w:spacing w:after="60"/>
      </w:pPr>
      <w:r>
        <w:rPr>
          <w:b w:val="0"/>
        </w:rPr>
        <w:t>Z tego wynika, że zdolność finansowa Lidera zależy od założenia o kredycie kupieckim. Przy poziomie z 30.06.2026 r. na koniec 2026 r. brakowałoby ok. 0,8 mln zł, a od 2027 r. środków byłoby dość. Nie zmieniałam założenia w modelu, bo jest to metoda standardowa dla modelu (średnia z lat zamkniętych) i decyzja należy do Ciebie. Eksperci z uwag K6-04 i K6-08 pytają dokładnie o to, więc proponuję jedno z dwóch rozwiązań:</w:t>
      </w:r>
    </w:p>
    <w:p>
      <w:pPr>
        <w:pStyle w:val="ListBullet"/>
      </w:pPr>
      <w:r>
        <w:rPr>
          <w:b/>
        </w:rPr>
        <w:t>Wariant A (rekomendowany): zostawić model bez zmian</w:t>
      </w:r>
      <w:r>
        <w:rPr>
          <w:b w:val="0"/>
        </w:rPr>
        <w:t xml:space="preserve"> i poprosić księgową o wyjaśnienie, dlaczego zobowiązania handlowe spadły z 7,5 mln zł na koniec 2025 r. do 1,4 mln zł na 30.06.2026 r. Jeśli przyczyną jest sezonowość lub termin rozliczeń z jednym dużym przewoźnikiem, jedno zdanie w komentarzu Kapitał pracujący zamyka temat.</w:t>
      </w:r>
    </w:p>
    <w:p>
      <w:pPr>
        <w:pStyle w:val="ListBullet"/>
      </w:pPr>
      <w:r>
        <w:rPr>
          <w:b/>
        </w:rPr>
        <w:t>Wariant B (ostrożny): ustawić rotację zobowiązań w prognozie na 60 dni</w:t>
      </w:r>
      <w:r>
        <w:rPr>
          <w:b w:val="0"/>
        </w:rPr>
        <w:t xml:space="preserve"> (wpisać 60 w wierszu 167 arkusza Kapitał pracujący, kolumny K do X). Środki pieniężne pozostają dodatnie we wszystkich latach (minimum 760 tys. zł w 2026 r.), a wniosek nie opiera się na założeniu, którego dane półroczne nie potwierdzają. Do komentarza dopisać, że przyjęto poziom z 31.03.2026 r. jako ostrożny.</w:t>
      </w:r>
    </w:p>
    <w:p>
      <w:pPr>
        <w:spacing w:after="60"/>
      </w:pPr>
      <w:r>
        <w:rPr>
          <w:b w:val="0"/>
        </w:rPr>
        <w:t>Wariant A zachowuje obecny model, ale zostawia ryzyko pytania eksperta. Wariant B usuwa to ryzyko kosztem niższych środków w modelu, nadal dodatnich.</w:t>
      </w:r>
    </w:p>
    <w:p>
      <w:pPr>
        <w:pStyle w:val="Heading1"/>
      </w:pPr>
      <w:r>
        <w:t>6. Co jeszcze potrzebne od księgowej i do załączników</w:t>
      </w:r>
    </w:p>
    <w:tbl>
      <w:tblPr>
        <w:tblStyle w:val="TableGrid"/>
        <w:tblW w:type="auto" w:w="0"/>
        <w:tblLook w:firstColumn="1" w:firstRow="1" w:lastColumn="0" w:lastRow="0" w:noHBand="0" w:noVBand="1" w:val="04A0"/>
      </w:tblPr>
      <w:tblGrid>
        <w:gridCol w:w="4819"/>
        <w:gridCol w:w="4819"/>
      </w:tblGrid>
      <w:tr>
        <w:tc>
          <w:tcPr>
            <w:tcW w:type="dxa" w:w="4989"/>
          </w:tcPr>
          <w:p>
            <w:r/>
            <w:r>
              <w:rPr>
                <w:b/>
                <w:sz w:val="18"/>
              </w:rPr>
              <w:t>Co</w:t>
            </w:r>
          </w:p>
        </w:tc>
        <w:tc>
          <w:tcPr>
            <w:tcW w:type="dxa" w:w="4762"/>
          </w:tcPr>
          <w:p>
            <w:r/>
            <w:r>
              <w:rPr>
                <w:b/>
                <w:sz w:val="18"/>
              </w:rPr>
              <w:t>Po co</w:t>
            </w:r>
          </w:p>
        </w:tc>
      </w:tr>
      <w:tr>
        <w:tc>
          <w:tcPr>
            <w:tcW w:type="dxa" w:w="4989"/>
          </w:tcPr>
          <w:p>
            <w:r/>
            <w:r>
              <w:rPr>
                <w:b w:val="0"/>
                <w:sz w:val="18"/>
              </w:rPr>
              <w:t>Załączyć w LSI podpisane sprawozdania za II kwartał 2026 (bilans i rachunek zysków i strat na 30.06.2026) i usunąć załączniki z I kwartałem.</w:t>
            </w:r>
          </w:p>
        </w:tc>
        <w:tc>
          <w:tcPr>
            <w:tcW w:type="dxa" w:w="4762"/>
          </w:tcPr>
          <w:p>
            <w:r/>
            <w:r>
              <w:rPr>
                <w:b w:val="0"/>
                <w:sz w:val="18"/>
              </w:rPr>
              <w:t>Uwaga K6-07 wymaga zastąpienia danych za I kwartał danymi za II kwartał także w załącznikach, nie tylko w modelu.</w:t>
            </w:r>
          </w:p>
        </w:tc>
      </w:tr>
      <w:tr>
        <w:tc>
          <w:tcPr>
            <w:tcW w:type="dxa" w:w="4989"/>
          </w:tcPr>
          <w:p>
            <w:r/>
            <w:r>
              <w:rPr>
                <w:b w:val="0"/>
                <w:sz w:val="18"/>
              </w:rPr>
              <w:t>Struktura wiekowa należności i zobowiązań na 30.06.2026 (przedziały do 30, 31 do 60, 61 do 90 i powyżej 90 dni) oraz informacja o zaliczkach i przedpłatach od odbiorców. Bilans pokazuje zaliczki 0 zł i zapasy 0 zł.</w:t>
            </w:r>
          </w:p>
        </w:tc>
        <w:tc>
          <w:tcPr>
            <w:tcW w:type="dxa" w:w="4762"/>
          </w:tcPr>
          <w:p>
            <w:r/>
            <w:r>
              <w:rPr>
                <w:b w:val="0"/>
                <w:sz w:val="18"/>
              </w:rPr>
              <w:t>Uwaga K6-08 pyta o przeterminowania, terminy płatności i zaliczki. Tych danych nie ma w bilansie ani w rachunku wyników, więc nie wolno ich zgadywać. Po otrzymaniu dopiszę dwa zdania do komentarza Kapitał pracujący.</w:t>
            </w:r>
          </w:p>
        </w:tc>
      </w:tr>
      <w:tr>
        <w:tc>
          <w:tcPr>
            <w:tcW w:type="dxa" w:w="4989"/>
          </w:tcPr>
          <w:p>
            <w:r/>
            <w:r>
              <w:rPr>
                <w:b w:val="0"/>
                <w:sz w:val="18"/>
              </w:rPr>
              <w:t>Wyjaśnienie spadku zobowiązań handlowych z 7,5 mln zł (31.12.2025) do 1,4 mln zł (30.06.2026) i spadku należności z 4,9 mln zł do 2,0 mln zł.</w:t>
            </w:r>
          </w:p>
        </w:tc>
        <w:tc>
          <w:tcPr>
            <w:tcW w:type="dxa" w:w="4762"/>
          </w:tcPr>
          <w:p>
            <w:r/>
            <w:r>
              <w:rPr>
                <w:b w:val="0"/>
                <w:sz w:val="18"/>
              </w:rPr>
              <w:t>Potrzebne do wariantu A z części 5 i do odpowiedzi na K6-04.</w:t>
            </w:r>
          </w:p>
        </w:tc>
      </w:tr>
    </w:tbl>
    <w:p/>
    <w:sectPr w:rsidR="00FC693F" w:rsidRPr="0006063C" w:rsidSect="00034616">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pPr>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eastAsia="Calibri"/>
      <w:b/>
      <w:bCs/>
      <w:color w:val="1F3A5F"/>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eastAsia="Calibri"/>
      <w:b/>
      <w:bCs/>
      <w:color w:val="1F3A5F"/>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eastAsia="Calibri"/>
      <w:b/>
      <w:bCs/>
      <w:color w:val="1F3A5F"/>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