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2"/>
      </w:pPr>
      <w:r>
        <w:t>2.5 Harmonogram płatności: arkusze Zaliczka-refundacja (K6-14)</w:t>
      </w:r>
    </w:p>
    <w:p>
      <w:pPr>
        <w:spacing w:after="60"/>
      </w:pPr>
      <w:r>
        <w:rPr>
          <w:b w:val="0"/>
        </w:rPr>
        <w:t>Sprawdziłam arkusze „Zaliczka-refundacja” i „Zaliczka-refundacja Konsorcjum” (ostatnia zakładka modelu) i znalazłam błąd w mojej wcześniejszej weryfikacji uwagi K6-14. Wtedy napisałam, że wszystkie trzy limity są spełnione, ale liczyłam zaliczki jako kwotę dofinansowania pomnożoną przez kolumnę H. Kolumna H to jednak tylko iloraz dofinansowania i wydatków kwalifikowalnych, a kwotą zaliczki jest sama kwota dofinansowania z kolumny F. Po poprawnym przeliczeniu limit łącznej zaliczki 90% był przekroczony.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28"/>
          </w:tcPr>
          <w:p>
            <w:r/>
            <w:r>
              <w:rPr>
                <w:b/>
                <w:sz w:val="18"/>
              </w:rPr>
              <w:t>Warunek (uwaga K6-14)</w:t>
            </w:r>
          </w:p>
        </w:tc>
        <w:tc>
          <w:tcPr>
            <w:tcW w:type="dxa" w:w="1474"/>
          </w:tcPr>
          <w:p>
            <w:r/>
            <w:r>
              <w:rPr>
                <w:b/>
                <w:sz w:val="18"/>
              </w:rPr>
              <w:t>Everest11 przed</w:t>
            </w:r>
          </w:p>
        </w:tc>
        <w:tc>
          <w:tcPr>
            <w:tcW w:type="dxa" w:w="1474"/>
          </w:tcPr>
          <w:p>
            <w:r/>
            <w:r>
              <w:rPr>
                <w:b/>
                <w:sz w:val="18"/>
              </w:rPr>
              <w:t>Everest11 po</w:t>
            </w:r>
          </w:p>
        </w:tc>
        <w:tc>
          <w:tcPr>
            <w:tcW w:type="dxa" w:w="1587"/>
          </w:tcPr>
          <w:p>
            <w:r/>
            <w:r>
              <w:rPr>
                <w:b/>
                <w:sz w:val="18"/>
              </w:rPr>
              <w:t>Konsorcjum przed</w:t>
            </w:r>
          </w:p>
        </w:tc>
        <w:tc>
          <w:tcPr>
            <w:tcW w:type="dxa" w:w="1587"/>
          </w:tcPr>
          <w:p>
            <w:r/>
            <w:r>
              <w:rPr>
                <w:b/>
                <w:sz w:val="18"/>
              </w:rPr>
              <w:t>Konsorcjum po</w:t>
            </w:r>
          </w:p>
        </w:tc>
      </w:tr>
      <w:tr>
        <w:tc>
          <w:tcPr>
            <w:tcW w:type="dxa" w:w="3628"/>
          </w:tcPr>
          <w:p>
            <w:r/>
            <w:r>
              <w:rPr>
                <w:b w:val="0"/>
                <w:sz w:val="18"/>
              </w:rPr>
              <w:t>Pierwsza płatność jako zaliczka co najmniej 5% dofinansowania</w:t>
            </w:r>
          </w:p>
        </w:tc>
        <w:tc>
          <w:tcPr>
            <w:tcW w:type="dxa" w:w="1474"/>
          </w:tcPr>
          <w:p>
            <w:r/>
            <w:r>
              <w:rPr>
                <w:b w:val="0"/>
                <w:sz w:val="18"/>
              </w:rPr>
              <w:t>7,53%</w:t>
            </w:r>
          </w:p>
        </w:tc>
        <w:tc>
          <w:tcPr>
            <w:tcW w:type="dxa" w:w="1474"/>
          </w:tcPr>
          <w:p>
            <w:r/>
            <w:r>
              <w:rPr>
                <w:b w:val="0"/>
                <w:sz w:val="18"/>
              </w:rPr>
              <w:t>7,53%</w:t>
            </w:r>
          </w:p>
        </w:tc>
        <w:tc>
          <w:tcPr>
            <w:tcW w:type="dxa" w:w="1587"/>
          </w:tcPr>
          <w:p>
            <w:r/>
            <w:r>
              <w:rPr>
                <w:b w:val="0"/>
                <w:sz w:val="18"/>
              </w:rPr>
              <w:t>7,01%</w:t>
            </w:r>
          </w:p>
        </w:tc>
        <w:tc>
          <w:tcPr>
            <w:tcW w:type="dxa" w:w="1587"/>
          </w:tcPr>
          <w:p>
            <w:r/>
            <w:r>
              <w:rPr>
                <w:b w:val="0"/>
                <w:sz w:val="18"/>
              </w:rPr>
              <w:t>7,01%</w:t>
            </w:r>
          </w:p>
        </w:tc>
      </w:tr>
      <w:tr>
        <w:tc>
          <w:tcPr>
            <w:tcW w:type="dxa" w:w="3628"/>
          </w:tcPr>
          <w:p>
            <w:r/>
            <w:r>
              <w:rPr>
                <w:b w:val="0"/>
                <w:sz w:val="18"/>
              </w:rPr>
              <w:t>Największa transza zaliczki nie więcej niż 40%</w:t>
            </w:r>
          </w:p>
        </w:tc>
        <w:tc>
          <w:tcPr>
            <w:tcW w:type="dxa" w:w="1474"/>
          </w:tcPr>
          <w:p>
            <w:r/>
            <w:r>
              <w:rPr>
                <w:b w:val="0"/>
                <w:sz w:val="18"/>
              </w:rPr>
              <w:t>28,67%</w:t>
            </w:r>
          </w:p>
        </w:tc>
        <w:tc>
          <w:tcPr>
            <w:tcW w:type="dxa" w:w="1474"/>
          </w:tcPr>
          <w:p>
            <w:r/>
            <w:r>
              <w:rPr>
                <w:b w:val="0"/>
                <w:sz w:val="18"/>
              </w:rPr>
              <w:t>28,67%</w:t>
            </w:r>
          </w:p>
        </w:tc>
        <w:tc>
          <w:tcPr>
            <w:tcW w:type="dxa" w:w="1587"/>
          </w:tcPr>
          <w:p>
            <w:r/>
            <w:r>
              <w:rPr>
                <w:b w:val="0"/>
                <w:sz w:val="18"/>
              </w:rPr>
              <w:t>27,03%</w:t>
            </w:r>
          </w:p>
        </w:tc>
        <w:tc>
          <w:tcPr>
            <w:tcW w:type="dxa" w:w="1587"/>
          </w:tcPr>
          <w:p>
            <w:r/>
            <w:r>
              <w:rPr>
                <w:b w:val="0"/>
                <w:sz w:val="18"/>
              </w:rPr>
              <w:t>27,03%</w:t>
            </w:r>
          </w:p>
        </w:tc>
      </w:tr>
      <w:tr>
        <w:tc>
          <w:tcPr>
            <w:tcW w:type="dxa" w:w="3628"/>
          </w:tcPr>
          <w:p>
            <w:r/>
            <w:r>
              <w:rPr>
                <w:b w:val="0"/>
                <w:sz w:val="18"/>
              </w:rPr>
              <w:t>Suma zaliczek nie więcej niż 90%</w:t>
            </w:r>
          </w:p>
        </w:tc>
        <w:tc>
          <w:tcPr>
            <w:tcW w:type="dxa" w:w="1474"/>
          </w:tcPr>
          <w:p>
            <w:r/>
            <w:r>
              <w:rPr>
                <w:b w:val="0"/>
                <w:sz w:val="18"/>
              </w:rPr>
              <w:t>91,63% (za dużo)</w:t>
            </w:r>
          </w:p>
        </w:tc>
        <w:tc>
          <w:tcPr>
            <w:tcW w:type="dxa" w:w="1474"/>
          </w:tcPr>
          <w:p>
            <w:r/>
            <w:r>
              <w:rPr>
                <w:b w:val="0"/>
                <w:sz w:val="18"/>
              </w:rPr>
              <w:t>89,50%</w:t>
            </w:r>
          </w:p>
        </w:tc>
        <w:tc>
          <w:tcPr>
            <w:tcW w:type="dxa" w:w="1587"/>
          </w:tcPr>
          <w:p>
            <w:r/>
            <w:r>
              <w:rPr>
                <w:b w:val="0"/>
                <w:sz w:val="18"/>
              </w:rPr>
              <w:t>91,21% (za dużo)</w:t>
            </w:r>
          </w:p>
        </w:tc>
        <w:tc>
          <w:tcPr>
            <w:tcW w:type="dxa" w:w="1587"/>
          </w:tcPr>
          <w:p>
            <w:r/>
            <w:r>
              <w:rPr>
                <w:b w:val="0"/>
                <w:sz w:val="18"/>
              </w:rPr>
              <w:t>89,63%</w:t>
            </w:r>
          </w:p>
        </w:tc>
      </w:tr>
      <w:tr>
        <w:tc>
          <w:tcPr>
            <w:tcW w:type="dxa" w:w="3628"/>
          </w:tcPr>
          <w:p>
            <w:r/>
            <w:r>
              <w:rPr>
                <w:b w:val="0"/>
                <w:sz w:val="18"/>
              </w:rPr>
              <w:t>Refundacja końcowa (reszta do 100%)</w:t>
            </w:r>
          </w:p>
        </w:tc>
        <w:tc>
          <w:tcPr>
            <w:tcW w:type="dxa" w:w="1474"/>
          </w:tcPr>
          <w:p>
            <w:r/>
            <w:r>
              <w:rPr>
                <w:b w:val="0"/>
                <w:sz w:val="18"/>
              </w:rPr>
              <w:t>8,37%</w:t>
            </w:r>
          </w:p>
        </w:tc>
        <w:tc>
          <w:tcPr>
            <w:tcW w:type="dxa" w:w="1474"/>
          </w:tcPr>
          <w:p>
            <w:r/>
            <w:r>
              <w:rPr>
                <w:b w:val="0"/>
                <w:sz w:val="18"/>
              </w:rPr>
              <w:t>10,50%</w:t>
            </w:r>
          </w:p>
        </w:tc>
        <w:tc>
          <w:tcPr>
            <w:tcW w:type="dxa" w:w="1587"/>
          </w:tcPr>
          <w:p>
            <w:r/>
            <w:r>
              <w:rPr>
                <w:b w:val="0"/>
                <w:sz w:val="18"/>
              </w:rPr>
              <w:t>8,79%</w:t>
            </w:r>
          </w:p>
        </w:tc>
        <w:tc>
          <w:tcPr>
            <w:tcW w:type="dxa" w:w="1587"/>
          </w:tcPr>
          <w:p>
            <w:r/>
            <w:r>
              <w:rPr>
                <w:b w:val="0"/>
                <w:sz w:val="18"/>
              </w:rPr>
              <w:t>10,37%</w:t>
            </w:r>
          </w:p>
        </w:tc>
      </w:tr>
    </w:tbl>
    <w:p/>
    <w:p>
      <w:pPr>
        <w:spacing w:after="60"/>
      </w:pPr>
      <w:r>
        <w:rPr>
          <w:b w:val="0"/>
        </w:rPr>
        <w:t>Poprawka: przesunęłam 63 048,12 zł dofinansowania (105 080,19 zł wydatków kwalifikowalnych, 107 136,16 zł wydatków całkowitych) z wniosku za II półrocze 2028 do końcowego wniosku za II półrocze 2029. Sumy w obu arkuszach nie zmieniają się (Everest11 2 964 296,12 zł, konsorcjum 3 998 262,02 zł), a wskaźnik wydatków do dofinansowania w obu wnioskach pozostaje 60% (Everest11), czyli bez zmiany stawki pomocy.</w:t>
      </w:r>
    </w:p>
    <w:tbl>
      <w:tblPr>
        <w:tblStyle w:val="TableGrid"/>
        <w:tblW w:type="auto" w:w="0"/>
        <w:tblLook w:firstColumn="1" w:firstRow="1" w:lastColumn="0" w:lastRow="0" w:noHBand="0" w:noVBand="1" w:val="04A0"/>
      </w:tblPr>
      <w:tblGrid>
        <w:gridCol w:w="2409"/>
        <w:gridCol w:w="2409"/>
        <w:gridCol w:w="2409"/>
        <w:gridCol w:w="2409"/>
      </w:tblGrid>
      <w:tr>
        <w:tc>
          <w:tcPr>
            <w:tcW w:type="dxa" w:w="2494"/>
          </w:tcPr>
          <w:p>
            <w:r/>
            <w:r>
              <w:rPr>
                <w:b/>
                <w:sz w:val="18"/>
              </w:rPr>
              <w:t>Arkusz</w:t>
            </w:r>
          </w:p>
        </w:tc>
        <w:tc>
          <w:tcPr>
            <w:tcW w:type="dxa" w:w="2381"/>
          </w:tcPr>
          <w:p>
            <w:r/>
            <w:r>
              <w:rPr>
                <w:b/>
                <w:sz w:val="18"/>
              </w:rPr>
              <w:t>Wiersz (okres wniosku)</w:t>
            </w:r>
          </w:p>
        </w:tc>
        <w:tc>
          <w:tcPr>
            <w:tcW w:type="dxa" w:w="2438"/>
          </w:tcPr>
          <w:p>
            <w:r/>
            <w:r>
              <w:rPr>
                <w:b/>
                <w:sz w:val="18"/>
              </w:rPr>
              <w:t>Było: D / E / F (zł)</w:t>
            </w:r>
          </w:p>
        </w:tc>
        <w:tc>
          <w:tcPr>
            <w:tcW w:type="dxa" w:w="2438"/>
          </w:tcPr>
          <w:p>
            <w:r/>
            <w:r>
              <w:rPr>
                <w:b/>
                <w:sz w:val="18"/>
              </w:rPr>
              <w:t>Jest: D / E / F (zł)</w:t>
            </w:r>
          </w:p>
        </w:tc>
      </w:tr>
      <w:tr>
        <w:tc>
          <w:tcPr>
            <w:tcW w:type="dxa" w:w="2494"/>
          </w:tcPr>
          <w:p>
            <w:r/>
            <w:r>
              <w:rPr>
                <w:b w:val="0"/>
                <w:sz w:val="18"/>
              </w:rPr>
              <w:t>Zaliczka-refundacja (Everest11)</w:t>
            </w:r>
          </w:p>
        </w:tc>
        <w:tc>
          <w:tcPr>
            <w:tcW w:type="dxa" w:w="2381"/>
          </w:tcPr>
          <w:p>
            <w:r/>
            <w:r>
              <w:rPr>
                <w:b w:val="0"/>
                <w:sz w:val="18"/>
              </w:rPr>
              <w:t>16 (II półrocze 2028)</w:t>
            </w:r>
          </w:p>
        </w:tc>
        <w:tc>
          <w:tcPr>
            <w:tcW w:type="dxa" w:w="2438"/>
          </w:tcPr>
          <w:p>
            <w:r/>
            <w:r>
              <w:rPr>
                <w:b w:val="0"/>
                <w:sz w:val="18"/>
              </w:rPr>
              <w:t>650 577,41 / 638 092,68 / 382 855,61</w:t>
            </w:r>
          </w:p>
        </w:tc>
        <w:tc>
          <w:tcPr>
            <w:tcW w:type="dxa" w:w="2438"/>
          </w:tcPr>
          <w:p>
            <w:r/>
            <w:r>
              <w:rPr>
                <w:b w:val="0"/>
                <w:sz w:val="18"/>
              </w:rPr>
              <w:t>543 441,25 / 533 012,49 / 319 807,49</w:t>
            </w:r>
          </w:p>
        </w:tc>
      </w:tr>
      <w:tr>
        <w:tc>
          <w:tcPr>
            <w:tcW w:type="dxa" w:w="2494"/>
          </w:tcPr>
          <w:p>
            <w:r/>
            <w:r>
              <w:rPr>
                <w:b w:val="0"/>
                <w:sz w:val="18"/>
              </w:rPr>
              <w:t>Zaliczka-refundacja (Everest11)</w:t>
            </w:r>
          </w:p>
        </w:tc>
        <w:tc>
          <w:tcPr>
            <w:tcW w:type="dxa" w:w="2381"/>
          </w:tcPr>
          <w:p>
            <w:r/>
            <w:r>
              <w:rPr>
                <w:b w:val="0"/>
                <w:sz w:val="18"/>
              </w:rPr>
              <w:t>18 (II półrocze 2029, refundacja)</w:t>
            </w:r>
          </w:p>
        </w:tc>
        <w:tc>
          <w:tcPr>
            <w:tcW w:type="dxa" w:w="2438"/>
          </w:tcPr>
          <w:p>
            <w:r/>
            <w:r>
              <w:rPr>
                <w:b w:val="0"/>
                <w:sz w:val="18"/>
              </w:rPr>
              <w:t>421 765,41 / 413 671,63 / 248 202,98</w:t>
            </w:r>
          </w:p>
        </w:tc>
        <w:tc>
          <w:tcPr>
            <w:tcW w:type="dxa" w:w="2438"/>
          </w:tcPr>
          <w:p>
            <w:r/>
            <w:r>
              <w:rPr>
                <w:b w:val="0"/>
                <w:sz w:val="18"/>
              </w:rPr>
              <w:t>528 901,57 / 518 751,82 / 311 251,09</w:t>
            </w:r>
          </w:p>
        </w:tc>
      </w:tr>
      <w:tr>
        <w:tc>
          <w:tcPr>
            <w:tcW w:type="dxa" w:w="2494"/>
          </w:tcPr>
          <w:p>
            <w:r/>
            <w:r>
              <w:rPr>
                <w:b w:val="0"/>
                <w:sz w:val="18"/>
              </w:rPr>
              <w:t>Zaliczka-refundacja Konsorcjum</w:t>
            </w:r>
          </w:p>
        </w:tc>
        <w:tc>
          <w:tcPr>
            <w:tcW w:type="dxa" w:w="2381"/>
          </w:tcPr>
          <w:p>
            <w:r/>
            <w:r>
              <w:rPr>
                <w:b w:val="0"/>
                <w:sz w:val="18"/>
              </w:rPr>
              <w:t>16 (II półrocze 2028)</w:t>
            </w:r>
          </w:p>
        </w:tc>
        <w:tc>
          <w:tcPr>
            <w:tcW w:type="dxa" w:w="2438"/>
          </w:tcPr>
          <w:p>
            <w:r/>
            <w:r>
              <w:rPr>
                <w:b w:val="0"/>
                <w:sz w:val="18"/>
              </w:rPr>
              <w:t>823 875,41 / 805 878,08 / 550 641,01</w:t>
            </w:r>
          </w:p>
        </w:tc>
        <w:tc>
          <w:tcPr>
            <w:tcW w:type="dxa" w:w="2438"/>
          </w:tcPr>
          <w:p>
            <w:r/>
            <w:r>
              <w:rPr>
                <w:b w:val="0"/>
                <w:sz w:val="18"/>
              </w:rPr>
              <w:t>716 739,25 / 700 797,89 / 487 592,89</w:t>
            </w:r>
          </w:p>
        </w:tc>
      </w:tr>
      <w:tr>
        <w:tc>
          <w:tcPr>
            <w:tcW w:type="dxa" w:w="2494"/>
          </w:tcPr>
          <w:p>
            <w:r/>
            <w:r>
              <w:rPr>
                <w:b w:val="0"/>
                <w:sz w:val="18"/>
              </w:rPr>
              <w:t>Zaliczka-refundacja Konsorcjum</w:t>
            </w:r>
          </w:p>
        </w:tc>
        <w:tc>
          <w:tcPr>
            <w:tcW w:type="dxa" w:w="2381"/>
          </w:tcPr>
          <w:p>
            <w:r/>
            <w:r>
              <w:rPr>
                <w:b w:val="0"/>
                <w:sz w:val="18"/>
              </w:rPr>
              <w:t>18 (II półrocze 2029, refundacja)</w:t>
            </w:r>
          </w:p>
        </w:tc>
        <w:tc>
          <w:tcPr>
            <w:tcW w:type="dxa" w:w="2438"/>
          </w:tcPr>
          <w:p>
            <w:r/>
            <w:r>
              <w:rPr>
                <w:b w:val="0"/>
                <w:sz w:val="18"/>
              </w:rPr>
              <w:t>528 559,10 / 517 068,22 / 351 599,57</w:t>
            </w:r>
          </w:p>
        </w:tc>
        <w:tc>
          <w:tcPr>
            <w:tcW w:type="dxa" w:w="2438"/>
          </w:tcPr>
          <w:p>
            <w:r/>
            <w:r>
              <w:rPr>
                <w:b w:val="0"/>
                <w:sz w:val="18"/>
              </w:rPr>
              <w:t>635 695,26 / 622 148,41 / 414 647,68</w:t>
            </w:r>
          </w:p>
        </w:tc>
      </w:tr>
    </w:tbl>
    <w:p/>
    <w:p>
      <w:pPr>
        <w:spacing w:after="60"/>
      </w:pPr>
      <w:r>
        <w:rPr>
          <w:b w:val="0"/>
        </w:rPr>
        <w:t>Arkusz PRz (plik modelu PRz) ma 90,0% zaliczek i 10,0% refundacji, czyli mieści się w limicie dokładnie na granicy. Konsorcjum ma po poprawce 89,63%, więc wniosek jest spójny, ale PRz może dla bezpieczeństwa przesunąć jeszcze ok. 1% do refundacji końcowej.</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właścicielska, sprzedaży i zakupów. Od czerwca 2025 r. jedynym wspólnikiem i prezesem zarządu spółki jest Wojciech Chrzanowski (wpis w KRS z 02.06.2025 r.).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 W pierwszym półroczu 2026 r. cała sprzedaż dotychczasowej działalności pochodziła od jednego odbiorcy, Amazon, na podstawie umowy, a prognoza zakłada utrzymanie tej współpracy na obecnym poziomie. Warunki umowy, w tym okres obowiązywania i wartość, stanowią tajemnicę przedsiębiorstwa Everest11 i nie są ujawniane we wniosku.</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(20, 20 i 10); jednym z nich jest Natanek Logistics, podmiot powiązany z przyszłym inwestorem. Kanałem wzrostu w kolejnych latach jest sprzedaż bezpośrednia do operatorów transportowych, a w marcu–maju 2026 r. spółka przeprowadziła 15 rozmów z potencjalnymi klientami.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Zdanie „Uzasadnia to sam kanał dotarcia do klienta: pierwsze wdrożenia opierają się na rozszerzeniu istniejącej relacji handlowej z bazą ponad 50 aktywnych kontrahentów spedycyjnych Everest11, a nie na akwizycji zimnej – cel 50 pojazdów w 2030 r. pokrywają już 4 kontrakty, w tym zawarte listy intencyjne z konkretnymi operatorami transportowymi.” zamień na: Uzasadnia to kanał dotarcia do klienta: pierwsze wdrożenia opierają się na trzech operatorach transportowych, którzy podpisali listy intencyjne na łącznie 50 naczep, a dalsza sprzedaż na kontakcie bezpośrednim z operatorami, bez kosztownej akwizycji masowej.</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całość należności i zobowiązań na 30.06.2026 r. mieściła się w terminie płatności, bez sald przeterminowanych. Wyższe zobowiązania na koniec 2025 r. (193 dni) i na 31.03.2026 r. (59 dni) wynikały z przeterminowanych płatności z wcześniejszego okresu. Po zmianie jedynego wspólnika w 2025 r. spółka stopniowo uregulowała zaległości,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2"/>
      </w:pPr>
      <w:r>
        <w:t>4.7 Finansowanie, komórka B179, dopisek na końcu (K6-12)</w:t>
      </w:r>
    </w:p>
    <w:p>
      <w:pPr>
        <w:spacing w:after="60"/>
      </w:pPr>
      <w:r>
        <w:rPr>
          <w:b w:val="0"/>
        </w:rPr>
        <w:t>Odpowiedź na pytanie o strukturę udziałów, na podstawie odpisu KRS z 05.10.2026 i Twoich informacji o wycenie spółki po dokapitalizowaniu.</w:t>
      </w:r>
    </w:p>
    <w:p>
      <w:pPr>
        <w:spacing w:after="60"/>
      </w:pPr>
      <w:r>
        <w:rPr>
          <w:b w:val="0"/>
        </w:rPr>
        <w:t>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p>
      <w:pPr>
        <w:pStyle w:val="Heading2"/>
      </w:pPr>
      <w:r>
        <w:t>4.8 Opłacalność, komórka B106, jedno zdanie (K2-16)</w:t>
      </w:r>
    </w:p>
    <w:p>
      <w:pPr>
        <w:spacing w:after="60"/>
      </w:pPr>
      <w:r>
        <w:rPr>
          <w:b w:val="0"/>
        </w:rPr>
        <w:t>Zdanie „pierwszy próg pokrywają już podpisane listy intencyjne z odbiorcami oraz wdrożenie własne Everest11, a dalszy wzrost opiera się na bazie ponad 50 istniejących kontrahentów spedycyjnych spółki jako naturalnym kanale dystrybucji.” zamień na: pierwszy próg pokrywają podpisane listy intencyjne trzech operatorów transportowych na łącznie 50 naczep, a dalszy wzrost opiera się na sprzedaży bezpośredniej do operatorów transportowych.</w:t>
      </w:r>
    </w:p>
    <w:p>
      <w:pPr>
        <w:pStyle w:val="Heading2"/>
      </w:pPr>
      <w:r>
        <w:t>4.9 Koszty operacyjne, dopisek na końcu komentarza (K2-12, K2-13, N58)</w:t>
      </w:r>
    </w:p>
    <w:p>
      <w:pPr>
        <w:spacing w:after="60"/>
      </w:pPr>
      <w:r>
        <w:rPr>
          <w:b w:val="0"/>
        </w:rPr>
        <w:t>Dopisek podaje podstawę kosztu komponentów 4 875 zł i liczbę etatów zespołu komercjalizacji. Są to propozycje do zaakceptowania przez dział techniczny i przez Ciebie (część 8). Jeśli ceny OEM się zmienią, trzeba zmienić tabelę w części 8 i ten dopisek.</w:t>
      </w:r>
    </w:p>
    <w:p>
      <w:pPr>
        <w:spacing w:after="60"/>
      </w:pPr>
      <w:r>
        <w:rPr>
          <w:b w:val="0"/>
        </w:rPr>
        <w:t>Koszt komponentów zestawu retrofit przyjęto na poziomie 4 875 zł za zestaw, czyli 65% ceny 7 500 zł, jako koszt docelowy zestawu produkcyjnego. Zestaw produkcyjny jest prostszy od toru badawczego z projektu i zawiera po jednym module kamery ToF, kamery EO i radaru mmWave. Na koszt składają się: moduł edge AI Jetson Orin Nano 8 GB, 1 520 zł (cena producenta 399 USD przy zamówieniu od 1000 szt.); płyta nośna i integracja 450 zł; moduł kamery ToF 850 zł; moduł kamery EO 380 zł; radar mmWave 430 zł; IMU i czujniki środowiskowe 120 zł; moduł LTE/GNSS 340 zł; dysk NVMe 256 GB klasy przemysłowej 260 zł; obudowa IP66 z okablowaniem i zasilaniem 12/24 V 525 zł. Cena modułu edge AI pochodzi z cennika producenta, a ceny pozostałych komponentów to założenia kalkulacyjne dla modułów klasy OEM, które Everest11 potwierdzi ofertami przy wyborze architektury sprzętowej w zadaniu Z7. Przy koszcie wyższym o 1 000 zł marża brutto na zestawie spada z 35% do 22%. Zespół komercjalizacji (345,6 tys. zł w 2030 r., 460,8; 576; 806,4 i 1 036,8 tys. zł w 2034 r.) odpowiada 1,5; 2,0; 2,5; 3,5 i 4,5 etatu, w formie etatów lub współpracy B2B, przy koszcie 19,2 tys. zł miesięcznie na etat (ok. 15,9 tys. zł brutto z kosztami pracodawcy). Zespół tworzą doradcy klienta B2B (1,0 etatu w latach 2030–2032, 2,0 w 2033 r. i 3,0 w 2034 r.) oraz specjalista ds. wdrożeń i wsparcia klienta (0,5 etatu w 2030 r., 1,0 w 2031 r. i 1,5 etatu od 2032 r.). Wynagrodzenie mieści się w typowych widełkach doradcy klienta MŚP (ok. 13 000 zł brutto) i key account managera B2B (ok. 19 000 zł brutto) według raportu Hays Salary Guide 2026. Liczba pojazdów przypadająca na jeden etat rośnie z 33 w 2030 r. do 222 w 2034 r., ponieważ koszt obsługi subskrypcji rośnie wolniej niż liczba pojazdów.</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„Do 30 dni” oznacza według Ciebie „w terminie”, więc piszemy, że nie było sald przeterminowanych.</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K6-12 (struktura udziałów)</w:t>
            </w:r>
          </w:p>
        </w:tc>
        <w:tc>
          <w:tcPr>
            <w:tcW w:type="dxa" w:w="3742"/>
          </w:tcPr>
          <w:p>
            <w:r/>
            <w:r>
              <w:rPr>
                <w:b w:val="0"/>
                <w:sz w:val="18"/>
              </w:rPr>
              <w:t>Jedyny wspólnik: Wojciech Chrzanowski (KRS). Po dokapitalizowaniu wycena spółki, inwestor obejmie udziały zgodnie z wyceną, nie więcej niż 20%.</w:t>
            </w:r>
          </w:p>
        </w:tc>
        <w:tc>
          <w:tcPr>
            <w:tcW w:type="dxa" w:w="3969"/>
          </w:tcPr>
          <w:p>
            <w:r/>
            <w:r>
              <w:rPr>
                <w:b w:val="0"/>
                <w:sz w:val="18"/>
              </w:rPr>
              <w:t>Komentarz w arkuszu Finansowanie (część 4.7).</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i przepisane ryzyko R12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i Przychody (jeden odbiorca, umowa).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z Twoich odpowiedzi i co zrobiłam</w:t>
      </w:r>
    </w:p>
    <w:p>
      <w:pPr>
        <w:pStyle w:val="ListBullet"/>
      </w:pPr>
      <w:r>
        <w:rPr>
          <w:b/>
        </w:rPr>
        <w:t>Koncentracja sprzedaży i „ponad 50 kontrahentów”.</w:t>
      </w:r>
      <w:r>
        <w:rPr>
          <w:b w:val="0"/>
        </w:rPr>
        <w:t xml:space="preserve"> Wszystkie wzmianki o „ponad 50 aktywnych kontrahentach” zostały usunięte i zastąpione tym, co wiemy: trzej operatorzy z listami intencyjnymi na 50 naczep, sprzedaż bezpośrednia do operatorów transportowych i 15 rozmów handlowych w marcu–maju 2026. W komentarzu w modelu jest zapis, że w pierwszym półroczu 2026 r. cała sprzedaż dotychczasowej działalności pochodzi od jednego odbiorcy (Amazon) na podstawie umowy i że prognoza zakłada utrzymanie tej współpracy. Zmiany w komentarzach arkuszy Przychody, Koszty i Opłacalność są wpisane w pliku modelu, a zmiany w pkt 1.3 i w planie zastępczym ryzyka R11 są w osobnym zestawieniu (część 7).</w:t>
      </w:r>
    </w:p>
    <w:p>
      <w:pPr>
        <w:pStyle w:val="ListBullet"/>
      </w:pPr>
      <w:r>
        <w:rPr>
          <w:b/>
        </w:rPr>
        <w:t>Zakupy od Natanek Logistics.</w:t>
      </w:r>
      <w:r>
        <w:rPr>
          <w:b w:val="0"/>
        </w:rPr>
        <w:t xml:space="preserve"> Zgodnie z Twoją decyzją piszemy wprost o 95% (ok. 13,4 mln zł w 2025 r. i ok. 8,4 mln zł w I półroczu 2026 r.). Ryzyko R12 zostało przepisane w zestawieniu zmian (część 7): usunęłam zdanie, że Natanek Logistics jest „jednym z trzech niezależnych klientów”, bo jest powiązany z przyszłym Inwestorem i jest głównym dostawcą Everest11. Opis zawiera skalę zależności, fakt, że zakupy usług transportowych nie są kosztami kwalifikowalnymi projektu, i kwartalny monitoring udziału. W zestawieniu zmian jest też dopisek do opisu zadania Z9 (niezależność walidacji), zdanie o tym, że Natanek Logistics jest głównym dostawcą, więc procedura nie opiera się na jego pracownikach. Do pkt 1.3 trzeba dopisać, że Natanek Logistics (20 z 50 naczep w listach intencyjnych) jest powiązany z Inwestorem.</w:t>
      </w:r>
    </w:p>
    <w:p>
      <w:pPr>
        <w:pStyle w:val="ListBullet"/>
      </w:pPr>
      <w:r>
        <w:rPr>
          <w:b/>
        </w:rPr>
        <w:t>Zmiana struktury właścicielskiej.</w:t>
      </w:r>
      <w:r>
        <w:rPr>
          <w:b w:val="0"/>
        </w:rPr>
        <w:t xml:space="preserve"> Z odpisu KRS wynika, że od 02.06.2025 r. jedynym wspólnikiem (100 udziałów po 50 zł) i prezesem zarządu jest Wojciech Chrzanowski. Wcześniej wspólnikami byli Damian Paweł Grabowski i Katarzyna Marta Stompel (od 04.04.2024 r.) oraz DFK Księgowość sp. z o.o. To jest w komentarzu Finansowanie (odpowiedź na K6-12, bez nazw wcześniejszych wspólników) i do komentarza Kapitał pracujący (po zmianie jedynego wspólnika w 2025 r. spółka stopniowo uregulowała zaległości). Zdanie „do 30 dni” w zestawieniu księgowej oznacza „w terminie”, więc piszemy, że salda były w terminie, bez przeterminowań.</w:t>
      </w:r>
    </w:p>
    <w:p>
      <w:pPr>
        <w:pStyle w:val="Heading2"/>
      </w:pPr>
      <w:r>
        <w:t>5.3 Twoje odpowiedzi z 05.10 i co z nich wynika</w:t>
      </w:r>
    </w:p>
    <w:p>
      <w:pPr>
        <w:pStyle w:val="ListBullet"/>
      </w:pPr>
      <w:r>
        <w:rPr>
          <w:b/>
        </w:rPr>
        <w:t>Kapitał zakładowy a wkład inwestora (K6-12).</w:t>
      </w:r>
      <w:r>
        <w:rPr>
          <w:b w:val="0"/>
        </w:rPr>
        <w:t xml:space="preserve"> Poprzednio napisałam, że wkład 1 253 358 zł przy udziale 20% odpowiada wycenie spółki ok. 6,3 mln zł. To była wycena, a nie kapitał zakładowy, ale zdanie mogło sugerować, że kapitał rośnie do 6,3 mln zł, więc je usunęłam. Nowy tekst w komentarzu Finansowanie (część 4.7) mówi, że inwestor obejmuje wszystkie nowe udziały, a dotychczasowy wspólnik nie wnosi żadnych środków. Kapitał zakładowy rośnie tylko o wartość nominalną nowych udziałów (przy 25 udziałach po 50 zł, czyli 20% po podwyższeniu, o 1 250 zł), a reszta wkładu to nadwyżka ponad wartość nominalną, która trafia na kapitał zapasowy. Pytanie panelu „skąd Chrzanowski weźmie pieniądze” znika, bo on niczego nie wnosi. Pamiętaj o jednej konsekwencji arytmetycznej: przy stałym wkładzie 1 253 358 zł i limicie 20% wycena spółki po podwyższeniu musi wynieść co najmniej ok. 6,3 mln zł (przed podwyższeniem ok. 5,0 mln zł). Jeśli profesjonalna wycena wyjdzie niższa, inwestor za tę kwotę objąłby więcej niż 20% albo wkład trzeba by zmniejszyć. Ten fragment zostawiam poza tekstem wniosku, ale warto go znać przed rozmową o wycenie.</w:t>
      </w:r>
    </w:p>
    <w:p>
      <w:pPr>
        <w:pStyle w:val="ListBullet"/>
      </w:pPr>
      <w:r>
        <w:rPr>
          <w:b/>
        </w:rPr>
        <w:t>Kancelaria adwokacka.</w:t>
      </w:r>
      <w:r>
        <w:rPr>
          <w:b w:val="0"/>
        </w:rPr>
        <w:t xml:space="preserve"> Potwierdziłaś, więc zostaje: usunięte słowo „niezależnych” przy pozostałych dostawcach.</w:t>
      </w:r>
    </w:p>
    <w:p>
      <w:pPr>
        <w:pStyle w:val="ListBullet"/>
      </w:pPr>
      <w:r>
        <w:rPr>
          <w:b/>
        </w:rPr>
        <w:t>Pokrewieństwo z kierownikiem zarządzającym.</w:t>
      </w:r>
      <w:r>
        <w:rPr>
          <w:b w:val="0"/>
        </w:rPr>
        <w:t xml:space="preserve"> Nie są spokrewnieni, więc nic nie ujawniamy w pkt 6.1.</w:t>
      </w:r>
    </w:p>
    <w:p>
      <w:pPr>
        <w:pStyle w:val="ListBullet"/>
      </w:pPr>
      <w:r>
        <w:rPr>
          <w:b/>
        </w:rPr>
        <w:t>Pozostali dwaj operatorzy.</w:t>
      </w:r>
      <w:r>
        <w:rPr>
          <w:b w:val="0"/>
        </w:rPr>
        <w:t xml:space="preserve"> Potwierdziłaś, że nie są powiązani z Inwestorem. Zdanie jest w zestawieniu zmian do pkt 1.3 (plik Zmiany_do_wprowadzenia_w_plikach_zamknietych.docx).</w:t>
      </w:r>
    </w:p>
    <w:p>
      <w:pPr>
        <w:pStyle w:val="ListBullet"/>
      </w:pPr>
      <w:r>
        <w:rPr>
          <w:b/>
        </w:rPr>
        <w:t>Umowa z Amazon.</w:t>
      </w:r>
      <w:r>
        <w:rPr>
          <w:b w:val="0"/>
        </w:rPr>
        <w:t xml:space="preserve"> Warunki są tajemnicą przedsiębiorstwa, więc w komentarzu Przychody dopisałam zdanie, że okres obowiązywania i wartość umowy nie są ujawniane we wniosku. To zmniejsza szansę na pełne zamknięcie uwagi K6-05 (pyta o portfel zamówień i okres gwarancji przychodów), ale odpowiada zasadzie, którą wskazałaś.</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Kwoty (nie procenty) zakupów od Natanek Logistics w 2025 r. i w I półroczu 2026 r., jeśli księgowa je ma.</w:t>
            </w:r>
          </w:p>
        </w:tc>
        <w:tc>
          <w:tcPr>
            <w:tcW w:type="dxa" w:w="4762"/>
          </w:tcPr>
          <w:p>
            <w:r/>
            <w:r>
              <w:rPr>
                <w:b w:val="0"/>
                <w:sz w:val="18"/>
              </w:rPr>
              <w:t>W komentarzu są przybliżenia z 95% usług obcych. Kwoty zastąpią moje „ok.”.</w:t>
            </w:r>
          </w:p>
        </w:tc>
      </w:tr>
      <w:tr>
        <w:tc>
          <w:tcPr>
            <w:tcW w:type="dxa" w:w="4989"/>
          </w:tcPr>
          <w:p>
            <w:r/>
            <w:r>
              <w:rPr>
                <w:b w:val="0"/>
                <w:sz w:val="18"/>
              </w:rPr>
              <w:t>Zaktualizować w LSI pola, które mają nowy tekst: pkt 1.3 (plan wprowadzenia na rynek, rynek docelowy), ryzyko R12 (opis i zapobieganie), plan zastępczy w ryzyku R11, opis zadania Z9, komentarze w modelu.</w:t>
            </w:r>
          </w:p>
        </w:tc>
        <w:tc>
          <w:tcPr>
            <w:tcW w:type="dxa" w:w="4762"/>
          </w:tcPr>
          <w:p>
            <w:r/>
            <w:r>
              <w:rPr>
                <w:b w:val="0"/>
                <w:sz w:val="18"/>
              </w:rPr>
              <w:t>To są miejsca, w których zmieniły się fakty po odpowiedzi księgowej i po odpisie KRS.</w:t>
            </w:r>
          </w:p>
        </w:tc>
      </w:tr>
    </w:tbl>
    <w:p/>
    <w:p>
      <w:pPr>
        <w:pStyle w:val="Heading1"/>
      </w:pPr>
      <w:r>
        <w:t>7. Pliki zamknięte</w:t>
      </w:r>
    </w:p>
    <w:p>
      <w:pPr>
        <w:spacing w:after="60"/>
      </w:pPr>
      <w:r>
        <w:rPr>
          <w:b w:val="0"/>
        </w:rPr>
        <w:t>Pliki Sekcja_1.3_i_ceny.docx, Poprawki_do_wklejenia_WP01-WP03.docx i Opisy_zadan_z_kamieniami_milowymi.docx przywróciłam do wersji sprzed moich zmian z 05.10. Wszystko, co w nich trzeba zmienić po odpowiedziach księgowej, jest w osobnym pliku Zmiany_do_wprowadzenia_w_plikach_zamknietych.docx.</w:t>
      </w:r>
    </w:p>
    <w:p>
      <w:pPr>
        <w:pStyle w:val="Heading1"/>
      </w:pPr>
      <w:r>
        <w:t>8. Propozycje do akceptacji: koszt zestawu 4 875 zł i zespół komercjalizacji</w:t>
      </w:r>
    </w:p>
    <w:p>
      <w:pPr>
        <w:spacing w:after="60"/>
      </w:pPr>
      <w:r>
        <w:rPr>
          <w:b w:val="0"/>
        </w:rPr>
        <w:t>Poniższe tabele są moją propozycją, spójną z modelem, a nie danymi z ofert. Tylko cena modułu Jetson pochodzi z cennika producenta (arkusz cen publicznych). Pozostałe ceny komponentów to założenia dla modułów klasy OEM, które dział techniczny powinien ocenić i potwierdzić ofertami przy wyborze architektury w zadaniu Z7. Tekst w komentarzu Koszty operacyjne mówi wprost, że to założenia do potwierdzenia, żeby nie twierdzić, że oferty już są.</w:t>
      </w:r>
    </w:p>
    <w:p>
      <w:pPr>
        <w:pStyle w:val="Heading2"/>
      </w:pPr>
      <w:r>
        <w:t>8.1 Koszt komponentów zestawu retrofit (4 875 zł)</w:t>
      </w:r>
    </w:p>
    <w:tbl>
      <w:tblPr>
        <w:tblStyle w:val="TableGrid"/>
        <w:tblW w:type="auto" w:w="0"/>
        <w:tblLook w:firstColumn="1" w:firstRow="1" w:lastColumn="0" w:lastRow="0" w:noHBand="0" w:noVBand="1" w:val="04A0"/>
      </w:tblPr>
      <w:tblGrid>
        <w:gridCol w:w="3213"/>
        <w:gridCol w:w="3213"/>
        <w:gridCol w:w="3213"/>
      </w:tblGrid>
      <w:tr>
        <w:tc>
          <w:tcPr>
            <w:tcW w:type="dxa" w:w="3628"/>
          </w:tcPr>
          <w:p>
            <w:r/>
            <w:r>
              <w:rPr>
                <w:b/>
                <w:sz w:val="18"/>
              </w:rPr>
              <w:t>Komponent</w:t>
            </w:r>
          </w:p>
        </w:tc>
        <w:tc>
          <w:tcPr>
            <w:tcW w:type="dxa" w:w="1134"/>
          </w:tcPr>
          <w:p>
            <w:r/>
            <w:r>
              <w:rPr>
                <w:b/>
                <w:sz w:val="18"/>
              </w:rPr>
              <w:t>Koszt zł</w:t>
            </w:r>
          </w:p>
        </w:tc>
        <w:tc>
          <w:tcPr>
            <w:tcW w:type="dxa" w:w="4989"/>
          </w:tcPr>
          <w:p>
            <w:r/>
            <w:r>
              <w:rPr>
                <w:b/>
                <w:sz w:val="18"/>
              </w:rPr>
              <w:t>Podstawa</w:t>
            </w:r>
          </w:p>
        </w:tc>
      </w:tr>
      <w:tr>
        <w:tc>
          <w:tcPr>
            <w:tcW w:type="dxa" w:w="3628"/>
          </w:tcPr>
          <w:p>
            <w:r/>
            <w:r>
              <w:rPr>
                <w:b w:val="0"/>
                <w:sz w:val="18"/>
              </w:rPr>
              <w:t>Moduł edge AI Jetson Orin Nano 8 GB</w:t>
            </w:r>
          </w:p>
        </w:tc>
        <w:tc>
          <w:tcPr>
            <w:tcW w:type="dxa" w:w="1134"/>
          </w:tcPr>
          <w:p>
            <w:r/>
            <w:r>
              <w:rPr>
                <w:b w:val="0"/>
                <w:sz w:val="18"/>
              </w:rPr>
              <w:t>1 520</w:t>
            </w:r>
          </w:p>
        </w:tc>
        <w:tc>
          <w:tcPr>
            <w:tcW w:type="dxa" w:w="4989"/>
          </w:tcPr>
          <w:p>
            <w:r/>
            <w:r>
              <w:rPr>
                <w:b w:val="0"/>
                <w:sz w:val="18"/>
              </w:rPr>
              <w:t>Cennik producenta, 399 USD przy zamówieniu od 1000 szt., kurs 3,803 (arkusz cen publicznych)</w:t>
            </w:r>
          </w:p>
        </w:tc>
      </w:tr>
      <w:tr>
        <w:tc>
          <w:tcPr>
            <w:tcW w:type="dxa" w:w="3628"/>
          </w:tcPr>
          <w:p>
            <w:r/>
            <w:r>
              <w:rPr>
                <w:b w:val="0"/>
                <w:sz w:val="18"/>
              </w:rPr>
              <w:t>Płyta nośna i integracja</w:t>
            </w:r>
          </w:p>
        </w:tc>
        <w:tc>
          <w:tcPr>
            <w:tcW w:type="dxa" w:w="1134"/>
          </w:tcPr>
          <w:p>
            <w:r/>
            <w:r>
              <w:rPr>
                <w:b w:val="0"/>
                <w:sz w:val="18"/>
              </w:rPr>
              <w:t>450</w:t>
            </w:r>
          </w:p>
        </w:tc>
        <w:tc>
          <w:tcPr>
            <w:tcW w:type="dxa" w:w="4989"/>
          </w:tcPr>
          <w:p>
            <w:r/>
            <w:r>
              <w:rPr>
                <w:b w:val="0"/>
                <w:sz w:val="18"/>
              </w:rPr>
              <w:t>Założenie: własna płyta zamiast gotowego zestawu deweloperskiego</w:t>
            </w:r>
          </w:p>
        </w:tc>
      </w:tr>
      <w:tr>
        <w:tc>
          <w:tcPr>
            <w:tcW w:type="dxa" w:w="3628"/>
          </w:tcPr>
          <w:p>
            <w:r/>
            <w:r>
              <w:rPr>
                <w:b w:val="0"/>
                <w:sz w:val="18"/>
              </w:rPr>
              <w:t>Moduł kamery ToF (OEM)</w:t>
            </w:r>
          </w:p>
        </w:tc>
        <w:tc>
          <w:tcPr>
            <w:tcW w:type="dxa" w:w="1134"/>
          </w:tcPr>
          <w:p>
            <w:r/>
            <w:r>
              <w:rPr>
                <w:b w:val="0"/>
                <w:sz w:val="18"/>
              </w:rPr>
              <w:t>850</w:t>
            </w:r>
          </w:p>
        </w:tc>
        <w:tc>
          <w:tcPr>
            <w:tcW w:type="dxa" w:w="4989"/>
          </w:tcPr>
          <w:p>
            <w:r/>
            <w:r>
              <w:rPr>
                <w:b w:val="0"/>
                <w:sz w:val="18"/>
              </w:rPr>
              <w:t>Założenie: moduł OEM zamiast kamery detalicznej (Femto Bolt 2 126 zł)</w:t>
            </w:r>
          </w:p>
        </w:tc>
      </w:tr>
      <w:tr>
        <w:tc>
          <w:tcPr>
            <w:tcW w:type="dxa" w:w="3628"/>
          </w:tcPr>
          <w:p>
            <w:r/>
            <w:r>
              <w:rPr>
                <w:b w:val="0"/>
                <w:sz w:val="18"/>
              </w:rPr>
              <w:t>Moduł kamery EO (OEM)</w:t>
            </w:r>
          </w:p>
        </w:tc>
        <w:tc>
          <w:tcPr>
            <w:tcW w:type="dxa" w:w="1134"/>
          </w:tcPr>
          <w:p>
            <w:r/>
            <w:r>
              <w:rPr>
                <w:b w:val="0"/>
                <w:sz w:val="18"/>
              </w:rPr>
              <w:t>380</w:t>
            </w:r>
          </w:p>
        </w:tc>
        <w:tc>
          <w:tcPr>
            <w:tcW w:type="dxa" w:w="4989"/>
          </w:tcPr>
          <w:p>
            <w:r/>
            <w:r>
              <w:rPr>
                <w:b w:val="0"/>
                <w:sz w:val="18"/>
              </w:rPr>
              <w:t>Założenie: moduł OEM zamiast kamery przemysłowej (Basler 1 392 zł)</w:t>
            </w:r>
          </w:p>
        </w:tc>
      </w:tr>
      <w:tr>
        <w:tc>
          <w:tcPr>
            <w:tcW w:type="dxa" w:w="3628"/>
          </w:tcPr>
          <w:p>
            <w:r/>
            <w:r>
              <w:rPr>
                <w:b w:val="0"/>
                <w:sz w:val="18"/>
              </w:rPr>
              <w:t>Radar mmWave (moduł OEM)</w:t>
            </w:r>
          </w:p>
        </w:tc>
        <w:tc>
          <w:tcPr>
            <w:tcW w:type="dxa" w:w="1134"/>
          </w:tcPr>
          <w:p>
            <w:r/>
            <w:r>
              <w:rPr>
                <w:b w:val="0"/>
                <w:sz w:val="18"/>
              </w:rPr>
              <w:t>430</w:t>
            </w:r>
          </w:p>
        </w:tc>
        <w:tc>
          <w:tcPr>
            <w:tcW w:type="dxa" w:w="4989"/>
          </w:tcPr>
          <w:p>
            <w:r/>
            <w:r>
              <w:rPr>
                <w:b w:val="0"/>
                <w:sz w:val="18"/>
              </w:rPr>
              <w:t>Założenie: moduł zamiast płytki ewaluacyjnej (979 zł)</w:t>
            </w:r>
          </w:p>
        </w:tc>
      </w:tr>
      <w:tr>
        <w:tc>
          <w:tcPr>
            <w:tcW w:type="dxa" w:w="3628"/>
          </w:tcPr>
          <w:p>
            <w:r/>
            <w:r>
              <w:rPr>
                <w:b w:val="0"/>
                <w:sz w:val="18"/>
              </w:rPr>
              <w:t>IMU i czujniki środowiskowe</w:t>
            </w:r>
          </w:p>
        </w:tc>
        <w:tc>
          <w:tcPr>
            <w:tcW w:type="dxa" w:w="1134"/>
          </w:tcPr>
          <w:p>
            <w:r/>
            <w:r>
              <w:rPr>
                <w:b w:val="0"/>
                <w:sz w:val="18"/>
              </w:rPr>
              <w:t>120</w:t>
            </w:r>
          </w:p>
        </w:tc>
        <w:tc>
          <w:tcPr>
            <w:tcW w:type="dxa" w:w="4989"/>
          </w:tcPr>
          <w:p>
            <w:r/>
            <w:r>
              <w:rPr>
                <w:b w:val="0"/>
                <w:sz w:val="18"/>
              </w:rPr>
              <w:t>Założenie: układy MEMS</w:t>
            </w:r>
          </w:p>
        </w:tc>
      </w:tr>
      <w:tr>
        <w:tc>
          <w:tcPr>
            <w:tcW w:type="dxa" w:w="3628"/>
          </w:tcPr>
          <w:p>
            <w:r/>
            <w:r>
              <w:rPr>
                <w:b w:val="0"/>
                <w:sz w:val="18"/>
              </w:rPr>
              <w:t>Moduł LTE/GNSS z antenami</w:t>
            </w:r>
          </w:p>
        </w:tc>
        <w:tc>
          <w:tcPr>
            <w:tcW w:type="dxa" w:w="1134"/>
          </w:tcPr>
          <w:p>
            <w:r/>
            <w:r>
              <w:rPr>
                <w:b w:val="0"/>
                <w:sz w:val="18"/>
              </w:rPr>
              <w:t>340</w:t>
            </w:r>
          </w:p>
        </w:tc>
        <w:tc>
          <w:tcPr>
            <w:tcW w:type="dxa" w:w="4989"/>
          </w:tcPr>
          <w:p>
            <w:r/>
            <w:r>
              <w:rPr>
                <w:b w:val="0"/>
                <w:sz w:val="18"/>
              </w:rPr>
              <w:t>Założenie: moduł zamiast routera (1 174 do 1 333 zł)</w:t>
            </w:r>
          </w:p>
        </w:tc>
      </w:tr>
      <w:tr>
        <w:tc>
          <w:tcPr>
            <w:tcW w:type="dxa" w:w="3628"/>
          </w:tcPr>
          <w:p>
            <w:r/>
            <w:r>
              <w:rPr>
                <w:b w:val="0"/>
                <w:sz w:val="18"/>
              </w:rPr>
              <w:t>Dysk NVMe 256 GB klasy przemysłowej</w:t>
            </w:r>
          </w:p>
        </w:tc>
        <w:tc>
          <w:tcPr>
            <w:tcW w:type="dxa" w:w="1134"/>
          </w:tcPr>
          <w:p>
            <w:r/>
            <w:r>
              <w:rPr>
                <w:b w:val="0"/>
                <w:sz w:val="18"/>
              </w:rPr>
              <w:t>260</w:t>
            </w:r>
          </w:p>
        </w:tc>
        <w:tc>
          <w:tcPr>
            <w:tcW w:type="dxa" w:w="4989"/>
          </w:tcPr>
          <w:p>
            <w:r/>
            <w:r>
              <w:rPr>
                <w:b w:val="0"/>
                <w:sz w:val="18"/>
              </w:rPr>
              <w:t>Założenie: mniejsza pojemność niż w torze badawczym (1 TB)</w:t>
            </w:r>
          </w:p>
        </w:tc>
      </w:tr>
      <w:tr>
        <w:tc>
          <w:tcPr>
            <w:tcW w:type="dxa" w:w="3628"/>
          </w:tcPr>
          <w:p>
            <w:r/>
            <w:r>
              <w:rPr>
                <w:b w:val="0"/>
                <w:sz w:val="18"/>
              </w:rPr>
              <w:t>Obudowa IP66, okablowanie, zasilanie 12/24 V DC-DC</w:t>
            </w:r>
          </w:p>
        </w:tc>
        <w:tc>
          <w:tcPr>
            <w:tcW w:type="dxa" w:w="1134"/>
          </w:tcPr>
          <w:p>
            <w:r/>
            <w:r>
              <w:rPr>
                <w:b w:val="0"/>
                <w:sz w:val="18"/>
              </w:rPr>
              <w:t>525</w:t>
            </w:r>
          </w:p>
        </w:tc>
        <w:tc>
          <w:tcPr>
            <w:tcW w:type="dxa" w:w="4989"/>
          </w:tcPr>
          <w:p>
            <w:r/>
            <w:r>
              <w:rPr>
                <w:b w:val="0"/>
                <w:sz w:val="18"/>
              </w:rPr>
              <w:t>Założenie: obudowa 190 do 411 zł (RS) plus zasilanie</w:t>
            </w:r>
          </w:p>
        </w:tc>
      </w:tr>
      <w:tr>
        <w:tc>
          <w:tcPr>
            <w:tcW w:type="dxa" w:w="3628"/>
          </w:tcPr>
          <w:p>
            <w:r/>
            <w:r>
              <w:rPr>
                <w:b w:val="0"/>
                <w:sz w:val="18"/>
              </w:rPr>
              <w:t>Razem</w:t>
            </w:r>
          </w:p>
        </w:tc>
        <w:tc>
          <w:tcPr>
            <w:tcW w:type="dxa" w:w="1134"/>
          </w:tcPr>
          <w:p>
            <w:r/>
            <w:r>
              <w:rPr>
                <w:b w:val="0"/>
                <w:sz w:val="18"/>
              </w:rPr>
              <w:t>4 875</w:t>
            </w:r>
          </w:p>
        </w:tc>
        <w:tc>
          <w:tcPr>
            <w:tcW w:type="dxa" w:w="4989"/>
          </w:tcPr>
          <w:p>
            <w:r/>
            <w:r>
              <w:rPr>
                <w:b w:val="0"/>
                <w:sz w:val="18"/>
              </w:rPr>
              <w:t>65% ceny 7 500 zł</w:t>
            </w:r>
          </w:p>
        </w:tc>
      </w:tr>
    </w:tbl>
    <w:p/>
    <w:p>
      <w:pPr>
        <w:spacing w:after="60"/>
      </w:pPr>
      <w:r>
        <w:rPr>
          <w:b w:val="0"/>
        </w:rPr>
        <w:t>Zestaw ma po jednym module kamery ToF, kamery EO i radaru, tak jak w arkuszu marży (BOM wersji podstawowej). Koszt na poziomie 4 875 zł wymaga komponentów klasy OEM, bo ceny detaliczne tych samych pozycji dają ok. 10,2 tys. zł (7,6 tys. zł przy rabacie 30%). To pozostaje głównym ryzykiem uwag K2-12 i K2-13. Komentarz traktuje 4 875 zł jako koszt docelowy osiągany w Z7 i podaje wrażliwość marży:</w:t>
      </w:r>
    </w:p>
    <w:tbl>
      <w:tblPr>
        <w:tblStyle w:val="TableGrid"/>
        <w:tblW w:type="auto" w:w="0"/>
        <w:tblLook w:firstColumn="1" w:firstRow="1" w:lastColumn="0" w:lastRow="0" w:noHBand="0" w:noVBand="1" w:val="04A0"/>
      </w:tblPr>
      <w:tblGrid>
        <w:gridCol w:w="4819"/>
        <w:gridCol w:w="4819"/>
      </w:tblGrid>
      <w:tr>
        <w:tc>
          <w:tcPr>
            <w:tcW w:type="dxa" w:w="5102"/>
          </w:tcPr>
          <w:p>
            <w:r/>
            <w:r>
              <w:rPr>
                <w:b/>
                <w:sz w:val="18"/>
              </w:rPr>
              <w:t>Koszt komponentów zestawu</w:t>
            </w:r>
          </w:p>
        </w:tc>
        <w:tc>
          <w:tcPr>
            <w:tcW w:type="dxa" w:w="4649"/>
          </w:tcPr>
          <w:p>
            <w:r/>
            <w:r>
              <w:rPr>
                <w:b/>
                <w:sz w:val="18"/>
              </w:rPr>
              <w:t>Marża brutto na zestawie przy cenie 7 500 zł</w:t>
            </w:r>
          </w:p>
        </w:tc>
      </w:tr>
      <w:tr>
        <w:tc>
          <w:tcPr>
            <w:tcW w:type="dxa" w:w="5102"/>
          </w:tcPr>
          <w:p>
            <w:r/>
            <w:r>
              <w:rPr>
                <w:b w:val="0"/>
                <w:sz w:val="18"/>
              </w:rPr>
              <w:t>4 875 zł (koszt docelowy)</w:t>
            </w:r>
          </w:p>
        </w:tc>
        <w:tc>
          <w:tcPr>
            <w:tcW w:type="dxa" w:w="4649"/>
          </w:tcPr>
          <w:p>
            <w:r/>
            <w:r>
              <w:rPr>
                <w:b w:val="0"/>
                <w:sz w:val="18"/>
              </w:rPr>
              <w:t>35,0%</w:t>
            </w:r>
          </w:p>
        </w:tc>
      </w:tr>
      <w:tr>
        <w:tc>
          <w:tcPr>
            <w:tcW w:type="dxa" w:w="5102"/>
          </w:tcPr>
          <w:p>
            <w:r/>
            <w:r>
              <w:rPr>
                <w:b w:val="0"/>
                <w:sz w:val="18"/>
              </w:rPr>
              <w:t>5 875 zł</w:t>
            </w:r>
          </w:p>
        </w:tc>
        <w:tc>
          <w:tcPr>
            <w:tcW w:type="dxa" w:w="4649"/>
          </w:tcPr>
          <w:p>
            <w:r/>
            <w:r>
              <w:rPr>
                <w:b w:val="0"/>
                <w:sz w:val="18"/>
              </w:rPr>
              <w:t>21,7%</w:t>
            </w:r>
          </w:p>
        </w:tc>
      </w:tr>
      <w:tr>
        <w:tc>
          <w:tcPr>
            <w:tcW w:type="dxa" w:w="5102"/>
          </w:tcPr>
          <w:p>
            <w:r/>
            <w:r>
              <w:rPr>
                <w:b w:val="0"/>
                <w:sz w:val="18"/>
              </w:rPr>
              <w:t>6 575 zł (maksimum dla 10% marży łącznej, arkusz 5)</w:t>
            </w:r>
          </w:p>
        </w:tc>
        <w:tc>
          <w:tcPr>
            <w:tcW w:type="dxa" w:w="4649"/>
          </w:tcPr>
          <w:p>
            <w:r/>
            <w:r>
              <w:rPr>
                <w:b w:val="0"/>
                <w:sz w:val="18"/>
              </w:rPr>
              <w:t>12,3%</w:t>
            </w:r>
          </w:p>
        </w:tc>
      </w:tr>
      <w:tr>
        <w:tc>
          <w:tcPr>
            <w:tcW w:type="dxa" w:w="5102"/>
          </w:tcPr>
          <w:p>
            <w:r/>
            <w:r>
              <w:rPr>
                <w:b w:val="0"/>
                <w:sz w:val="18"/>
              </w:rPr>
              <w:t>7 606 zł (ceny publiczne, rabat 30%)</w:t>
            </w:r>
          </w:p>
        </w:tc>
        <w:tc>
          <w:tcPr>
            <w:tcW w:type="dxa" w:w="4649"/>
          </w:tcPr>
          <w:p>
            <w:r/>
            <w:r>
              <w:rPr>
                <w:b w:val="0"/>
                <w:sz w:val="18"/>
              </w:rPr>
              <w:t>-1,4%</w:t>
            </w:r>
          </w:p>
        </w:tc>
      </w:tr>
    </w:tbl>
    <w:p/>
    <w:p>
      <w:pPr>
        <w:pStyle w:val="Heading2"/>
      </w:pPr>
      <w:r>
        <w:t>8.2 Zespół komercjalizacji (etaty)</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3628"/>
          </w:tcPr>
          <w:p>
            <w:r/>
            <w:r>
              <w:rPr>
                <w:b/>
                <w:sz w:val="18"/>
              </w:rPr>
              <w:t>Rok</w:t>
            </w:r>
          </w:p>
        </w:tc>
        <w:tc>
          <w:tcPr>
            <w:tcW w:type="dxa" w:w="1134"/>
          </w:tcPr>
          <w:p>
            <w:r/>
            <w:r>
              <w:rPr>
                <w:b/>
                <w:sz w:val="18"/>
              </w:rPr>
              <w:t>2030</w:t>
            </w:r>
          </w:p>
        </w:tc>
        <w:tc>
          <w:tcPr>
            <w:tcW w:type="dxa" w:w="1247"/>
          </w:tcPr>
          <w:p>
            <w:r/>
            <w:r>
              <w:rPr>
                <w:b/>
                <w:sz w:val="18"/>
              </w:rPr>
              <w:t>2031</w:t>
            </w:r>
          </w:p>
        </w:tc>
        <w:tc>
          <w:tcPr>
            <w:tcW w:type="dxa" w:w="1247"/>
          </w:tcPr>
          <w:p>
            <w:r/>
            <w:r>
              <w:rPr>
                <w:b/>
                <w:sz w:val="18"/>
              </w:rPr>
              <w:t>2032</w:t>
            </w:r>
          </w:p>
        </w:tc>
        <w:tc>
          <w:tcPr>
            <w:tcW w:type="dxa" w:w="1247"/>
          </w:tcPr>
          <w:p>
            <w:r/>
            <w:r>
              <w:rPr>
                <w:b/>
                <w:sz w:val="18"/>
              </w:rPr>
              <w:t>2033</w:t>
            </w:r>
          </w:p>
        </w:tc>
        <w:tc>
          <w:tcPr>
            <w:tcW w:type="dxa" w:w="1247"/>
          </w:tcPr>
          <w:p>
            <w:r/>
            <w:r>
              <w:rPr>
                <w:b/>
                <w:sz w:val="18"/>
              </w:rPr>
              <w:t>2034</w:t>
            </w:r>
          </w:p>
        </w:tc>
      </w:tr>
      <w:tr>
        <w:tc>
          <w:tcPr>
            <w:tcW w:type="dxa" w:w="3628"/>
          </w:tcPr>
          <w:p>
            <w:r/>
            <w:r>
              <w:rPr>
                <w:b w:val="0"/>
                <w:sz w:val="18"/>
              </w:rPr>
              <w:t>Doradcy klienta B2B (etaty)</w:t>
            </w:r>
          </w:p>
        </w:tc>
        <w:tc>
          <w:tcPr>
            <w:tcW w:type="dxa" w:w="1134"/>
          </w:tcPr>
          <w:p>
            <w:r/>
            <w:r>
              <w:rPr>
                <w:b w:val="0"/>
                <w:sz w:val="18"/>
              </w:rPr>
              <w:t>1,0</w:t>
            </w:r>
          </w:p>
        </w:tc>
        <w:tc>
          <w:tcPr>
            <w:tcW w:type="dxa" w:w="1247"/>
          </w:tcPr>
          <w:p>
            <w:r/>
            <w:r>
              <w:rPr>
                <w:b w:val="0"/>
                <w:sz w:val="18"/>
              </w:rPr>
              <w:t>1,0</w:t>
            </w:r>
          </w:p>
        </w:tc>
        <w:tc>
          <w:tcPr>
            <w:tcW w:type="dxa" w:w="1247"/>
          </w:tcPr>
          <w:p>
            <w:r/>
            <w:r>
              <w:rPr>
                <w:b w:val="0"/>
                <w:sz w:val="18"/>
              </w:rPr>
              <w:t>1,0</w:t>
            </w:r>
          </w:p>
        </w:tc>
        <w:tc>
          <w:tcPr>
            <w:tcW w:type="dxa" w:w="1247"/>
          </w:tcPr>
          <w:p>
            <w:r/>
            <w:r>
              <w:rPr>
                <w:b w:val="0"/>
                <w:sz w:val="18"/>
              </w:rPr>
              <w:t>2,0</w:t>
            </w:r>
          </w:p>
        </w:tc>
        <w:tc>
          <w:tcPr>
            <w:tcW w:type="dxa" w:w="1247"/>
          </w:tcPr>
          <w:p>
            <w:r/>
            <w:r>
              <w:rPr>
                <w:b w:val="0"/>
                <w:sz w:val="18"/>
              </w:rPr>
              <w:t>3,0</w:t>
            </w:r>
          </w:p>
        </w:tc>
      </w:tr>
      <w:tr>
        <w:tc>
          <w:tcPr>
            <w:tcW w:type="dxa" w:w="3628"/>
          </w:tcPr>
          <w:p>
            <w:r/>
            <w:r>
              <w:rPr>
                <w:b w:val="0"/>
                <w:sz w:val="18"/>
              </w:rPr>
              <w:t>Specjalista ds. wdrożeń i wsparcia (etaty)</w:t>
            </w:r>
          </w:p>
        </w:tc>
        <w:tc>
          <w:tcPr>
            <w:tcW w:type="dxa" w:w="1134"/>
          </w:tcPr>
          <w:p>
            <w:r/>
            <w:r>
              <w:rPr>
                <w:b w:val="0"/>
                <w:sz w:val="18"/>
              </w:rPr>
              <w:t>0,5</w:t>
            </w:r>
          </w:p>
        </w:tc>
        <w:tc>
          <w:tcPr>
            <w:tcW w:type="dxa" w:w="1247"/>
          </w:tcPr>
          <w:p>
            <w:r/>
            <w:r>
              <w:rPr>
                <w:b w:val="0"/>
                <w:sz w:val="18"/>
              </w:rPr>
              <w:t>1,0</w:t>
            </w:r>
          </w:p>
        </w:tc>
        <w:tc>
          <w:tcPr>
            <w:tcW w:type="dxa" w:w="1247"/>
          </w:tcPr>
          <w:p>
            <w:r/>
            <w:r>
              <w:rPr>
                <w:b w:val="0"/>
                <w:sz w:val="18"/>
              </w:rPr>
              <w:t>1,5</w:t>
            </w:r>
          </w:p>
        </w:tc>
        <w:tc>
          <w:tcPr>
            <w:tcW w:type="dxa" w:w="1247"/>
          </w:tcPr>
          <w:p>
            <w:r/>
            <w:r>
              <w:rPr>
                <w:b w:val="0"/>
                <w:sz w:val="18"/>
              </w:rPr>
              <w:t>1,5</w:t>
            </w:r>
          </w:p>
        </w:tc>
        <w:tc>
          <w:tcPr>
            <w:tcW w:type="dxa" w:w="1247"/>
          </w:tcPr>
          <w:p>
            <w:r/>
            <w:r>
              <w:rPr>
                <w:b w:val="0"/>
                <w:sz w:val="18"/>
              </w:rPr>
              <w:t>1,5</w:t>
            </w:r>
          </w:p>
        </w:tc>
      </w:tr>
      <w:tr>
        <w:tc>
          <w:tcPr>
            <w:tcW w:type="dxa" w:w="3628"/>
          </w:tcPr>
          <w:p>
            <w:r/>
            <w:r>
              <w:rPr>
                <w:b w:val="0"/>
                <w:sz w:val="18"/>
              </w:rPr>
              <w:t>Razem etatów</w:t>
            </w:r>
          </w:p>
        </w:tc>
        <w:tc>
          <w:tcPr>
            <w:tcW w:type="dxa" w:w="1134"/>
          </w:tcPr>
          <w:p>
            <w:r/>
            <w:r>
              <w:rPr>
                <w:b w:val="0"/>
                <w:sz w:val="18"/>
              </w:rPr>
              <w:t>1,5</w:t>
            </w:r>
          </w:p>
        </w:tc>
        <w:tc>
          <w:tcPr>
            <w:tcW w:type="dxa" w:w="1247"/>
          </w:tcPr>
          <w:p>
            <w:r/>
            <w:r>
              <w:rPr>
                <w:b w:val="0"/>
                <w:sz w:val="18"/>
              </w:rPr>
              <w:t>2,0</w:t>
            </w:r>
          </w:p>
        </w:tc>
        <w:tc>
          <w:tcPr>
            <w:tcW w:type="dxa" w:w="1247"/>
          </w:tcPr>
          <w:p>
            <w:r/>
            <w:r>
              <w:rPr>
                <w:b w:val="0"/>
                <w:sz w:val="18"/>
              </w:rPr>
              <w:t>2,5</w:t>
            </w:r>
          </w:p>
        </w:tc>
        <w:tc>
          <w:tcPr>
            <w:tcW w:type="dxa" w:w="1247"/>
          </w:tcPr>
          <w:p>
            <w:r/>
            <w:r>
              <w:rPr>
                <w:b w:val="0"/>
                <w:sz w:val="18"/>
              </w:rPr>
              <w:t>3,5</w:t>
            </w:r>
          </w:p>
        </w:tc>
        <w:tc>
          <w:tcPr>
            <w:tcW w:type="dxa" w:w="1247"/>
          </w:tcPr>
          <w:p>
            <w:r/>
            <w:r>
              <w:rPr>
                <w:b w:val="0"/>
                <w:sz w:val="18"/>
              </w:rPr>
              <w:t>4,5</w:t>
            </w:r>
          </w:p>
        </w:tc>
      </w:tr>
      <w:tr>
        <w:tc>
          <w:tcPr>
            <w:tcW w:type="dxa" w:w="3628"/>
          </w:tcPr>
          <w:p>
            <w:r/>
            <w:r>
              <w:rPr>
                <w:b w:val="0"/>
                <w:sz w:val="18"/>
              </w:rPr>
              <w:t>Koszt w modelu (tys. zł)</w:t>
            </w:r>
          </w:p>
        </w:tc>
        <w:tc>
          <w:tcPr>
            <w:tcW w:type="dxa" w:w="1134"/>
          </w:tcPr>
          <w:p>
            <w:r/>
            <w:r>
              <w:rPr>
                <w:b w:val="0"/>
                <w:sz w:val="18"/>
              </w:rPr>
              <w:t>345,6</w:t>
            </w:r>
          </w:p>
        </w:tc>
        <w:tc>
          <w:tcPr>
            <w:tcW w:type="dxa" w:w="1247"/>
          </w:tcPr>
          <w:p>
            <w:r/>
            <w:r>
              <w:rPr>
                <w:b w:val="0"/>
                <w:sz w:val="18"/>
              </w:rPr>
              <w:t>460,8</w:t>
            </w:r>
          </w:p>
        </w:tc>
        <w:tc>
          <w:tcPr>
            <w:tcW w:type="dxa" w:w="1247"/>
          </w:tcPr>
          <w:p>
            <w:r/>
            <w:r>
              <w:rPr>
                <w:b w:val="0"/>
                <w:sz w:val="18"/>
              </w:rPr>
              <w:t>576,0</w:t>
            </w:r>
          </w:p>
        </w:tc>
        <w:tc>
          <w:tcPr>
            <w:tcW w:type="dxa" w:w="1247"/>
          </w:tcPr>
          <w:p>
            <w:r/>
            <w:r>
              <w:rPr>
                <w:b w:val="0"/>
                <w:sz w:val="18"/>
              </w:rPr>
              <w:t>806,4</w:t>
            </w:r>
          </w:p>
        </w:tc>
        <w:tc>
          <w:tcPr>
            <w:tcW w:type="dxa" w:w="1247"/>
          </w:tcPr>
          <w:p>
            <w:r/>
            <w:r>
              <w:rPr>
                <w:b w:val="0"/>
                <w:sz w:val="18"/>
              </w:rPr>
              <w:t>1 036,8</w:t>
            </w:r>
          </w:p>
        </w:tc>
      </w:tr>
      <w:tr>
        <w:tc>
          <w:tcPr>
            <w:tcW w:type="dxa" w:w="3628"/>
          </w:tcPr>
          <w:p>
            <w:r/>
            <w:r>
              <w:rPr>
                <w:b w:val="0"/>
                <w:sz w:val="18"/>
              </w:rPr>
              <w:t>Pojazdów na jeden etat</w:t>
            </w:r>
          </w:p>
        </w:tc>
        <w:tc>
          <w:tcPr>
            <w:tcW w:type="dxa" w:w="1134"/>
          </w:tcPr>
          <w:p>
            <w:r/>
            <w:r>
              <w:rPr>
                <w:b w:val="0"/>
                <w:sz w:val="18"/>
              </w:rPr>
              <w:t>33</w:t>
            </w:r>
          </w:p>
        </w:tc>
        <w:tc>
          <w:tcPr>
            <w:tcW w:type="dxa" w:w="1247"/>
          </w:tcPr>
          <w:p>
            <w:r/>
            <w:r>
              <w:rPr>
                <w:b w:val="0"/>
                <w:sz w:val="18"/>
              </w:rPr>
              <w:t>62</w:t>
            </w:r>
          </w:p>
        </w:tc>
        <w:tc>
          <w:tcPr>
            <w:tcW w:type="dxa" w:w="1247"/>
          </w:tcPr>
          <w:p>
            <w:r/>
            <w:r>
              <w:rPr>
                <w:b w:val="0"/>
                <w:sz w:val="18"/>
              </w:rPr>
              <w:t>100</w:t>
            </w:r>
          </w:p>
        </w:tc>
        <w:tc>
          <w:tcPr>
            <w:tcW w:type="dxa" w:w="1247"/>
          </w:tcPr>
          <w:p>
            <w:r/>
            <w:r>
              <w:rPr>
                <w:b w:val="0"/>
                <w:sz w:val="18"/>
              </w:rPr>
              <w:t>143</w:t>
            </w:r>
          </w:p>
        </w:tc>
        <w:tc>
          <w:tcPr>
            <w:tcW w:type="dxa" w:w="1247"/>
          </w:tcPr>
          <w:p>
            <w:r/>
            <w:r>
              <w:rPr>
                <w:b w:val="0"/>
                <w:sz w:val="18"/>
              </w:rPr>
              <w:t>222</w:t>
            </w:r>
          </w:p>
        </w:tc>
      </w:tr>
    </w:tbl>
    <w:p/>
    <w:p>
      <w:pPr>
        <w:spacing w:after="60"/>
      </w:pPr>
      <w:r>
        <w:rPr>
          <w:b w:val="0"/>
        </w:rPr>
        <w:t>Koszt etatu 19,2 tys. zł miesięcznie (230,4 tys. zł rocznie) daje dokładnie te cztery liczby etatów, więc kwoty z modelu nie wymagają zmiany. To ok. 15,9 tys. zł brutto z kosztami pracodawcy 20,5%. Hays Salary Guide 2026 podaje najczęściej oferowane wynagrodzenie 13 000 zł brutto dla doradcy klienta MŚP i 19 000 zł dla key account managera B2B, więc kwota mieści się w widełkach. Skład zespołu i etaty to moja propozycja, którą musisz zatwierdzić.</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