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Zmiany do wprowadzenia w plikach zamkniętych i w LSI</w:t>
      </w:r>
    </w:p>
    <w:p>
      <w:r>
        <w:rPr>
          <w:b w:val="0"/>
        </w:rPr>
        <w:t>Wniosek FENG.01.01-IP.01-A1RR/26, CargoDT. Zestawienie dotyczy plików, których nie korygujemy: Sekcja_1.3_i_ceny.docx, Poprawki_do_wklejenia_WP01-WP03.docx i Opisy_zadan_z_kamieniami_milowymi.docx. Powód zmian: odpowiedzi księgowej z 05.10.2026, odpis KRS z 05.10.2026 i Twoje decyzje D47 do D49. Każda pozycja podaje plik, miejsce, dotychczasowy zapis i nowy zapis do wklejenia w odpowiednim polu LSI.</w:t>
      </w:r>
    </w:p>
    <w:p>
      <w:pPr>
        <w:pStyle w:val="Heading1"/>
      </w:pPr>
      <w:r>
        <w:t>1. Powód zmian w skrócie</w:t>
      </w:r>
    </w:p>
    <w:p>
      <w:pPr>
        <w:pStyle w:val="ListBullet"/>
      </w:pPr>
      <w:r>
        <w:rPr>
          <w:b/>
        </w:rPr>
        <w:t>Sprzedaż Everest11:</w:t>
      </w:r>
      <w:r>
        <w:rPr>
          <w:b w:val="0"/>
        </w:rPr>
        <w:t xml:space="preserve"> w 2025 r. 95% Amazon i 5% Nara Motors, w pierwszym półroczu 2026 r. 100% Amazon. Nie ma bazy „ponad 50 aktywnych kontrahentów”, więc to sformułowanie znika.</w:t>
      </w:r>
    </w:p>
    <w:p>
      <w:pPr>
        <w:pStyle w:val="ListBullet"/>
      </w:pPr>
      <w:r>
        <w:rPr>
          <w:b/>
        </w:rPr>
        <w:t>Natanek Logistics:</w:t>
      </w:r>
      <w:r>
        <w:rPr>
          <w:b w:val="0"/>
        </w:rPr>
        <w:t xml:space="preserve"> powiązany z przyszłym Inwestorem, główny dostawca usług transportowych Everest11 (ok. 95% zakupów usług), partner testowy i jeden z trzech operatorów z listami intencyjnymi. Nie jest „niezależnym klientem”.</w:t>
      </w:r>
    </w:p>
    <w:p>
      <w:pPr>
        <w:pStyle w:val="ListBullet"/>
      </w:pPr>
      <w:r>
        <w:rPr>
          <w:b/>
        </w:rPr>
        <w:t>Dwaj pozostali operatorzy z listami intencyjnymi</w:t>
      </w:r>
      <w:r>
        <w:rPr>
          <w:b w:val="0"/>
        </w:rPr>
        <w:t xml:space="preserve"> (Hubert Lizak SZYK, Transport Towarowy Paweł Łazarczyk, razem 30 naczep) nie są powiązani z Inwestorem ani z Everest11.</w:t>
      </w:r>
    </w:p>
    <w:p>
      <w:pPr>
        <w:pStyle w:val="Heading1"/>
      </w:pPr>
      <w:r>
        <w:t>2. Sekcja_1.3_i_ceny.docx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Część VI „Segmenty i wejście na rynek”, pierwsze zdanie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kanałem baza ponad 50 aktywnych kontrahentów spedycyjnych Everest11, z którymi spółka prowadzi bieżącą współpracę.”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kanałem sprzedaż bezpośrednia do operatorów transportowych: trzej z nich podpisali listy intencyjne, a kolejni uczestniczyli w 15 rozmowach handlowych w okresie marzec-maj 2026.”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 (innowacja produktowa), zdanie o barierze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odpowie na nią bezpośredni kanał sprzedaży przez bazę ponad 50 klientów Everest11.”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odpowie na nią sprzedaż bezpośrednia do operatorów transportowych.”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docelowy, zdanie o listach intencyjnych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„Trzej operatorzy z bazy klientów, Krajowe i Międzynarodowe Usługi Transportowe Hubert Lizak SZYK, Natanek Logistics i Transport Towarowy Paweł Łazarczyk, podpisali listy intencyjne na łącznie 50 naczep (20, 20 i 10), co stanowi pierwszy próg sprzedaży w 2030 r.”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„Trzej operatorzy transportowi, Krajowe i Międzynarodowe Usługi Transportowe Hubert Lizak SZYK, Natanek Logistics i Transport Towarowy Paweł Łazarczyk, podpisali listy intencyjne na łącznie 50 naczep (20, 20 i 10), co stanowi pierwszy próg sprzedaży w 2030 r. Natanek Logistics (20 naczep) jest podmiotem powiązanym z przyszłym Inwestorem, Zbigniewem Natankiem. Pozostali dwaj operatorzy (30 naczep) nie są powiązani z Inwestorem ani z Everest11.”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Plan wprowadzenia na rynek, zdanie o sprzedaży bezpośredniej (Michał Hajduk)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„…do bazy ponad 50 kontrahentów Everest11, w kontakcie bezpośrednim…”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„…do operatorów transportowych, w kontakcie bezpośrednim…”</w:t>
            </w:r>
          </w:p>
        </w:tc>
      </w:tr>
    </w:tbl>
    <w:p/>
    <w:p>
      <w:pPr>
        <w:pStyle w:val="Heading1"/>
      </w:pPr>
      <w:r>
        <w:t>3. Poprawki_do_wklejenia_WP01-WP03.docx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(limit 2000, nowy tekst ma 1171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tekst, w tym zdanie „Natanek Logistics jest jednym z trzech niezależnych potwierdzonych klientów (listy intencyjne), co ogranicza skalę zależności.” i „Prawdopodobieństwo: niskie.”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Etap: cały okres realizacji i wdrożenie.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„Zapobieganie ryzyku” (nowy tekst ma 1244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punkty mitygacji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Mitygacja: 1)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rynkowych; 2) wszystkie transakcje z podmiotami powiązanymi z Inwestorem zawierane na warunkach rynkowych, weryfikowanych tą samą metodą, jaką stosujemy do cen rynkowych praw majątkowych między konsorcjantami: rozeznanie rynku (porównanie ofert innych przewoźników), niezależna wycena albo negocjacje w warunkach pełnej konkurencji; 3) umowa partnerska dotycząca floty testowej udokumentowana odniesieniem do porównywalnych ofert rynkowych (koszty wynajmu floty u innych podmiotów) oraz wpisana do rejestru transakcji; 4) formalne wskazanie, czy Everest11 i Natanek Logistics są powiązane w rozumieniu przepisów CIT (próg 25% udziałów; Inwestor obejmie maksymalnie 20%), niezależnie od tego deklaracja warunków rynkowych i dokumentacja transakcji; 5) niezależność walidacji zabezpieczona ścieżką audytu Z9 (D05) i dywersyfikacją floty (R11). Ocena transakcji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R11, plan zastępczy, punkt 1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„…umowa partnerska z drugim przewoźnikiem spośród ponad 50 aktywnych kontrahentów Everest11 (współpraca od 2021 r.)…”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„…umowa partnerska z drugim przewoźnikiem spośród dotychczasowych dostawców usług transportowych Everest11…”</w:t>
            </w:r>
          </w:p>
        </w:tc>
      </w:tr>
    </w:tbl>
    <w:p/>
    <w:p>
      <w:pPr>
        <w:pStyle w:val="Heading1"/>
      </w:pPr>
      <w:r>
        <w:t>4. Opisy_zadan_z_kamieniami_milowymi.docx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(nowy tekst ma 1183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 (zdanie o „niezależnych, potwierdzonych klientach” i „Prawdopodobieństwo jest niskie”)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dotyczy całego okresu realizacji i wdrożenia.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„Sposoby zapobiegania i minimalizacji skutków” (nowy tekst ma 1332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działania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ograniczamy pięcioma działaniami. Po pierwsze,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rynkowych. Po drugie, wszystkie transakcje z podmiotami powiązanymi z Inwestorem zawieramy na warunkach rynkowych, weryfikowanych tą samą metodą, którą stosujemy do cen rynkowych praw majątkowych między konsorcjantami: rozeznaniem rynku (porównaniem ofert innych przewoźników), niezależną wyceną albo negocjacjami w warunkach pełnej konkurencji. Po trzecie, umowę partnerską dotyczącą floty testowej dokumentujemy odniesieniem do porównywalnych ofert rynkowych (koszty wynajmu floty u innych podmiotów) i wpisujemy do rejestru transakcji. Po czwarte, formalnie ustalamy, czy Everest11 i Natanek Logistics są powiązane w rozumieniu przepisów o podatku dochodowym (próg 25% udziałów, a Inwestor obejmie najwyżej 20%), a niezależnie od wyniku dokumentujemy warunki rynkowe transakcji. Po piąte, niezależność walidacji zabezpiecza ścieżka audytu z zadania Z9 i dywersyfikacja floty (R11). Ocena transakcji jest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Zadanie Z9, akapit „Niezależność wyników zapewnia procedura…” (K3-11), dopisek na końcu akapitu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Brak zdania o skali zależności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Dopisać: „Natanek Logistics jest też głównym dostawcą usług transportowych Everest11 (ok. 95% zakupów usług), dlatego procedura nie opiera się na ocenie ani deklaracjach pracowników tego podmiotu.”</w:t>
            </w:r>
          </w:p>
        </w:tc>
      </w:tr>
    </w:tbl>
    <w:p/>
    <w:p>
      <w:pPr>
        <w:pStyle w:val="Heading1"/>
      </w:pPr>
      <w:r>
        <w:t>5. Pola we wniosku (LSI) poza plikami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6066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Opis dokapitalizowania, źródła finansowania wkładu własnego (K6-12)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Dopisać na końcu opisu: „Kapitał zakładowy Everest11 wynosi 5 000 zł (100 udziałów po 50 zł), a jedynym wspólnikiem i prezesem zarządu jest Wojciech Chrzanowski (wpis w KRS z 02.06.2025 r.). Wkład własny wniesie inwestor, Zbigniew Natanek, który obejmie wszystkie nowe udziały w podwyższonym kapitale zakładowym na podstawie uchwały wspólników wskazującej go jako jedyną osobę uprawnioną do objęcia udziałów. Dotychczasowy wspólnik nie obejmie nowych udziałów i nie wniesie środków. Kapitał zakładowy wzrośnie tylko o wartość nominalną nowych udziałów: przy objęciu 25 udziałów po 50 zł, które odpowiadają 20% kapitału po podwyższeniu, będzie to 1 250 zł. Pozostała część wkładu inwestora (1 253 358 zł pomniejszone o wartość nominalną) zostanie wniesiona jako nadwyżka ponad wartość nominalną udziałów i przekazana na kapitał zapasowy. Liczbę obejmowanych udziałów i cenę emisyjną określi profesjonalna wycena spółki przeprowadzona po przyznaniu dofinansowania, a udział inwestora nie przekroczy 20% zgodnie z warunkową umową inwestycyjną. Pozostałe udziały, czyli co najmniej 80% kapitału po podwyższeniu, pozostają przy dotychczasowym wspólniku.”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Model finansowy Everest11 (załącznik w LSI)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Podmienić plik na Model_finansowy_CargoDT_Everest_II_kwartal_2026.xlsm (dane za II kwartał 2026, komentarze, harmonogram płatności).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Załączniki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Dodać podpisane sprawozdania za II kwartał 2026 (bilans i rachunek zysków i strat na 30.06.2026), usunąć sprawozdania za I kwartał.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