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2.2 i 2.5: prawa, FTO, stan techniki i zasoby wdrożenia</w:t>
      </w:r>
    </w:p>
    <w:p>
      <w:r>
        <w:rPr>
          <w:b w:val="0"/>
        </w:rPr>
        <w:t>Wniosek FENG.01.01-IP.01-A1RR/26, CargoDT. Pakiet WP10, uwagi K2-02, K2-03, K2-04, K2-07, K2-08, K2-09. Wersja robocza do akceptacji. Na żółto zaznaczono dane do uzupełnienia lub sprawdzenia przed wpisaniem do LSI.</w:t>
      </w:r>
    </w:p>
    <w:p>
      <w:pPr>
        <w:pStyle w:val="Heading1"/>
      </w:pPr>
      <w:r>
        <w:t>1. Co wynika z przeglądu i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Problem w obecnym tekście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K2-02 prawa w chwili wdrożenia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Przeniesienie praw PRz może nastąpić do 12 miesięcy po projekcie, czyli do 04.2030, a sprzedaż rusza w 01.2030.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Wariant A (zalecany): przeniesienie do 31.10.2029, przed produkcją i sprzedażą. Wariant B: licencja wyłączna do czasu przeniesienia. Mechanizm wyceny przez biegłego jest już w umowie konsorcjum (§ 9 ust. 4 pkt 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K2-03 FTO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dotyczy kombinacji funkcji, a nie elementów. Wszystkie patenty z USA, bez statusu i terytoriów. Brak patentów UPS na pomiar wykorzystania naczepy kamerą głębi (EP 3103072 wskazuje Polskę) i BlackBerry na światło strukturalne.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Ocena osobno dla czterech elementów, status i terytorium każdego patentu, nowe patenty, jawna informacja, co zostało do sprawdzenia przez rzecznika.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K2-09 opis wyników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Zbyt ogólne zdania. Błędne opisy patentów: US 11,685,400 B2 ma właściciela Autobrains, a nie Mobileye; US 10,158,842 B2 (Honeywell) to czujniki 3D ze światłem strukturalnym w kontenerze, a nie systemy przy bramach, i wygasł.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Konkretne dokumenty z różnicami względem CargoDT i konkretne publikacje (z DOI) dla każdego elementu.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K2-04 zasoby produkcyjne i serwis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podmiotu produkcji, finansowania certyfikacji i serii, skalowania serwisu z 50 do 1 000 pojazdów.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Tekst z modelem godzin instalacji i wsparcia oraz harmonogramem zatrudnień, z żółtymi polami do potwierdzenia.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K2-07 zasoby techniczne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liczby i parametrów.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Szacunek zasobów chmurowych dla 1 000 pojazdów, opis produkcji, stanowiska testowego i floty. Usunięto użycie floty testowej do demonstracji klientom (K3-56).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K2-08 zasoby WNiP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Brak opisu praw i licencji.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W polu „Pozostałe zasoby”: patent, wzór użytkowy, tajemnica, prawa do kodu i wyników PRz, licencje komponentów, certyfikaty CE, RoHS, BDO, DPIA.</w:t>
            </w:r>
          </w:p>
        </w:tc>
      </w:tr>
    </w:tbl>
    <w:p/>
    <w:p>
      <w:pPr>
        <w:pStyle w:val="Heading1"/>
      </w:pPr>
      <w:r>
        <w:t>2. Patenty i publikacje (stan z baz, 02.10.2026)</w:t>
      </w:r>
    </w:p>
    <w:p>
      <w:pPr>
        <w:spacing w:after="60"/>
      </w:pPr>
      <w:r>
        <w:rPr>
          <w:b w:val="0"/>
        </w:rPr>
        <w:t>Dane o właścicielach i statusie pochodzą z wyszukiwarki baz patentowych (Google Patents i USPTO). Zastrzeżeń większości patentów nie analizowano, więc kolumna „Ryzyko” to ocena wstępna. Przed wpisaniem do wniosku trzeba sprawdzić status prawny i rodziny patentowe w Espacenet oraz zlecić ocenę zastrzeżeń rzecznikowi patentowemu. Nowy koszt na ten cel nie może zwiększyć budżetu projektu, więc ocena rzecznika powinna być sfinansowana ze środków własnych Everest11 albo w ramach pozycji patentowej w Z11, jeśli pozwala na to jej zakres.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Dokument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Przedmiot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Terytorium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Ryzyko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Uwaga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11,151,506 B2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Mapa 3D wnętrza kontenera z czujników LiDAR, pojemność, chmura, monitorowanie zmian wg trasy i harmonogramu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w mocy (Google Patents); właściciel do potwierdzenia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US; rodzina EP/PL do sprawdzenia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Wysoka: najbliższy; kluczowe, czy „LiDAR” obejmuje kamery ToF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Różnice: kamery ToF i światło strukturalne, położenie ładunku w ruchu, lokalnie bez chmury. Ocena rzecznika.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10,769,576 B2 (BlackBerry)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Rzutowanie siatki punktów i analiza obrazu do oceny załadunku kontenera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w mocy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US; rodzina do sprawdzenia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Średnia: światło strukturalne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Różnice: wiele kamer i radar, położenie i przemieszczenie ładunku, nie zajętość.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10,158,842 B2 (Honeywell) i US 2013/0342653 A1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Aktywne czujniki 3D na podczerwień ze światłem strukturalnym w kontenerze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wygasły (brak opłat)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Niska jako bariera; wysoka jako stan techniki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obecnym wniosku opisany błędnie jako stacjonarny system przy bramach. Poprawić.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EP 3103072, US 12,198,091 B2, US 11,763,439 B2, US 12,086,934 B2 (UPS)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Kamera głębi mierzy wykorzystanie naczepy w czasie załadunku (stosunek objętości paczek do załadowanej)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EP: wskazuje PL wśród państw, status i walidacja do sprawdzenia; US w mocy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EP (w tym PL), 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Wysoka: faza załadunku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CargoDT nie liczy wykorzystania z objętości paczek. Sprawdzić status EP i walidację w PL.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7,468,660 B2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Urządzenie wykrywające ładunek w kontenerze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do sprawdzenia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Niska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obecnym wniosku „stacjonarne systemy przy bramach”, tytuł sugeruje czujnik w kontenerze. Poprawić.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9,965,939 B1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Monitorowanie drgań w transporcie: raport liczby przekroczeń amplitudy dla częstotliwości, akcelerometr, światło, temperatura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do sprawdzenia; właściciel (Sensitech) niepotwierdzony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Niska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Brak ML, klasy ładunku i kumulacji narażenia.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11,685,400 B2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Ryzyko wypadnięcia ładunku z pojazdu na podstawie stylu jazdy i sposobu zamocowania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właściciel Autobrains (następnie Cartica AI), nie Mobileye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Średnia: predykcja z klasą ładunku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W obecnym wniosku błędnie przypisany Mobileye/Intel. Różnica: uszkodzenie wewnątrz naczepy, a nie wypadnięcie na drogę.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11,370,348 B2 (Spanset)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Monitorowanie transportowanych towarów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w mocy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US; rodzina do sprawdzenia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Do oceny (zabezpieczenia ładunku)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Zastrzeżeń nie analizowano. Sprawdzić zakres: czy obejmuje analizę obrazu.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US 11,465,550 B1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Wskaźnik napięcia pasa widoczny w lusterku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do sprawdzenia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8"/>
              </w:rPr>
              <w:t>US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Niska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Bez analizy obrazu.</w:t>
            </w:r>
          </w:p>
        </w:tc>
      </w:tr>
    </w:tbl>
    <w:p/>
    <w:p>
      <w:pPr>
        <w:pStyle w:val="Heading1"/>
      </w:pPr>
      <w:r>
        <w:t>3. Teksty pkt 2.2</w:t>
      </w:r>
    </w:p>
    <w:p>
      <w:pPr>
        <w:pStyle w:val="Heading2"/>
      </w:pPr>
      <w:r>
        <w:t>3.1 Wykazanie braku barier do wdrożenia (limit 3 000 znaków)</w:t>
      </w:r>
    </w:p>
    <w:p>
      <w:pPr>
        <w:keepNext/>
        <w:spacing w:before="160" w:after="40"/>
      </w:pPr>
      <w:r>
        <w:rPr>
          <w:b/>
          <w:sz w:val="20"/>
        </w:rPr>
        <w:t>Wykazanie braku barier do wdrożenia rezultatów prac B+R</w:t>
      </w:r>
      <w:r>
        <w:rPr>
          <w:color w:val="666666"/>
          <w:sz w:val="17"/>
        </w:rPr>
        <w:t xml:space="preserve"> [2074 znaków]</w:t>
      </w:r>
    </w:p>
    <w:p>
      <w:pPr>
        <w:spacing w:after="60"/>
      </w:pPr>
      <w:r>
        <w:rPr>
          <w:b w:val="0"/>
        </w:rPr>
        <w:t>Prawa niezbędne do wdrożenia. Everest11 ma prawa autorskie do własnego systemu TMS i API integracji z Trans.eu i TimoCom, na których zbuduje moduł CargoDT. Komponenty zewnętrzne (jednostka NVIDIA Jetson, kamery, oprogramowanie sterujące kamer) są dostępne komercyjnie na licencjach producentów. Biblioteki i architektury modeli wybieramy w zadaniu Z3 także według licencji: tylko takie, które pozwalają na użycie komercyjne w zamkniętym oprogramowaniu embedded (Apache-2.0, BSD, MIT), bez licencji typu AGPL. Everest11 nie dzieli tych praw z innymi podmiotami.</w:t>
      </w:r>
    </w:p>
    <w:p>
      <w:pPr>
        <w:spacing w:after="60"/>
      </w:pPr>
      <w:r>
        <w:rPr>
          <w:b w:val="0"/>
        </w:rPr>
        <w:t xml:space="preserve">Prawa do wyników projektu. Everest11 jako jedyne przedsiębiorstwo w konsorcjum ma uzyskać całość praw majątkowych do wyników. Prawa autorskie pracowników PRz przechodzą na PRz z mocy art. 12 ustawy o prawie autorskim, a prawa podwykonawców przenosimy umowami na zlecającego. PRz przenosi swoje prawa na Everest11 za wynagrodzeniem rynkowym ustalonym przez niezależnego biegłego, wybranego pod nadzorem Rady Konsorcjum (§ 9 umowy konsorcjum). Przeniesienie nastąpi do 31.10.2029, czyli przed produkcją pierwszej serii zestawów i sprzedażą od stycznia 2030 r. </w:t>
      </w:r>
      <w:r>
        <w:rPr>
          <w:b w:val="0"/>
          <w:highlight w:val="yellow"/>
        </w:rPr>
        <w:t>wariant A, wymaga zapisu w umowie konsorcjum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Prawa osób trzecich. Wykonaliśmy badanie stanu techniki (07.05.2026, uzupełnione 02.10.2026 </w:t>
      </w:r>
      <w:r>
        <w:rPr>
          <w:b w:val="0"/>
          <w:highlight w:val="yellow"/>
        </w:rPr>
        <w:t>potwierdzić</w:t>
      </w:r>
      <w:r>
        <w:rPr>
          <w:b w:val="0"/>
        </w:rPr>
        <w:t xml:space="preserve">) i oceniliśmy patenty osobno dla każdego elementu systemu: model 3D z kamer głębi w naczepie, predykcja ryzyka uszkodzenia ładunku, wizyjna ocena zabezpieczeń i dokument eFTI. Patenty z USA nie obowiązują w Polsce ani w regionie CEE, a dla każdej rodziny patentowej sprawdziliśmy odpowiedniki europejskie i krajowe </w:t>
      </w:r>
      <w:r>
        <w:rPr>
          <w:b w:val="0"/>
          <w:highlight w:val="yellow"/>
        </w:rPr>
        <w:t>wynik sprawdzenia w Espacenet dla każdej rodziny</w:t>
      </w:r>
      <w:r>
        <w:rPr>
          <w:b w:val="0"/>
        </w:rPr>
        <w:t xml:space="preserve">. Najbliższe patenty (US 11,151,506 B2, US 10,769,576 B2, rodzina UPS EP 3103072) dotyczą pomiaru zajętości lub wykorzystania przestrzeni ładunkowej i różnią się od CargoDT funkcją, czujnikami i sposobem działania, co opisujemy poniżej. Zakres zastrzeżeń tych patentów oceni </w:t>
      </w:r>
      <w:r>
        <w:rPr>
          <w:b w:val="0"/>
          <w:highlight w:val="yellow"/>
        </w:rPr>
        <w:t>rzecznik patentowy, zlecenie przed wdrożeniem</w:t>
      </w:r>
      <w:r>
        <w:rPr>
          <w:b w:val="0"/>
        </w:rPr>
        <w:t>, a ewentualną niezgodność usuniemy zmianą rozwiązania technicznego na etapie Z5 i Z7, zanim powstanie zestaw sprzedażowy.</w:t>
      </w:r>
    </w:p>
    <w:p>
      <w:pPr>
        <w:pStyle w:val="Heading2"/>
      </w:pPr>
      <w:r>
        <w:t>3.2 Opis uzyskanych wyników badania stanu techniki (limit 4 000 znaków)</w:t>
      </w:r>
    </w:p>
    <w:p>
      <w:pPr>
        <w:keepNext/>
        <w:spacing w:before="160" w:after="40"/>
      </w:pPr>
      <w:r>
        <w:rPr>
          <w:b/>
          <w:sz w:val="20"/>
        </w:rPr>
        <w:t>Opis uzyskanych wyników</w:t>
      </w:r>
      <w:r>
        <w:rPr>
          <w:color w:val="666666"/>
          <w:sz w:val="17"/>
        </w:rPr>
        <w:t xml:space="preserve"> [2762 znaków]</w:t>
      </w:r>
    </w:p>
    <w:p>
      <w:pPr>
        <w:spacing w:after="60"/>
      </w:pPr>
      <w:r>
        <w:rPr>
          <w:b w:val="0"/>
        </w:rPr>
        <w:t xml:space="preserve">Badanie stanu techniki wykonał Everest11 w maju 2026 r. i uzupełnił 02.10.2026 </w:t>
      </w:r>
      <w:r>
        <w:rPr>
          <w:b w:val="0"/>
          <w:highlight w:val="yellow"/>
        </w:rPr>
        <w:t>potwierdzić</w:t>
      </w:r>
      <w:r>
        <w:rPr>
          <w:b w:val="0"/>
        </w:rPr>
        <w:t xml:space="preserve">. Objęło cztery obszary: cyfrowe bliźniaki w transporcie, pomiar przestrzeni ładunkowej kamerami głębi, predykcję ryzyka uszkodzenia ładunku i wizyjną ocenę zabezpieczeń. Nie ujawniło praw, które uniemożliwiałyby wdrożenie w Polsce i regionie CEE. Poniżej najbliższe dokumenty, ocenione dla każdego elementu systemu osobno. Dane o właścicielach i statusie pochodzą z baz patentowych (dostęp 02.10.2026) </w:t>
      </w:r>
      <w:r>
        <w:rPr>
          <w:b w:val="0"/>
          <w:highlight w:val="yellow"/>
        </w:rPr>
        <w:t>sprawdzić w Espacenet i Google Patents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Pomiar i model 3D przestrzeni ładunkowej.</w:t>
      </w:r>
    </w:p>
    <w:p>
      <w:pPr>
        <w:spacing w:after="60"/>
      </w:pPr>
      <w:r>
        <w:rPr>
          <w:b w:val="0"/>
        </w:rPr>
        <w:t>US 11,151,506 B2 (w mocy): mapa 3D wnętrza kontenera z czujników LiDAR, szacowanie wolnej pojemności, przesyłanie do chmury. CargoDT używa kamer ToF lub EO/IR ze światłem strukturalnym i śledzi położenie jednostek ładunkowych w ruchu z kompensacją drgań, a model liczy lokalnie bez chmury.</w:t>
      </w:r>
    </w:p>
    <w:p>
      <w:pPr>
        <w:spacing w:after="60"/>
      </w:pPr>
      <w:r>
        <w:rPr>
          <w:b w:val="0"/>
        </w:rPr>
        <w:t>US 10,769,576 B2 (BlackBerry, w mocy): rzutowanie siatki punktów i analiza obrazu do oceny załadunku kontenera. CargoDT łączy kilka kamer i radar, a ocenia położenie i przemieszczenie ładunku, nie zajętość.</w:t>
      </w:r>
    </w:p>
    <w:p>
      <w:pPr>
        <w:spacing w:after="60"/>
      </w:pPr>
      <w:r>
        <w:rPr>
          <w:b w:val="0"/>
        </w:rPr>
        <w:t>US 10,158,842 B2 (Honeywell, wygasły): aktywne czujniki 3D na podczerwień ze światłem strukturalnym w kontenerze. Wygasł, więc nie jest barierą, a zawęża zakres planowanego zgłoszenia.</w:t>
      </w:r>
    </w:p>
    <w:p>
      <w:pPr>
        <w:spacing w:after="60"/>
      </w:pPr>
      <w:r>
        <w:rPr>
          <w:b w:val="0"/>
        </w:rPr>
        <w:t xml:space="preserve">EP 3103072 oraz US 12,198,091 B2, US 11,763,439 B2, US 12,086,934 B2 (UPS): kamera głębi mierzy wykorzystanie naczepy podczas załadunku jako stosunek objętości paczek do objętości załadowanej. CargoDT nie liczy wykorzystania z objętości paczek </w:t>
      </w:r>
      <w:r>
        <w:rPr>
          <w:b w:val="0"/>
          <w:highlight w:val="yellow"/>
        </w:rPr>
        <w:t>status EP i walidacja w PL do sprawdzenia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>Predykcja ryzyka.</w:t>
      </w:r>
    </w:p>
    <w:p>
      <w:pPr>
        <w:spacing w:after="60"/>
      </w:pPr>
      <w:r>
        <w:rPr>
          <w:b w:val="0"/>
        </w:rPr>
        <w:t>US 9,965,939 B1: histogramy drgań i alarmy dla podróży, bez uczenia maszynowego. US 11,685,400 B2 (Autobrains, następnie Cartica AI): ryzyko wypadnięcia ładunku z pojazdu na drogę na podstawie stylu jazdy i sposobu zamocowania. CargoDT ocenia ryzyko uszkodzenia ładunku wewnątrz naczepy z drgań, temperatury i wilgotności, z klasą ładunku i kumulacją narażenia.</w:t>
      </w:r>
    </w:p>
    <w:p>
      <w:pPr>
        <w:spacing w:after="60"/>
      </w:pPr>
      <w:r>
        <w:rPr>
          <w:b w:val="0"/>
        </w:rPr>
        <w:t>Ocena zabezpieczeń.</w:t>
      </w:r>
    </w:p>
    <w:p>
      <w:pPr>
        <w:spacing w:after="60"/>
      </w:pPr>
      <w:r>
        <w:rPr>
          <w:b w:val="0"/>
        </w:rPr>
        <w:t xml:space="preserve">US 11,370,348 B2 (Spanset, w mocy): monitorowanie transportowanych towarów </w:t>
      </w:r>
      <w:r>
        <w:rPr>
          <w:b w:val="0"/>
          <w:highlight w:val="yellow"/>
        </w:rPr>
        <w:t>zakres zastrzeżeń do sprawdzenia</w:t>
      </w:r>
      <w:r>
        <w:rPr>
          <w:b w:val="0"/>
        </w:rPr>
        <w:t>. US 11,465,550 B1: wskaźnik napięcia pasa widoczny w lusterku, bez analizy obrazu.</w:t>
      </w:r>
    </w:p>
    <w:p>
      <w:pPr>
        <w:spacing w:after="60"/>
      </w:pPr>
      <w:r>
        <w:rPr>
          <w:b w:val="0"/>
        </w:rPr>
        <w:t>Literatura. Przeglądy: Ge i Qin, IET ITS 2024, DOI 10.1049/itr2.12539; Werbińska-Wojciechowska i in., Sensors 2024, 24(18), 6069; European Transport Research Review 2025. Nie opisują cyfrowego bliźniaka przestrzeni ładunkowej naczepy. Zakłócenia wielodrogowe kamer ToF opisują m.in. prace nad korekcją MPI (DeepToF, arXiv:1805.09305), a monitorowanie siły w pasach opisano w 2019 r. (SCITEPRESS, IoT based Driver Information System for Monitoring the Load Securing). Nie znaleźliśmy pracy łączącej te elementy ani opisującej model ML ryzyka uszkodzenia z klasą ładunku i kumulacją narażenia, co jest przedmiotem zgłoszenia EPO.</w:t>
      </w:r>
    </w:p>
    <w:p>
      <w:pPr>
        <w:spacing w:after="60"/>
      </w:pPr>
      <w:r>
        <w:rPr>
          <w:b w:val="0"/>
        </w:rPr>
        <w:t xml:space="preserve">Pola pozostałe w badaniu stanu techniki (bazy, klasyfikacja MKP, słowa kluczowe) uzupełnić o Espacenet, Google Patents i klasy G06V 20/00 (rozpoznawanie scen) oraz B65D 90/48 (wskaźniki w kontenerach), jeśli były używane </w:t>
      </w:r>
      <w:r>
        <w:rPr>
          <w:b w:val="0"/>
          <w:highlight w:val="yellow"/>
        </w:rPr>
        <w:t>potwierdzić</w:t>
      </w:r>
      <w:r>
        <w:rPr>
          <w:b w:val="0"/>
        </w:rPr>
        <w:t>. Data badania: pozostaje 07.05.2026, uzupełnienie opisane w tekście.</w:t>
      </w:r>
    </w:p>
    <w:p>
      <w:pPr>
        <w:pStyle w:val="Heading2"/>
      </w:pPr>
      <w:r>
        <w:t>3.3 Opis sposobu uregulowania praw (limit 4 000 znaków), wariant A</w:t>
      </w:r>
    </w:p>
    <w:p>
      <w:pPr>
        <w:keepNext/>
        <w:spacing w:before="160" w:after="40"/>
      </w:pPr>
      <w:r>
        <w:rPr>
          <w:b/>
          <w:sz w:val="20"/>
        </w:rPr>
        <w:t>Opis sposobu uregulowania praw do wyników prac B+R</w:t>
      </w:r>
      <w:r>
        <w:rPr>
          <w:color w:val="666666"/>
          <w:sz w:val="17"/>
        </w:rPr>
        <w:t xml:space="preserve"> [2257 znaków]</w:t>
      </w:r>
    </w:p>
    <w:p>
      <w:pPr>
        <w:spacing w:after="60"/>
      </w:pPr>
      <w:r>
        <w:rPr>
          <w:b w:val="0"/>
        </w:rPr>
        <w:t>Prawa majątkowe do wyników przysługują członkom konsorcjum stosownie do wkładu, zgodnie z art. 32 ust. 1 ustawy o NCBR. Podział wyników na poziomie zadań określa umowa konsorcjum zawarta przed złożeniem wniosku. Everest11 jako lider i jedyne przedsiębiorstwo w konsorcjum ma uzyskać całość praw majątkowych do wyników prac B+R, a Politechnika Rzeszowska zachowuje prawo do publikacji wyników prac własnych.</w:t>
      </w:r>
    </w:p>
    <w:p>
      <w:pPr>
        <w:spacing w:after="60"/>
      </w:pPr>
      <w:r>
        <w:rPr>
          <w:b w:val="0"/>
        </w:rPr>
        <w:t>Wyniki PRz (zadania Z1, Z3, Z4, Z5 i Z8): algorytmy 3D state estimation, model predykcji ryzyka i algorytmy weryfikacji zabezpieczeń. Prawa autorskie pracowników PRz przechodzą na PRz na podstawie art. 12 ustawy o prawie autorskim. PRz przenosi na Everest11 swoje prawa majątkowe do wyników za wynagrodzeniem odpowiadającym ich wartości rynkowej, ustalonym przez niezależnego biegłego (wycena eksperta). Biegłego wybiera się w postępowaniu nadzorowanym przez Radę Konsorcjum (§ 9 umowy konsorcjum), w której każdy członek konsorcjum ma po jednym przedstawicielu.</w:t>
      </w:r>
    </w:p>
    <w:p>
      <w:pPr>
        <w:spacing w:after="60"/>
      </w:pPr>
      <w:r>
        <w:rPr>
          <w:b w:val="0"/>
        </w:rPr>
        <w:t xml:space="preserve">Termin przeniesienia: do 31.10.2029, czyli 6 miesięcy po zakończeniu projektu (04/2029) i przed produkcją pierwszej serii zestawów oraz sprzedażą od stycznia 2030 r. </w:t>
      </w:r>
      <w:r>
        <w:rPr>
          <w:b w:val="0"/>
          <w:highlight w:val="yellow"/>
        </w:rPr>
        <w:t>wariant A: wymaga zapisu w umowie konsorcjum</w:t>
      </w:r>
      <w:r>
        <w:rPr>
          <w:b w:val="0"/>
        </w:rPr>
        <w:t>. Dzięki temu w chwili wdrożenia Everest11 ma pełne prawa do komercyjnego wykorzystania wyników.</w:t>
      </w:r>
    </w:p>
    <w:p>
      <w:pPr>
        <w:spacing w:after="60"/>
      </w:pPr>
      <w:r>
        <w:rPr>
          <w:b w:val="0"/>
        </w:rPr>
        <w:t>Rozpowszechnianie i ochrona są rozdzielone. Publikacjom podlega warstwa naukowa: metody mitygacji MCI i kompensacji drgań, metodologia uczenia na danych niezbalansowanych, taksonomia klas zabezpieczeń TSL i wyniki walidacji w postaci metryk (AUC-ROC, mAP). Ochronie podlega warstwa komercyjna: wagi modeli, architektury i hiperparametry, kod embedded, zbiór danych i integracja API z TMS (tajemnica przedsiębiorstwa), a metoda predykcji ryzyka (patent EPO). Publikacje nastąpią po dacie pierwszeństwa zgłoszenia EPO.</w:t>
      </w:r>
    </w:p>
    <w:p>
      <w:pPr>
        <w:spacing w:after="60"/>
      </w:pPr>
      <w:r>
        <w:rPr>
          <w:b w:val="0"/>
        </w:rPr>
        <w:t>Wyniki prac własnych Everest11 (infrastruktura sensoryczna, optymalizacja embedded, integracja TMS i eFTI, wyniki testów terenowych) należą do Everest11. Prawa podwykonawców przenosimy na zlecającego umowami z klauzulą przeniesienia majątkowych praw autorskich, bez naruszania zasady, że całość praw do wyników przysługuje liderowi. Everest11 może komercyjnie wykorzystywać wszystkie wyniki: produkt SaaS, zestaw retrofit, licencję API i zgłoszenie patentowe EPO.</w:t>
      </w:r>
    </w:p>
    <w:p>
      <w:pPr>
        <w:spacing w:after="60"/>
      </w:pPr>
      <w:r>
        <w:rPr>
          <w:b w:val="0"/>
        </w:rPr>
        <w:t>Wariant B (jeśli umowy konsorcjum nie da się zmienić do 06.10.2026): zamiast zdania o terminie 31.10.2029 wpisać: „Do czasu przeniesienia praw Everest11 korzysta z wyników na podstawie licencji wyłącznej, udzielonej przez PRz na zasadach rynkowych, w zakresie niezbędnym do wdrożenia, a opłata za licencję jest zaliczana na poczet wynagrodzenia za przeniesienie praw. Przeniesienie nastąpi nie później niż 12 miesięcy po zakończeniu projektu.” Ten wariant wymaga, aby umowa konsorcjum przewidywała taką licencję.</w:t>
      </w:r>
    </w:p>
    <w:p>
      <w:pPr>
        <w:pStyle w:val="Heading1"/>
      </w:pPr>
      <w:r>
        <w:t>4. Teksty pkt 2.5</w:t>
      </w:r>
    </w:p>
    <w:p>
      <w:pPr>
        <w:pStyle w:val="Heading2"/>
      </w:pPr>
      <w:r>
        <w:t>4.1 Zasoby kadrowe (limit 2 000 znaków)</w:t>
      </w:r>
    </w:p>
    <w:p>
      <w:pPr>
        <w:keepNext/>
        <w:spacing w:before="160" w:after="40"/>
      </w:pPr>
      <w:r>
        <w:rPr>
          <w:b/>
          <w:sz w:val="20"/>
        </w:rPr>
        <w:t>Zasoby kadrowe niezbędne do wdrożenia</w:t>
      </w:r>
      <w:r>
        <w:rPr>
          <w:color w:val="666666"/>
          <w:sz w:val="17"/>
        </w:rPr>
        <w:t xml:space="preserve"> [1475 znaków]</w:t>
      </w:r>
    </w:p>
    <w:p>
      <w:pPr>
        <w:spacing w:after="60"/>
      </w:pPr>
      <w:r>
        <w:rPr>
          <w:b w:val="0"/>
        </w:rPr>
        <w:t>Wdrożenie zrealizuje zespół projektu, bez rekrutacji w fazie startu. Jakub Kosterna (Lead AI): 8 lat stosowanego B+R w AI/ML, w T-Master SA wdrożenie produkcyjne wizji komputerowej. Natalia Wojdat (AI Senior Engineer): 4 lata w SAS Institute, produkcyjne wdrożenia modeli ML. Paweł Maziarz (cyberbezpieczeństwo): 20 lat doświadczenia, wdrożenia bezpieczeństwa systemów IoT, ISO 27001. Patryk Ruciński (IT): Tech Lead w Here Technologies, architektura SaaS i CI/CD. Stanisław Kozioł (IoT): wdrożenia systemów telematycznych dla flot w Orange Polska, montaż zestawów u klientów. Michał Hajduk (sprzedaż): 7 lat sprzedaży technologii telematycznych dla flot w Legaltelematics i INELO.</w:t>
      </w:r>
    </w:p>
    <w:p>
      <w:pPr>
        <w:spacing w:after="60"/>
      </w:pPr>
      <w:r>
        <w:rPr>
          <w:b w:val="0"/>
        </w:rPr>
        <w:t xml:space="preserve">Skalowanie 2030-2034. Liczba instalacji zestawów wynika z modelu finansowego: 50 (2030), 79 (2031), 135 (2032), 270 (2033), 540 (2034). Przy </w:t>
      </w:r>
      <w:r>
        <w:rPr>
          <w:b w:val="0"/>
          <w:highlight w:val="yellow"/>
        </w:rPr>
        <w:t>3 h</w:t>
      </w:r>
      <w:r>
        <w:rPr>
          <w:b w:val="0"/>
        </w:rPr>
        <w:t xml:space="preserve"> na montaż i uruchomienie jednej naczepy daje to od 150 h w 2030 r. do 1 620 h w 2034 r., czyli </w:t>
      </w:r>
      <w:r>
        <w:rPr>
          <w:b w:val="0"/>
          <w:highlight w:val="yellow"/>
        </w:rPr>
        <w:t>0,1 etatu</w:t>
      </w:r>
      <w:r>
        <w:rPr>
          <w:b w:val="0"/>
        </w:rPr>
        <w:t xml:space="preserve"> w 2030 r. i </w:t>
      </w:r>
      <w:r>
        <w:rPr>
          <w:b w:val="0"/>
          <w:highlight w:val="yellow"/>
        </w:rPr>
        <w:t>1,0 etatu</w:t>
      </w:r>
      <w:r>
        <w:rPr>
          <w:b w:val="0"/>
        </w:rPr>
        <w:t xml:space="preserve"> w 2034 r. Montaż prowadzi Stanisław Kozioł, a drugiego technika instalatora zatrudnimy w 2033 r. (810 h), przed wzrostem do 540 instalacji. Wsparcie techniczne: przy </w:t>
      </w:r>
      <w:r>
        <w:rPr>
          <w:b w:val="0"/>
          <w:highlight w:val="yellow"/>
        </w:rPr>
        <w:t>0,3 h</w:t>
      </w:r>
      <w:r>
        <w:rPr>
          <w:b w:val="0"/>
        </w:rPr>
        <w:t xml:space="preserve"> na pojazd miesięcznie obsługa 125 pojazdów w 2031 r. wymaga </w:t>
      </w:r>
      <w:r>
        <w:rPr>
          <w:b w:val="0"/>
          <w:highlight w:val="yellow"/>
        </w:rPr>
        <w:t>450 h</w:t>
      </w:r>
      <w:r>
        <w:rPr>
          <w:b w:val="0"/>
        </w:rPr>
        <w:t xml:space="preserve"> rocznie, a 1 000 pojazdów w 2034 r. </w:t>
      </w:r>
      <w:r>
        <w:rPr>
          <w:b w:val="0"/>
          <w:highlight w:val="yellow"/>
        </w:rPr>
        <w:t>3 600 h</w:t>
      </w:r>
      <w:r>
        <w:rPr>
          <w:b w:val="0"/>
        </w:rPr>
        <w:t xml:space="preserve">, czyli </w:t>
      </w:r>
      <w:r>
        <w:rPr>
          <w:b w:val="0"/>
          <w:highlight w:val="yellow"/>
        </w:rPr>
        <w:t>2,3 etatu</w:t>
      </w:r>
      <w:r>
        <w:rPr>
          <w:b w:val="0"/>
        </w:rPr>
        <w:t xml:space="preserve">. Zespół wsparcia rośnie wraz z liczbą pojazdów: pierwszy etat w 2031 r., drugi w 2033 r. i trzeci w 2034 r. </w:t>
      </w:r>
      <w:r>
        <w:rPr>
          <w:b w:val="0"/>
          <w:highlight w:val="yellow"/>
        </w:rPr>
        <w:t>potwierdzić z modelem kosztów</w:t>
      </w:r>
      <w:r>
        <w:rPr>
          <w:b w:val="0"/>
        </w:rPr>
        <w:t>. Wdrożenie usług w TMS prowadzi Patryk Ruciński, a utrzymanie modeli Natalia Wojdat.</w:t>
      </w:r>
    </w:p>
    <w:p>
      <w:pPr>
        <w:pStyle w:val="Heading2"/>
      </w:pPr>
      <w:r>
        <w:t>4.2 Zasoby techniczne (limit 2 000 znaków)</w:t>
      </w:r>
    </w:p>
    <w:p>
      <w:pPr>
        <w:keepNext/>
        <w:spacing w:before="160" w:after="40"/>
      </w:pPr>
      <w:r>
        <w:rPr>
          <w:b/>
          <w:sz w:val="20"/>
        </w:rPr>
        <w:t>Zasoby techniczne niezbędne do wdrożenia</w:t>
      </w:r>
      <w:r>
        <w:rPr>
          <w:color w:val="666666"/>
          <w:sz w:val="17"/>
        </w:rPr>
        <w:t xml:space="preserve"> [1438 znaków]</w:t>
      </w:r>
    </w:p>
    <w:p>
      <w:pPr>
        <w:spacing w:after="60"/>
      </w:pPr>
      <w:r>
        <w:rPr>
          <w:b w:val="0"/>
        </w:rPr>
        <w:t xml:space="preserve">Infrastruktura IT. Everest11 posiada własny system TMS jako platformę integracji CargoDT oraz środowisko chmurowe (AWS lub Azure) dla platformy SaaS i API. Szacunek zasobów dla 1 000 pojazdów w 2034 r.: </w:t>
      </w:r>
      <w:r>
        <w:rPr>
          <w:b w:val="0"/>
          <w:highlight w:val="yellow"/>
        </w:rPr>
        <w:t>2 dokumenty PoL i PoC na dobę po 20 MB, razem 40 MB na pojazd na dobę, czyli 40 GB na dobę i ok. 15 TB rocznie, przechowywanie 24 miesiące, ok. 29 TB</w:t>
      </w:r>
      <w:r>
        <w:rPr>
          <w:b w:val="0"/>
        </w:rPr>
        <w:t xml:space="preserve">, baza zdarzeń i telemetrii </w:t>
      </w:r>
      <w:r>
        <w:rPr>
          <w:b w:val="0"/>
          <w:highlight w:val="yellow"/>
        </w:rPr>
        <w:t>ok. 2 TB rocznie</w:t>
      </w:r>
      <w:r>
        <w:rPr>
          <w:b w:val="0"/>
        </w:rPr>
        <w:t xml:space="preserve">, dwie instancje aplikacyjne i jedna rezerwowa o parametrach </w:t>
      </w:r>
      <w:r>
        <w:rPr>
          <w:b w:val="0"/>
          <w:highlight w:val="yellow"/>
        </w:rPr>
        <w:t>8 vCPU, 32 GB RAM</w:t>
      </w:r>
      <w:r>
        <w:rPr>
          <w:b w:val="0"/>
        </w:rPr>
        <w:t xml:space="preserve">. Zasoby rosną automatycznie z liczbą pojazdów, a koszt jest ujęty w kosztach operacyjnych modelu finansowego </w:t>
      </w:r>
      <w:r>
        <w:rPr>
          <w:b w:val="0"/>
          <w:highlight w:val="yellow"/>
        </w:rPr>
        <w:t>sprawdzić</w:t>
      </w:r>
      <w:r>
        <w:rPr>
          <w:b w:val="0"/>
        </w:rPr>
        <w:t>.</w:t>
      </w:r>
    </w:p>
    <w:p>
      <w:pPr>
        <w:spacing w:after="60"/>
      </w:pPr>
      <w:r>
        <w:rPr>
          <w:b w:val="0"/>
        </w:rPr>
        <w:t xml:space="preserve">Produkcja i serwis zestawów. Zestawy retrofit kompletuje i testuje </w:t>
      </w:r>
      <w:r>
        <w:rPr>
          <w:b w:val="0"/>
          <w:highlight w:val="yellow"/>
        </w:rPr>
        <w:t>podmiot, miejscowość, na podstawie oferty lub umowy</w:t>
      </w:r>
      <w:r>
        <w:rPr>
          <w:b w:val="0"/>
        </w:rPr>
        <w:t xml:space="preserve">; Everest11 prowadzi nadzór jakości, montaż u klienta i serwis. Stanowisko testowe i magazyn zestawów znajdują się w biurze w Warszawie </w:t>
      </w:r>
      <w:r>
        <w:rPr>
          <w:b w:val="0"/>
          <w:highlight w:val="yellow"/>
        </w:rPr>
        <w:t>powierzchnia</w:t>
      </w:r>
      <w:r>
        <w:rPr>
          <w:b w:val="0"/>
        </w:rPr>
        <w:t>. Seria pierwszych zestawów dla 50 pojazdów powstaje w 2029 r. po certyfikacji CE.</w:t>
      </w:r>
    </w:p>
    <w:p>
      <w:pPr>
        <w:spacing w:after="60"/>
      </w:pPr>
      <w:r>
        <w:rPr>
          <w:b w:val="0"/>
        </w:rPr>
        <w:t>Flota. Testy terenowe w Z9 prowadzimy na co najmniej 3 naczepach floty partnera (Natanek Logistics, umowa partnerska). Egzemplarze prototypowe Z9 służą wyłącznie pracom B+R i po walidacji są wycofane. Demonstracje dla klientów i sprzedaż prowadzimy na odrębnych egzemplarzach, zakupionych poza projektem ze środków własnych.</w:t>
      </w:r>
    </w:p>
    <w:p>
      <w:pPr>
        <w:spacing w:after="60"/>
      </w:pPr>
      <w:r>
        <w:rPr>
          <w:b w:val="0"/>
        </w:rPr>
        <w:t>Zasoby nie wymagają inwestycji sprzętowych ponad zaplanowane w projekcie, poza serią zestawów produkcyjnych i rozbudową chmury, finansowanymi ze środków własnych Lidera.</w:t>
      </w:r>
    </w:p>
    <w:p>
      <w:pPr>
        <w:pStyle w:val="Heading2"/>
      </w:pPr>
      <w:r>
        <w:t>4.3 Pozostałe zasoby (limit 2 000 znaków)</w:t>
      </w:r>
    </w:p>
    <w:p>
      <w:pPr>
        <w:keepNext/>
        <w:spacing w:before="160" w:after="40"/>
      </w:pPr>
      <w:r>
        <w:rPr>
          <w:b/>
          <w:sz w:val="20"/>
        </w:rPr>
        <w:t>Pozostałe zasoby niezbędne do wdrożenia</w:t>
      </w:r>
      <w:r>
        <w:rPr>
          <w:color w:val="666666"/>
          <w:sz w:val="17"/>
        </w:rPr>
        <w:t xml:space="preserve"> [1339 znaków]</w:t>
      </w:r>
    </w:p>
    <w:p>
      <w:pPr>
        <w:spacing w:after="60"/>
      </w:pPr>
      <w:r>
        <w:rPr>
          <w:b w:val="0"/>
        </w:rPr>
        <w:t xml:space="preserve">Certyfikaty i zgodność. Zestaw retrofit wymaga oznakowania CE: dyrektywa RED 2014/53/UE (moduły radiowe: LTE i radar mmWave </w:t>
      </w:r>
      <w:r>
        <w:rPr>
          <w:b w:val="0"/>
          <w:highlight w:val="yellow"/>
        </w:rPr>
        <w:t>pasmo radaru: 60 GHz czy 77 GHz, wg specyfikacji w Z2</w:t>
      </w:r>
      <w:r>
        <w:rPr>
          <w:b w:val="0"/>
        </w:rPr>
        <w:t xml:space="preserve">), EMC 2014/30/UE oraz RoHS 2011/65/UE, a także homologacji ECE R10 </w:t>
      </w:r>
      <w:r>
        <w:rPr>
          <w:b w:val="0"/>
          <w:highlight w:val="yellow"/>
        </w:rPr>
        <w:t>potwierdzić, czy dotyczy zestawu montowanego w naczepie</w:t>
      </w:r>
      <w:r>
        <w:rPr>
          <w:b w:val="0"/>
        </w:rPr>
        <w:t xml:space="preserve">. Badania wykona akredytowane laboratorium w okresie 05-10/2029, a koszt </w:t>
      </w:r>
      <w:r>
        <w:rPr>
          <w:b w:val="0"/>
          <w:highlight w:val="yellow"/>
        </w:rPr>
        <w:t>kwota</w:t>
      </w:r>
      <w:r>
        <w:rPr>
          <w:b w:val="0"/>
        </w:rPr>
        <w:t xml:space="preserve"> i pierwszej serii zestawów </w:t>
      </w:r>
      <w:r>
        <w:rPr>
          <w:b w:val="0"/>
          <w:highlight w:val="yellow"/>
        </w:rPr>
        <w:t>kwota</w:t>
      </w:r>
      <w:r>
        <w:rPr>
          <w:b w:val="0"/>
        </w:rPr>
        <w:t xml:space="preserve"> pokrywa kapitał własny Lidera (wkład inwestora potwierdzony zobowiązaniem). Everest11 jako wprowadzający sprzęt elektroniczny zarejestruje się w rejestrze BDO i wypełni obowiązki dotyczące zużytego sprzętu elektronicznego </w:t>
      </w:r>
      <w:r>
        <w:rPr>
          <w:b w:val="0"/>
          <w:highlight w:val="yellow"/>
        </w:rPr>
        <w:t>potwierdzić</w:t>
      </w:r>
      <w:r>
        <w:rPr>
          <w:b w:val="0"/>
        </w:rPr>
        <w:t>. Dla RODO przygotowana zostanie ocena skutków dla ochrony danych (DPIA) dla obrazów wnętrza naczepy i danych lokalizacyjnych.</w:t>
      </w:r>
    </w:p>
    <w:p>
      <w:pPr>
        <w:spacing w:after="60"/>
      </w:pPr>
      <w:r>
        <w:rPr>
          <w:b w:val="0"/>
        </w:rPr>
        <w:t>Wartości niematerialne i prawne. Zgłoszenie patentowe EPO metody predykcji ryzyka (Z11), wniosek o prawo ochronne na wzór użytkowy dla konfiguracji sprzętowej ze środków własnych, tajemnica przedsiębiorstwa dla kodu i modeli, prawa autorskie do systemu TMS i modułu CargoDT, prawa do wyników PRz przeniesione za wynagrodzeniem rynkowym do 31.10.2029. Licencje komponentów: pakiet NVIDIA JetPack, oprogramowanie sterujące kamer i biblioteki o licencjach pozwalających na użycie komercyjne. Normy EN 12195 i dokumenty techniczne eFTI Everest11 nabywa w ramach projektu.</w:t>
      </w:r>
    </w:p>
    <w:p>
      <w:pPr>
        <w:pStyle w:val="Heading2"/>
      </w:pPr>
      <w:r>
        <w:t>4.4 Model zasobów montażu i wsparcia (podstawa liczb w 4.1)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Rok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Instalacje (model)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Godziny montażu (3 h/szt.)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Aktywne pojazdy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Godziny wsparcia (0,3 h/poj./mies.)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Etaty montażu i wsparcia (1 600 h/etat)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0,2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2031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450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0,4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2032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405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0,8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2033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810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1 800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1,6</w:t>
            </w:r>
          </w:p>
        </w:tc>
      </w:tr>
      <w:tr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2034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540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1 620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18"/>
              </w:rPr>
              <w:t>3 600</w:t>
            </w:r>
          </w:p>
        </w:tc>
        <w:tc>
          <w:tcPr>
            <w:tcW w:type="dxa" w:w="2098"/>
          </w:tcPr>
          <w:p>
            <w:r/>
            <w:r>
              <w:rPr>
                <w:b w:val="0"/>
                <w:sz w:val="18"/>
              </w:rPr>
              <w:t>3,3</w:t>
            </w:r>
          </w:p>
        </w:tc>
      </w:tr>
    </w:tbl>
    <w:p/>
    <w:p>
      <w:pPr>
        <w:spacing w:after="60"/>
      </w:pPr>
      <w:r>
        <w:rPr>
          <w:b w:val="0"/>
        </w:rPr>
        <w:t>Parametry 3 h i 0,3 h to założenia do potwierdzenia przez zespół (Kozioł, Ruciński). Liczby instalacji i pojazdów pochodzą z modelu finansowego. W 2030 r. SaaS jest liczony przez 6 miesięcy (300 pojazdo-miesięcy), więc godziny wsparcia w 2030 r. liczono dla 50 pojazdów przez 12 miesięcy, aby nie zaniżyć wymagań. Koszty tych etatów muszą być zgodne z kosztami operacyjnymi w modelu (K2-13).</w:t>
      </w:r>
    </w:p>
    <w:p>
      <w:pPr>
        <w:pStyle w:val="Heading1"/>
      </w:pPr>
      <w:r>
        <w:t>5. Powiązane zmiany w innych miejscach</w:t>
      </w:r>
    </w:p>
    <w:p>
      <w:pPr>
        <w:pStyle w:val="ListBullet"/>
      </w:pPr>
      <w:r>
        <w:rPr>
          <w:b/>
        </w:rPr>
        <w:t>Wskaźnik W3 (1.2) i opis innowacji:</w:t>
      </w:r>
      <w:r>
        <w:rPr>
          <w:b w:val="0"/>
        </w:rPr>
        <w:t xml:space="preserve"> zdania typu „żadna praca nie opisuje detekcji zabezpieczeń CV” i „pierwsza implementacja CV” zmienić na „według dostępnej dokumentacji brak systemu analizy obrazu dla naczepy”, ze względu na patenty i prace o zabezpieczeniach ładunku z pkt 2.</w:t>
      </w:r>
    </w:p>
    <w:p>
      <w:pPr>
        <w:pStyle w:val="ListBullet"/>
      </w:pPr>
      <w:r>
        <w:rPr>
          <w:b/>
        </w:rPr>
        <w:t>Specyfikacja radaru:</w:t>
      </w:r>
      <w:r>
        <w:rPr>
          <w:b w:val="0"/>
        </w:rPr>
        <w:t xml:space="preserve"> wniosek podaje radar 77 GHz, a pozycja w budżecie (TI IWR6843) to pasmo 60 GHz. Ujednolicić pasmo w opisie, w Z2 i w pkt 2.5, bo od niego zależy ścieżka certyfikacji RED.</w:t>
      </w:r>
    </w:p>
    <w:p>
      <w:pPr>
        <w:pStyle w:val="ListBullet"/>
      </w:pPr>
      <w:r>
        <w:rPr>
          <w:b/>
        </w:rPr>
        <w:t>Pkt 2.5 w obecnym wniosku:</w:t>
      </w:r>
      <w:r>
        <w:rPr>
          <w:b w:val="0"/>
        </w:rPr>
        <w:t xml:space="preserve"> zdanie o flocie testowej „do testów (Z9) i demonstracji produktu pierwszym klientom” usunąć (K3-56). Odwołanie do integracji eFTI „opracowanej w Z8” poprawić na Z6.</w:t>
      </w:r>
    </w:p>
    <w:p>
      <w:pPr>
        <w:pStyle w:val="ListBullet"/>
      </w:pPr>
      <w:r>
        <w:rPr>
          <w:b/>
        </w:rPr>
        <w:t>Pkt 2.2, Przedmiot ochrony:</w:t>
      </w:r>
      <w:r>
        <w:rPr>
          <w:b w:val="0"/>
        </w:rPr>
        <w:t xml:space="preserve"> zdanie „time-to-market konkurenta 2-3 lata” i „patent na 40+ rynkach” zmienić na zgłoszenie EPO z wyznaczeniem państw wybranych po zgłoszeniu, bo koszty rozszerzenia nie są w projekcie.</w:t>
      </w:r>
    </w:p>
    <w:p>
      <w:pPr>
        <w:pStyle w:val="ListBullet"/>
      </w:pPr>
      <w:r>
        <w:rPr>
          <w:b/>
        </w:rPr>
        <w:t>Praktyka licencji:</w:t>
      </w:r>
      <w:r>
        <w:rPr>
          <w:b w:val="0"/>
        </w:rPr>
        <w:t xml:space="preserve"> w Z3 do kryteriów wyboru architektur dodać licencję (bez AGPL).</w:t>
      </w:r>
    </w:p>
    <w:p>
      <w:pPr>
        <w:pStyle w:val="Heading1"/>
      </w:pPr>
      <w:r>
        <w:t>6. Do decyzji i potwierdzenia</w:t>
      </w:r>
    </w:p>
    <w:p>
      <w:pPr>
        <w:pStyle w:val="ListBullet"/>
      </w:pPr>
      <w:r>
        <w:rPr>
          <w:b/>
        </w:rPr>
        <w:t>D36, prawa PRz:</w:t>
      </w:r>
      <w:r>
        <w:rPr>
          <w:b w:val="0"/>
        </w:rPr>
        <w:t xml:space="preserve"> wariant A (zmiana umowy konsorcjum, przeniesienie do 31.10.2029) czy wariant B (licencja do czasu przeniesienia). Potrzebne brzmienie zapisu umowy konsorcjum o terminie przeniesienia praw, żeby sprawdzić, który wariant jest zgodny.</w:t>
      </w:r>
    </w:p>
    <w:p>
      <w:pPr>
        <w:pStyle w:val="ListBullet"/>
      </w:pPr>
      <w:r>
        <w:rPr>
          <w:b/>
        </w:rPr>
        <w:t>Ocena rzecznika patentowego:</w:t>
      </w:r>
      <w:r>
        <w:rPr>
          <w:b w:val="0"/>
        </w:rPr>
        <w:t xml:space="preserve"> czy Everest11 może ją zlecić ze środków własnych przed 06.10.2026, przynajmniej dla US 11,151,506 B2 i rodziny UPS EP 3103072. Bez tego w tekście zostaje zdanie „ocenimy zakres zastrzeżeń”.</w:t>
      </w:r>
    </w:p>
    <w:p>
      <w:pPr>
        <w:pStyle w:val="ListBullet"/>
      </w:pPr>
      <w:r>
        <w:rPr>
          <w:b/>
        </w:rPr>
        <w:t>Podmiot produkcji i kompletacji zestawów</w:t>
      </w:r>
      <w:r>
        <w:rPr>
          <w:b w:val="0"/>
        </w:rPr>
        <w:t xml:space="preserve"> oraz sposób finansowania certyfikacji i pierwszej serii (kwoty).</w:t>
      </w:r>
    </w:p>
    <w:p>
      <w:pPr>
        <w:pStyle w:val="ListBullet"/>
      </w:pPr>
      <w:r>
        <w:rPr>
          <w:b/>
        </w:rPr>
        <w:t>Parametry zasobów:</w:t>
      </w:r>
      <w:r>
        <w:rPr>
          <w:b w:val="0"/>
        </w:rPr>
        <w:t xml:space="preserve"> godziny montażu i wsparcia, wolumen danych na pojazd, parametry instancji chmurowych.</w:t>
      </w:r>
    </w:p>
    <w:p>
      <w:pPr>
        <w:pStyle w:val="ListBullet"/>
      </w:pPr>
      <w:r>
        <w:rPr>
          <w:b/>
        </w:rPr>
        <w:t>Zakres Z11:</w:t>
      </w:r>
      <w:r>
        <w:rPr>
          <w:b w:val="0"/>
        </w:rPr>
        <w:t xml:space="preserve"> czy pozycja patentowa (33,3 tys. PLN) obejmuje wszystko, co opisano w pkt 2.2.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