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K6-07: sprawozdanie za II kwartał 2026 w modelu finansowym Everest11</w:t>
      </w:r>
    </w:p>
    <w:p>
      <w:r>
        <w:rPr>
          <w:b w:val="0"/>
        </w:rPr>
        <w:t>Wniosek FENG.01.01-IP.01-A1RR/26, CargoDT. Pakiet WP11 (uwagi K6-07, K6-06, K6-04, K6-08 i powiązane). Dane z bilansu i rachunku zysków i strat Everest11 na 30.06.2026 r., podpisanych elektronicznie 02.10.2026. Uwzględnia też odpowiedzi księgowej z 05.10.2026. Zmiany zostały sprawdzone na modelu: policzyłam go przed zmianą i po zmianie (to samo przeliczenie, wartości przed zmianą zgadzają się z Twoim plikiem).</w:t>
      </w:r>
    </w:p>
    <w:p>
      <w:pPr>
        <w:pStyle w:val="Heading1"/>
      </w:pPr>
      <w:r>
        <w:t>Uwaga o aktualności (06.10.2026, wniosek wersja C (2))</w:t>
      </w:r>
    </w:p>
    <w:p>
      <w:pPr>
        <w:spacing w:after="60"/>
      </w:pPr>
      <w:r>
        <w:rPr>
          <w:b w:val="0"/>
        </w:rPr>
        <w:t>Ten dokument powstał przed wersją C (2) wniosku i modelem po zmianach z 06.10.2026 r. **Aktualne komentarze do wklejenia są w pliku Komentarze_model_finansowy_Everest.docx, który zastępuje części 4 i 9 tego dokumentu.** Nieaktualne w tym dokumencie są liczby: wkład własny 1 253 357,99 zł (jest 1 250 555,58 zł), VAT 80 937,78 zł (jest 78 135,37 zł), wydatki ogółem 4 217 654,10 zł (jest 4 214 851,69 zł), harmonogram płatności konsorcjum (największa zaliczka 28,97%, suma zaliczek 89,60%), aparatura (odpis jednorazowy w 2027 r., nie 52 i 5 tys. zł), internacjonalizacja (58 i 29 tys. zł w 2028 i 2029 r.) oraz wyniki arkusza Opłacalność (NPV 1 444 tys. zł w 2034 r., IRR 19,9%). Części 1, 2.1-2.4, 5-8 (dane za II kwartał 2026, rotacje, odpowiedzi księgowej, propozycje D53) pozostają aktualne.</w:t>
      </w:r>
    </w:p>
    <w:p>
      <w:pPr>
        <w:pStyle w:val="Heading1"/>
      </w:pPr>
      <w:r>
        <w:t>1. Najważniejsze liczby za pierwsze półrocze 2026</w:t>
      </w:r>
    </w:p>
    <w:tbl>
      <w:tblPr>
        <w:tblStyle w:val="TableGrid"/>
        <w:tblW w:type="auto" w:w="0"/>
        <w:tblLook w:firstColumn="1" w:firstRow="1" w:lastColumn="0" w:lastRow="0" w:noHBand="0" w:noVBand="1" w:val="04A0"/>
      </w:tblPr>
      <w:tblGrid>
        <w:gridCol w:w="3213"/>
        <w:gridCol w:w="3213"/>
        <w:gridCol w:w="3213"/>
      </w:tblGrid>
      <w:tr>
        <w:tc>
          <w:tcPr>
            <w:tcW w:type="dxa" w:w="3685"/>
          </w:tcPr>
          <w:p>
            <w:r/>
            <w:r>
              <w:rPr>
                <w:b/>
                <w:sz w:val="18"/>
              </w:rPr>
              <w:t>Pozycja</w:t>
            </w:r>
          </w:p>
        </w:tc>
        <w:tc>
          <w:tcPr>
            <w:tcW w:type="dxa" w:w="3005"/>
          </w:tcPr>
          <w:p>
            <w:r/>
            <w:r>
              <w:rPr>
                <w:b/>
                <w:sz w:val="18"/>
              </w:rPr>
              <w:t>31.03.2026 (stary model)</w:t>
            </w:r>
          </w:p>
        </w:tc>
        <w:tc>
          <w:tcPr>
            <w:tcW w:type="dxa" w:w="3061"/>
          </w:tcPr>
          <w:p>
            <w:r/>
            <w:r>
              <w:rPr>
                <w:b/>
                <w:sz w:val="18"/>
              </w:rPr>
              <w:t>30.06.2026 (nowy model)</w:t>
            </w:r>
          </w:p>
        </w:tc>
      </w:tr>
      <w:tr>
        <w:tc>
          <w:tcPr>
            <w:tcW w:type="dxa" w:w="3685"/>
          </w:tcPr>
          <w:p>
            <w:r/>
            <w:r>
              <w:rPr>
                <w:b w:val="0"/>
                <w:sz w:val="18"/>
              </w:rPr>
              <w:t>Przychody netto ze sprzedaży (od 1.01)</w:t>
            </w:r>
          </w:p>
        </w:tc>
        <w:tc>
          <w:tcPr>
            <w:tcW w:type="dxa" w:w="3005"/>
          </w:tcPr>
          <w:p>
            <w:r/>
            <w:r>
              <w:rPr>
                <w:b w:val="0"/>
                <w:sz w:val="18"/>
              </w:rPr>
              <w:t>5 050 965,33 zł</w:t>
            </w:r>
          </w:p>
        </w:tc>
        <w:tc>
          <w:tcPr>
            <w:tcW w:type="dxa" w:w="3061"/>
          </w:tcPr>
          <w:p>
            <w:r/>
            <w:r>
              <w:rPr>
                <w:b w:val="0"/>
                <w:sz w:val="18"/>
              </w:rPr>
              <w:t>9 763 417,56 zł</w:t>
            </w:r>
          </w:p>
        </w:tc>
      </w:tr>
      <w:tr>
        <w:tc>
          <w:tcPr>
            <w:tcW w:type="dxa" w:w="3685"/>
          </w:tcPr>
          <w:p>
            <w:r/>
            <w:r>
              <w:rPr>
                <w:b w:val="0"/>
                <w:sz w:val="18"/>
              </w:rPr>
              <w:t>Koszty działalności operacyjnej</w:t>
            </w:r>
          </w:p>
        </w:tc>
        <w:tc>
          <w:tcPr>
            <w:tcW w:type="dxa" w:w="3005"/>
          </w:tcPr>
          <w:p>
            <w:r/>
            <w:r>
              <w:rPr>
                <w:b w:val="0"/>
                <w:sz w:val="18"/>
              </w:rPr>
              <w:t>4 730 572,40 zł</w:t>
            </w:r>
          </w:p>
        </w:tc>
        <w:tc>
          <w:tcPr>
            <w:tcW w:type="dxa" w:w="3061"/>
          </w:tcPr>
          <w:p>
            <w:r/>
            <w:r>
              <w:rPr>
                <w:b w:val="0"/>
                <w:sz w:val="18"/>
              </w:rPr>
              <w:t>9 144 947,60 zł</w:t>
            </w:r>
          </w:p>
        </w:tc>
      </w:tr>
      <w:tr>
        <w:tc>
          <w:tcPr>
            <w:tcW w:type="dxa" w:w="3685"/>
          </w:tcPr>
          <w:p>
            <w:r/>
            <w:r>
              <w:rPr>
                <w:b w:val="0"/>
                <w:sz w:val="18"/>
              </w:rPr>
              <w:t>w tym usługi obce</w:t>
            </w:r>
          </w:p>
        </w:tc>
        <w:tc>
          <w:tcPr>
            <w:tcW w:type="dxa" w:w="3005"/>
          </w:tcPr>
          <w:p>
            <w:r/>
            <w:r>
              <w:rPr>
                <w:b w:val="0"/>
                <w:sz w:val="18"/>
              </w:rPr>
              <w:t>4 596 378,45 zł</w:t>
            </w:r>
          </w:p>
        </w:tc>
        <w:tc>
          <w:tcPr>
            <w:tcW w:type="dxa" w:w="3061"/>
          </w:tcPr>
          <w:p>
            <w:r/>
            <w:r>
              <w:rPr>
                <w:b w:val="0"/>
                <w:sz w:val="18"/>
              </w:rPr>
              <w:t>8 884 709,98 zł (97% kosztów)</w:t>
            </w:r>
          </w:p>
        </w:tc>
      </w:tr>
      <w:tr>
        <w:tc>
          <w:tcPr>
            <w:tcW w:type="dxa" w:w="3685"/>
          </w:tcPr>
          <w:p>
            <w:r/>
            <w:r>
              <w:rPr>
                <w:b w:val="0"/>
                <w:sz w:val="18"/>
              </w:rPr>
              <w:t>Zysk netto</w:t>
            </w:r>
          </w:p>
        </w:tc>
        <w:tc>
          <w:tcPr>
            <w:tcW w:type="dxa" w:w="3005"/>
          </w:tcPr>
          <w:p>
            <w:r/>
            <w:r>
              <w:rPr>
                <w:b w:val="0"/>
                <w:sz w:val="18"/>
              </w:rPr>
              <w:t>259 518,27 zł</w:t>
            </w:r>
          </w:p>
        </w:tc>
        <w:tc>
          <w:tcPr>
            <w:tcW w:type="dxa" w:w="3061"/>
          </w:tcPr>
          <w:p>
            <w:r/>
            <w:r>
              <w:rPr>
                <w:b w:val="0"/>
                <w:sz w:val="18"/>
              </w:rPr>
              <w:t>500 960,67 zł (rentowność netto 5,1%)</w:t>
            </w:r>
          </w:p>
        </w:tc>
      </w:tr>
      <w:tr>
        <w:tc>
          <w:tcPr>
            <w:tcW w:type="dxa" w:w="3685"/>
          </w:tcPr>
          <w:p>
            <w:r/>
            <w:r>
              <w:rPr>
                <w:b w:val="0"/>
                <w:sz w:val="18"/>
              </w:rPr>
              <w:t>Należności z tytułu dostaw i usług</w:t>
            </w:r>
          </w:p>
        </w:tc>
        <w:tc>
          <w:tcPr>
            <w:tcW w:type="dxa" w:w="3005"/>
          </w:tcPr>
          <w:p>
            <w:r/>
            <w:r>
              <w:rPr>
                <w:b w:val="0"/>
                <w:sz w:val="18"/>
              </w:rPr>
              <w:t>3 070 704,26 zł</w:t>
            </w:r>
          </w:p>
        </w:tc>
        <w:tc>
          <w:tcPr>
            <w:tcW w:type="dxa" w:w="3061"/>
          </w:tcPr>
          <w:p>
            <w:r/>
            <w:r>
              <w:rPr>
                <w:b w:val="0"/>
                <w:sz w:val="18"/>
              </w:rPr>
              <w:t>1 999 624,57 zł</w:t>
            </w:r>
          </w:p>
        </w:tc>
      </w:tr>
      <w:tr>
        <w:tc>
          <w:tcPr>
            <w:tcW w:type="dxa" w:w="3685"/>
          </w:tcPr>
          <w:p>
            <w:r/>
            <w:r>
              <w:rPr>
                <w:b w:val="0"/>
                <w:sz w:val="18"/>
              </w:rPr>
              <w:t>Środki pieniężne</w:t>
            </w:r>
          </w:p>
        </w:tc>
        <w:tc>
          <w:tcPr>
            <w:tcW w:type="dxa" w:w="3005"/>
          </w:tcPr>
          <w:p>
            <w:r/>
            <w:r>
              <w:rPr>
                <w:b w:val="0"/>
                <w:sz w:val="18"/>
              </w:rPr>
              <w:t>517 227,56 zł</w:t>
            </w:r>
          </w:p>
        </w:tc>
        <w:tc>
          <w:tcPr>
            <w:tcW w:type="dxa" w:w="3061"/>
          </w:tcPr>
          <w:p>
            <w:r/>
            <w:r>
              <w:rPr>
                <w:b w:val="0"/>
                <w:sz w:val="18"/>
              </w:rPr>
              <w:t>193 600,00 zł</w:t>
            </w:r>
          </w:p>
        </w:tc>
      </w:tr>
      <w:tr>
        <w:tc>
          <w:tcPr>
            <w:tcW w:type="dxa" w:w="3685"/>
          </w:tcPr>
          <w:p>
            <w:r/>
            <w:r>
              <w:rPr>
                <w:b w:val="0"/>
                <w:sz w:val="18"/>
              </w:rPr>
              <w:t>Zobowiązania z tytułu dostaw i usług</w:t>
            </w:r>
          </w:p>
        </w:tc>
        <w:tc>
          <w:tcPr>
            <w:tcW w:type="dxa" w:w="3005"/>
          </w:tcPr>
          <w:p>
            <w:r/>
            <w:r>
              <w:rPr>
                <w:b w:val="0"/>
                <w:sz w:val="18"/>
              </w:rPr>
              <w:t>3 090 894,31 zł</w:t>
            </w:r>
          </w:p>
        </w:tc>
        <w:tc>
          <w:tcPr>
            <w:tcW w:type="dxa" w:w="3061"/>
          </w:tcPr>
          <w:p>
            <w:r/>
            <w:r>
              <w:rPr>
                <w:b w:val="0"/>
                <w:sz w:val="18"/>
              </w:rPr>
              <w:t>1 444 217,55 zł</w:t>
            </w:r>
          </w:p>
        </w:tc>
      </w:tr>
      <w:tr>
        <w:tc>
          <w:tcPr>
            <w:tcW w:type="dxa" w:w="3685"/>
          </w:tcPr>
          <w:p>
            <w:r/>
            <w:r>
              <w:rPr>
                <w:b w:val="0"/>
                <w:sz w:val="18"/>
              </w:rPr>
              <w:t>Kapitał własny</w:t>
            </w:r>
          </w:p>
        </w:tc>
        <w:tc>
          <w:tcPr>
            <w:tcW w:type="dxa" w:w="3005"/>
          </w:tcPr>
          <w:p>
            <w:r/>
            <w:r>
              <w:rPr>
                <w:b w:val="0"/>
                <w:sz w:val="18"/>
              </w:rPr>
              <w:t>351 628,22 zł</w:t>
            </w:r>
          </w:p>
        </w:tc>
        <w:tc>
          <w:tcPr>
            <w:tcW w:type="dxa" w:w="3061"/>
          </w:tcPr>
          <w:p>
            <w:r/>
            <w:r>
              <w:rPr>
                <w:b w:val="0"/>
                <w:sz w:val="18"/>
              </w:rPr>
              <w:t>593 070,62 zł</w:t>
            </w:r>
          </w:p>
        </w:tc>
      </w:tr>
      <w:tr>
        <w:tc>
          <w:tcPr>
            <w:tcW w:type="dxa" w:w="3685"/>
          </w:tcPr>
          <w:p>
            <w:r/>
            <w:r>
              <w:rPr>
                <w:b w:val="0"/>
                <w:sz w:val="18"/>
              </w:rPr>
              <w:t>Suma bilansowa</w:t>
            </w:r>
          </w:p>
        </w:tc>
        <w:tc>
          <w:tcPr>
            <w:tcW w:type="dxa" w:w="3005"/>
          </w:tcPr>
          <w:p>
            <w:r/>
            <w:r>
              <w:rPr>
                <w:b w:val="0"/>
                <w:sz w:val="18"/>
              </w:rPr>
              <w:t>3 595 028,53 zł</w:t>
            </w:r>
          </w:p>
        </w:tc>
        <w:tc>
          <w:tcPr>
            <w:tcW w:type="dxa" w:w="3061"/>
          </w:tcPr>
          <w:p>
            <w:r/>
            <w:r>
              <w:rPr>
                <w:b w:val="0"/>
                <w:sz w:val="18"/>
              </w:rPr>
              <w:t>2 202 168,17 zł</w:t>
            </w:r>
          </w:p>
        </w:tc>
      </w:tr>
      <w:tr>
        <w:tc>
          <w:tcPr>
            <w:tcW w:type="dxa" w:w="3685"/>
          </w:tcPr>
          <w:p>
            <w:r/>
            <w:r>
              <w:rPr>
                <w:b w:val="0"/>
                <w:sz w:val="18"/>
              </w:rPr>
              <w:t>Cykl rotacji należności (model)</w:t>
            </w:r>
          </w:p>
        </w:tc>
        <w:tc>
          <w:tcPr>
            <w:tcW w:type="dxa" w:w="3005"/>
          </w:tcPr>
          <w:p>
            <w:r/>
            <w:r>
              <w:rPr>
                <w:b w:val="0"/>
                <w:sz w:val="18"/>
              </w:rPr>
              <w:t>55 dni</w:t>
            </w:r>
          </w:p>
        </w:tc>
        <w:tc>
          <w:tcPr>
            <w:tcW w:type="dxa" w:w="3061"/>
          </w:tcPr>
          <w:p>
            <w:r/>
            <w:r>
              <w:rPr>
                <w:b w:val="0"/>
                <w:sz w:val="18"/>
              </w:rPr>
              <w:t>37 dni</w:t>
            </w:r>
          </w:p>
        </w:tc>
      </w:tr>
      <w:tr>
        <w:tc>
          <w:tcPr>
            <w:tcW w:type="dxa" w:w="3685"/>
          </w:tcPr>
          <w:p>
            <w:r/>
            <w:r>
              <w:rPr>
                <w:b w:val="0"/>
                <w:sz w:val="18"/>
              </w:rPr>
              <w:t>Cykl rotacji zobowiązań (model)</w:t>
            </w:r>
          </w:p>
        </w:tc>
        <w:tc>
          <w:tcPr>
            <w:tcW w:type="dxa" w:w="3005"/>
          </w:tcPr>
          <w:p>
            <w:r/>
            <w:r>
              <w:rPr>
                <w:b w:val="0"/>
                <w:sz w:val="18"/>
              </w:rPr>
              <w:t>59 dni</w:t>
            </w:r>
          </w:p>
        </w:tc>
        <w:tc>
          <w:tcPr>
            <w:tcW w:type="dxa" w:w="3061"/>
          </w:tcPr>
          <w:p>
            <w:r/>
            <w:r>
              <w:rPr>
                <w:b w:val="0"/>
                <w:sz w:val="18"/>
              </w:rPr>
              <w:t>29 dni</w:t>
            </w:r>
          </w:p>
        </w:tc>
      </w:tr>
      <w:tr>
        <w:tc>
          <w:tcPr>
            <w:tcW w:type="dxa" w:w="3685"/>
          </w:tcPr>
          <w:p>
            <w:r/>
            <w:r>
              <w:rPr>
                <w:b w:val="0"/>
                <w:sz w:val="18"/>
              </w:rPr>
              <w:t>Płynność bieżąca</w:t>
            </w:r>
          </w:p>
        </w:tc>
        <w:tc>
          <w:tcPr>
            <w:tcW w:type="dxa" w:w="3005"/>
          </w:tcPr>
          <w:p>
            <w:r/>
            <w:r>
              <w:rPr>
                <w:b w:val="0"/>
                <w:sz w:val="18"/>
              </w:rPr>
              <w:t>1,11</w:t>
            </w:r>
          </w:p>
        </w:tc>
        <w:tc>
          <w:tcPr>
            <w:tcW w:type="dxa" w:w="3061"/>
          </w:tcPr>
          <w:p>
            <w:r/>
            <w:r>
              <w:rPr>
                <w:b w:val="0"/>
                <w:sz w:val="18"/>
              </w:rPr>
              <w:t>1,37</w:t>
            </w:r>
          </w:p>
        </w:tc>
      </w:tr>
      <w:tr>
        <w:tc>
          <w:tcPr>
            <w:tcW w:type="dxa" w:w="3685"/>
          </w:tcPr>
          <w:p>
            <w:r/>
            <w:r>
              <w:rPr>
                <w:b w:val="0"/>
                <w:sz w:val="18"/>
              </w:rPr>
              <w:t>Udział kapitałów własnych</w:t>
            </w:r>
          </w:p>
        </w:tc>
        <w:tc>
          <w:tcPr>
            <w:tcW w:type="dxa" w:w="3005"/>
          </w:tcPr>
          <w:p>
            <w:r/>
            <w:r>
              <w:rPr>
                <w:b w:val="0"/>
                <w:sz w:val="18"/>
              </w:rPr>
              <w:t>9,8%</w:t>
            </w:r>
          </w:p>
        </w:tc>
        <w:tc>
          <w:tcPr>
            <w:tcW w:type="dxa" w:w="3061"/>
          </w:tcPr>
          <w:p>
            <w:r/>
            <w:r>
              <w:rPr>
                <w:b w:val="0"/>
                <w:sz w:val="18"/>
              </w:rPr>
              <w:t>26,9%</w:t>
            </w:r>
          </w:p>
        </w:tc>
      </w:tr>
    </w:tbl>
    <w:p/>
    <w:p>
      <w:pPr>
        <w:pStyle w:val="Heading1"/>
      </w:pPr>
      <w:r>
        <w:t>2. Co zmienić w modelu (plik Model_finansowy_CargoDT_Everest.xlsm)</w:t>
      </w:r>
    </w:p>
    <w:p>
      <w:pPr>
        <w:spacing w:after="60"/>
      </w:pPr>
      <w:r>
        <w:rPr>
          <w:b w:val="0"/>
        </w:rPr>
        <w:t>Model liczy zannualizowanie sam z daty ostatniego sprawozdania, więc wystarczy zmienić poniższe komórki. Pozostałe liczby (J31, J32, kolumna J w arkuszach Kapitał pracujący i Ocena kondycji finansowej) przeliczą się automatycznie na 182 dni i 6 miesięcy.</w:t>
      </w:r>
    </w:p>
    <w:p>
      <w:pPr>
        <w:pStyle w:val="Heading2"/>
      </w:pPr>
      <w:r>
        <w:t>2.1 Data sprawozdania</w:t>
      </w:r>
    </w:p>
    <w:tbl>
      <w:tblPr>
        <w:tblStyle w:val="TableGrid"/>
        <w:tblW w:type="auto" w:w="0"/>
        <w:tblLook w:firstColumn="1" w:firstRow="1" w:lastColumn="0" w:lastRow="0" w:noHBand="0" w:noVBand="1" w:val="04A0"/>
      </w:tblPr>
      <w:tblGrid>
        <w:gridCol w:w="2409"/>
        <w:gridCol w:w="2409"/>
        <w:gridCol w:w="2409"/>
        <w:gridCol w:w="2409"/>
      </w:tblGrid>
      <w:tr>
        <w:tc>
          <w:tcPr>
            <w:tcW w:type="dxa" w:w="1984"/>
          </w:tcPr>
          <w:p>
            <w:r/>
            <w:r>
              <w:rPr>
                <w:b/>
                <w:sz w:val="18"/>
              </w:rPr>
              <w:t>Arkusz</w:t>
            </w:r>
          </w:p>
        </w:tc>
        <w:tc>
          <w:tcPr>
            <w:tcW w:type="dxa" w:w="1417"/>
          </w:tcPr>
          <w:p>
            <w:r/>
            <w:r>
              <w:rPr>
                <w:b/>
                <w:sz w:val="18"/>
              </w:rPr>
              <w:t>Komórka</w:t>
            </w:r>
          </w:p>
        </w:tc>
        <w:tc>
          <w:tcPr>
            <w:tcW w:type="dxa" w:w="2835"/>
          </w:tcPr>
          <w:p>
            <w:r/>
            <w:r>
              <w:rPr>
                <w:b/>
                <w:sz w:val="18"/>
              </w:rPr>
              <w:t>Było</w:t>
            </w:r>
          </w:p>
        </w:tc>
        <w:tc>
          <w:tcPr>
            <w:tcW w:type="dxa" w:w="3515"/>
          </w:tcPr>
          <w:p>
            <w:r/>
            <w:r>
              <w:rPr>
                <w:b/>
                <w:sz w:val="18"/>
              </w:rPr>
              <w:t>Ma być</w:t>
            </w:r>
          </w:p>
        </w:tc>
      </w:tr>
      <w:tr>
        <w:tc>
          <w:tcPr>
            <w:tcW w:type="dxa" w:w="1984"/>
          </w:tcPr>
          <w:p>
            <w:r/>
            <w:r>
              <w:rPr>
                <w:b w:val="0"/>
                <w:sz w:val="18"/>
              </w:rPr>
              <w:t>Założenia</w:t>
            </w:r>
          </w:p>
        </w:tc>
        <w:tc>
          <w:tcPr>
            <w:tcW w:type="dxa" w:w="1417"/>
          </w:tcPr>
          <w:p>
            <w:r/>
            <w:r>
              <w:rPr>
                <w:b w:val="0"/>
                <w:sz w:val="18"/>
              </w:rPr>
              <w:t>C14</w:t>
            </w:r>
          </w:p>
        </w:tc>
        <w:tc>
          <w:tcPr>
            <w:tcW w:type="dxa" w:w="2835"/>
          </w:tcPr>
          <w:p>
            <w:r/>
            <w:r>
              <w:rPr>
                <w:b w:val="0"/>
                <w:sz w:val="18"/>
              </w:rPr>
              <w:t>31.03.2026</w:t>
            </w:r>
          </w:p>
        </w:tc>
        <w:tc>
          <w:tcPr>
            <w:tcW w:type="dxa" w:w="3515"/>
          </w:tcPr>
          <w:p>
            <w:r/>
            <w:r>
              <w:rPr>
                <w:b w:val="0"/>
                <w:sz w:val="18"/>
              </w:rPr>
              <w:t>30.06.2026</w:t>
            </w:r>
          </w:p>
        </w:tc>
      </w:tr>
    </w:tbl>
    <w:p/>
    <w:p>
      <w:pPr>
        <w:pStyle w:val="Heading2"/>
      </w:pPr>
      <w:r>
        <w:t>2.2 Arkusz Sprawozdania finansowe, kolumna F (w tys. zł)</w:t>
      </w:r>
    </w:p>
    <w:tbl>
      <w:tblPr>
        <w:tblStyle w:val="TableGrid"/>
        <w:tblW w:type="auto" w:w="0"/>
        <w:tblLook w:firstColumn="1" w:firstRow="1" w:lastColumn="0" w:lastRow="0" w:noHBand="0" w:noVBand="1" w:val="04A0"/>
      </w:tblPr>
      <w:tblGrid>
        <w:gridCol w:w="2409"/>
        <w:gridCol w:w="2409"/>
        <w:gridCol w:w="2409"/>
        <w:gridCol w:w="2409"/>
      </w:tblGrid>
      <w:tr>
        <w:tc>
          <w:tcPr>
            <w:tcW w:type="dxa" w:w="1474"/>
          </w:tcPr>
          <w:p>
            <w:r/>
            <w:r>
              <w:rPr>
                <w:b/>
                <w:sz w:val="18"/>
              </w:rPr>
              <w:t>Komórka</w:t>
            </w:r>
          </w:p>
        </w:tc>
        <w:tc>
          <w:tcPr>
            <w:tcW w:type="dxa" w:w="4195"/>
          </w:tcPr>
          <w:p>
            <w:r/>
            <w:r>
              <w:rPr>
                <w:b/>
                <w:sz w:val="18"/>
              </w:rPr>
              <w:t>Pozycja</w:t>
            </w:r>
          </w:p>
        </w:tc>
        <w:tc>
          <w:tcPr>
            <w:tcW w:type="dxa" w:w="1701"/>
          </w:tcPr>
          <w:p>
            <w:r/>
            <w:r>
              <w:rPr>
                <w:b/>
                <w:sz w:val="18"/>
              </w:rPr>
              <w:t>Było (31.03.2026)</w:t>
            </w:r>
          </w:p>
        </w:tc>
        <w:tc>
          <w:tcPr>
            <w:tcW w:type="dxa" w:w="2381"/>
          </w:tcPr>
          <w:p>
            <w:r/>
            <w:r>
              <w:rPr>
                <w:b/>
                <w:sz w:val="18"/>
              </w:rPr>
              <w:t>Ma być (30.06.2026)</w:t>
            </w:r>
          </w:p>
        </w:tc>
      </w:tr>
      <w:tr>
        <w:tc>
          <w:tcPr>
            <w:tcW w:type="dxa" w:w="1474"/>
          </w:tcPr>
          <w:p>
            <w:r/>
            <w:r>
              <w:rPr>
                <w:b w:val="0"/>
                <w:sz w:val="18"/>
              </w:rPr>
              <w:t>F64</w:t>
            </w:r>
          </w:p>
        </w:tc>
        <w:tc>
          <w:tcPr>
            <w:tcW w:type="dxa" w:w="4195"/>
          </w:tcPr>
          <w:p>
            <w:r/>
            <w:r>
              <w:rPr>
                <w:b w:val="0"/>
                <w:sz w:val="18"/>
              </w:rPr>
              <w:t>Należności z tytułu dostaw i usług, do 12 miesięcy</w:t>
            </w:r>
          </w:p>
        </w:tc>
        <w:tc>
          <w:tcPr>
            <w:tcW w:type="dxa" w:w="1701"/>
          </w:tcPr>
          <w:p>
            <w:r/>
            <w:r>
              <w:rPr>
                <w:b w:val="0"/>
                <w:sz w:val="18"/>
              </w:rPr>
              <w:t>3 070,70</w:t>
            </w:r>
          </w:p>
        </w:tc>
        <w:tc>
          <w:tcPr>
            <w:tcW w:type="dxa" w:w="2381"/>
          </w:tcPr>
          <w:p>
            <w:r/>
            <w:r>
              <w:rPr>
                <w:b w:val="0"/>
                <w:sz w:val="18"/>
              </w:rPr>
              <w:t>1 999,62</w:t>
            </w:r>
          </w:p>
        </w:tc>
      </w:tr>
      <w:tr>
        <w:tc>
          <w:tcPr>
            <w:tcW w:type="dxa" w:w="1474"/>
          </w:tcPr>
          <w:p>
            <w:r/>
            <w:r>
              <w:rPr>
                <w:b w:val="0"/>
                <w:sz w:val="18"/>
              </w:rPr>
              <w:t>F66</w:t>
            </w:r>
          </w:p>
        </w:tc>
        <w:tc>
          <w:tcPr>
            <w:tcW w:type="dxa" w:w="4195"/>
          </w:tcPr>
          <w:p>
            <w:r/>
            <w:r>
              <w:rPr>
                <w:b w:val="0"/>
                <w:sz w:val="18"/>
              </w:rPr>
              <w:t>Należności z tytułu podatków i innych świadczeń</w:t>
            </w:r>
          </w:p>
        </w:tc>
        <w:tc>
          <w:tcPr>
            <w:tcW w:type="dxa" w:w="1701"/>
          </w:tcPr>
          <w:p>
            <w:r/>
            <w:r>
              <w:rPr>
                <w:b w:val="0"/>
                <w:sz w:val="18"/>
              </w:rPr>
              <w:t>0</w:t>
            </w:r>
          </w:p>
        </w:tc>
        <w:tc>
          <w:tcPr>
            <w:tcW w:type="dxa" w:w="2381"/>
          </w:tcPr>
          <w:p>
            <w:r/>
            <w:r>
              <w:rPr>
                <w:b w:val="0"/>
                <w:sz w:val="18"/>
              </w:rPr>
              <w:t>0</w:t>
            </w:r>
          </w:p>
        </w:tc>
      </w:tr>
      <w:tr>
        <w:tc>
          <w:tcPr>
            <w:tcW w:type="dxa" w:w="1474"/>
          </w:tcPr>
          <w:p>
            <w:r/>
            <w:r>
              <w:rPr>
                <w:b w:val="0"/>
                <w:sz w:val="18"/>
              </w:rPr>
              <w:t>F82</w:t>
            </w:r>
          </w:p>
        </w:tc>
        <w:tc>
          <w:tcPr>
            <w:tcW w:type="dxa" w:w="4195"/>
          </w:tcPr>
          <w:p>
            <w:r/>
            <w:r>
              <w:rPr>
                <w:b w:val="0"/>
                <w:sz w:val="18"/>
              </w:rPr>
              <w:t>Środki pieniężne na rachunkach</w:t>
            </w:r>
          </w:p>
        </w:tc>
        <w:tc>
          <w:tcPr>
            <w:tcW w:type="dxa" w:w="1701"/>
          </w:tcPr>
          <w:p>
            <w:r/>
            <w:r>
              <w:rPr>
                <w:b w:val="0"/>
                <w:sz w:val="18"/>
              </w:rPr>
              <w:t>517,23</w:t>
            </w:r>
          </w:p>
        </w:tc>
        <w:tc>
          <w:tcPr>
            <w:tcW w:type="dxa" w:w="2381"/>
          </w:tcPr>
          <w:p>
            <w:r/>
            <w:r>
              <w:rPr>
                <w:b w:val="0"/>
                <w:sz w:val="18"/>
              </w:rPr>
              <w:t>193,49 (stan 193,60, patrz uwaga niżej)</w:t>
            </w:r>
          </w:p>
        </w:tc>
      </w:tr>
      <w:tr>
        <w:tc>
          <w:tcPr>
            <w:tcW w:type="dxa" w:w="1474"/>
          </w:tcPr>
          <w:p>
            <w:r/>
            <w:r>
              <w:rPr>
                <w:b w:val="0"/>
                <w:sz w:val="18"/>
              </w:rPr>
              <w:t>F86</w:t>
            </w:r>
          </w:p>
        </w:tc>
        <w:tc>
          <w:tcPr>
            <w:tcW w:type="dxa" w:w="4195"/>
          </w:tcPr>
          <w:p>
            <w:r/>
            <w:r>
              <w:rPr>
                <w:b w:val="0"/>
                <w:sz w:val="18"/>
              </w:rPr>
              <w:t>Krótkoterminowe rozliczenia międzyokresowe</w:t>
            </w:r>
          </w:p>
        </w:tc>
        <w:tc>
          <w:tcPr>
            <w:tcW w:type="dxa" w:w="1701"/>
          </w:tcPr>
          <w:p>
            <w:r/>
            <w:r>
              <w:rPr>
                <w:b w:val="0"/>
                <w:sz w:val="18"/>
              </w:rPr>
              <w:t>7,10</w:t>
            </w:r>
          </w:p>
        </w:tc>
        <w:tc>
          <w:tcPr>
            <w:tcW w:type="dxa" w:w="2381"/>
          </w:tcPr>
          <w:p>
            <w:r/>
            <w:r>
              <w:rPr>
                <w:b w:val="0"/>
                <w:sz w:val="18"/>
              </w:rPr>
              <w:t>8,94</w:t>
            </w:r>
          </w:p>
        </w:tc>
      </w:tr>
      <w:tr>
        <w:tc>
          <w:tcPr>
            <w:tcW w:type="dxa" w:w="1474"/>
          </w:tcPr>
          <w:p>
            <w:r/>
            <w:r>
              <w:rPr>
                <w:b w:val="0"/>
                <w:sz w:val="18"/>
              </w:rPr>
              <w:t>F95</w:t>
            </w:r>
          </w:p>
        </w:tc>
        <w:tc>
          <w:tcPr>
            <w:tcW w:type="dxa" w:w="4195"/>
          </w:tcPr>
          <w:p>
            <w:r/>
            <w:r>
              <w:rPr>
                <w:b w:val="0"/>
                <w:sz w:val="18"/>
              </w:rPr>
              <w:t>Kapitał podstawowy</w:t>
            </w:r>
          </w:p>
        </w:tc>
        <w:tc>
          <w:tcPr>
            <w:tcW w:type="dxa" w:w="1701"/>
          </w:tcPr>
          <w:p>
            <w:r/>
            <w:r>
              <w:rPr>
                <w:b w:val="0"/>
                <w:sz w:val="18"/>
              </w:rPr>
              <w:t>5</w:t>
            </w:r>
          </w:p>
        </w:tc>
        <w:tc>
          <w:tcPr>
            <w:tcW w:type="dxa" w:w="2381"/>
          </w:tcPr>
          <w:p>
            <w:r/>
            <w:r>
              <w:rPr>
                <w:b w:val="0"/>
                <w:sz w:val="18"/>
              </w:rPr>
              <w:t>5</w:t>
            </w:r>
          </w:p>
        </w:tc>
      </w:tr>
      <w:tr>
        <w:tc>
          <w:tcPr>
            <w:tcW w:type="dxa" w:w="1474"/>
          </w:tcPr>
          <w:p>
            <w:r/>
            <w:r>
              <w:rPr>
                <w:b w:val="0"/>
                <w:sz w:val="18"/>
              </w:rPr>
              <w:t>F98</w:t>
            </w:r>
          </w:p>
        </w:tc>
        <w:tc>
          <w:tcPr>
            <w:tcW w:type="dxa" w:w="4195"/>
          </w:tcPr>
          <w:p>
            <w:r/>
            <w:r>
              <w:rPr>
                <w:b w:val="0"/>
                <w:sz w:val="18"/>
              </w:rPr>
              <w:t>Kapitał zapasowy</w:t>
            </w:r>
          </w:p>
        </w:tc>
        <w:tc>
          <w:tcPr>
            <w:tcW w:type="dxa" w:w="1701"/>
          </w:tcPr>
          <w:p>
            <w:r/>
            <w:r>
              <w:rPr>
                <w:b w:val="0"/>
                <w:sz w:val="18"/>
              </w:rPr>
              <w:t>42,55</w:t>
            </w:r>
          </w:p>
        </w:tc>
        <w:tc>
          <w:tcPr>
            <w:tcW w:type="dxa" w:w="2381"/>
          </w:tcPr>
          <w:p>
            <w:r/>
            <w:r>
              <w:rPr>
                <w:b w:val="0"/>
                <w:sz w:val="18"/>
              </w:rPr>
              <w:t>42,55</w:t>
            </w:r>
          </w:p>
        </w:tc>
      </w:tr>
      <w:tr>
        <w:tc>
          <w:tcPr>
            <w:tcW w:type="dxa" w:w="1474"/>
          </w:tcPr>
          <w:p>
            <w:r/>
            <w:r>
              <w:rPr>
                <w:b w:val="0"/>
                <w:sz w:val="18"/>
              </w:rPr>
              <w:t>F101</w:t>
            </w:r>
          </w:p>
        </w:tc>
        <w:tc>
          <w:tcPr>
            <w:tcW w:type="dxa" w:w="4195"/>
          </w:tcPr>
          <w:p>
            <w:r/>
            <w:r>
              <w:rPr>
                <w:b w:val="0"/>
                <w:sz w:val="18"/>
              </w:rPr>
              <w:t>Zysk z lat ubiegłych</w:t>
            </w:r>
          </w:p>
        </w:tc>
        <w:tc>
          <w:tcPr>
            <w:tcW w:type="dxa" w:w="1701"/>
          </w:tcPr>
          <w:p>
            <w:r/>
            <w:r>
              <w:rPr>
                <w:b w:val="0"/>
                <w:sz w:val="18"/>
              </w:rPr>
              <w:t>44,56</w:t>
            </w:r>
          </w:p>
        </w:tc>
        <w:tc>
          <w:tcPr>
            <w:tcW w:type="dxa" w:w="2381"/>
          </w:tcPr>
          <w:p>
            <w:r/>
            <w:r>
              <w:rPr>
                <w:b w:val="0"/>
                <w:sz w:val="18"/>
              </w:rPr>
              <w:t>44,56</w:t>
            </w:r>
          </w:p>
        </w:tc>
      </w:tr>
      <w:tr>
        <w:tc>
          <w:tcPr>
            <w:tcW w:type="dxa" w:w="1474"/>
          </w:tcPr>
          <w:p>
            <w:r/>
            <w:r>
              <w:rPr>
                <w:b w:val="0"/>
                <w:sz w:val="18"/>
              </w:rPr>
              <w:t>F123</w:t>
            </w:r>
          </w:p>
        </w:tc>
        <w:tc>
          <w:tcPr>
            <w:tcW w:type="dxa" w:w="4195"/>
          </w:tcPr>
          <w:p>
            <w:r/>
            <w:r>
              <w:rPr>
                <w:b w:val="0"/>
                <w:sz w:val="18"/>
              </w:rPr>
              <w:t>Zobowiązania wobec jednostek powiązanych</w:t>
            </w:r>
          </w:p>
        </w:tc>
        <w:tc>
          <w:tcPr>
            <w:tcW w:type="dxa" w:w="1701"/>
          </w:tcPr>
          <w:p>
            <w:r/>
            <w:r>
              <w:rPr>
                <w:b w:val="0"/>
                <w:sz w:val="18"/>
              </w:rPr>
              <w:t>0</w:t>
            </w:r>
          </w:p>
        </w:tc>
        <w:tc>
          <w:tcPr>
            <w:tcW w:type="dxa" w:w="2381"/>
          </w:tcPr>
          <w:p>
            <w:r/>
            <w:r>
              <w:rPr>
                <w:b w:val="0"/>
                <w:sz w:val="18"/>
              </w:rPr>
              <w:t>0</w:t>
            </w:r>
          </w:p>
        </w:tc>
      </w:tr>
      <w:tr>
        <w:tc>
          <w:tcPr>
            <w:tcW w:type="dxa" w:w="1474"/>
          </w:tcPr>
          <w:p>
            <w:r/>
            <w:r>
              <w:rPr>
                <w:b w:val="0"/>
                <w:sz w:val="18"/>
              </w:rPr>
              <w:t>F131</w:t>
            </w:r>
          </w:p>
        </w:tc>
        <w:tc>
          <w:tcPr>
            <w:tcW w:type="dxa" w:w="4195"/>
          </w:tcPr>
          <w:p>
            <w:r/>
            <w:r>
              <w:rPr>
                <w:b w:val="0"/>
                <w:sz w:val="18"/>
              </w:rPr>
              <w:t>Zobowiązania z tytułu dostaw i usług, do 12 miesięcy</w:t>
            </w:r>
          </w:p>
        </w:tc>
        <w:tc>
          <w:tcPr>
            <w:tcW w:type="dxa" w:w="1701"/>
          </w:tcPr>
          <w:p>
            <w:r/>
            <w:r>
              <w:rPr>
                <w:b w:val="0"/>
                <w:sz w:val="18"/>
              </w:rPr>
              <w:t>3 090,89</w:t>
            </w:r>
          </w:p>
        </w:tc>
        <w:tc>
          <w:tcPr>
            <w:tcW w:type="dxa" w:w="2381"/>
          </w:tcPr>
          <w:p>
            <w:r/>
            <w:r>
              <w:rPr>
                <w:b w:val="0"/>
                <w:sz w:val="18"/>
              </w:rPr>
              <w:t>1 444,22</w:t>
            </w:r>
          </w:p>
        </w:tc>
      </w:tr>
      <w:tr>
        <w:tc>
          <w:tcPr>
            <w:tcW w:type="dxa" w:w="1474"/>
          </w:tcPr>
          <w:p>
            <w:r/>
            <w:r>
              <w:rPr>
                <w:b w:val="0"/>
                <w:sz w:val="18"/>
              </w:rPr>
              <w:t>F135</w:t>
            </w:r>
          </w:p>
        </w:tc>
        <w:tc>
          <w:tcPr>
            <w:tcW w:type="dxa" w:w="4195"/>
          </w:tcPr>
          <w:p>
            <w:r/>
            <w:r>
              <w:rPr>
                <w:b w:val="0"/>
                <w:sz w:val="18"/>
              </w:rPr>
              <w:t>Zobowiązania z tytułu podatków, ceł i ubezpieczeń (podatki 34,024 plus ZUS 48,356)</w:t>
            </w:r>
          </w:p>
        </w:tc>
        <w:tc>
          <w:tcPr>
            <w:tcW w:type="dxa" w:w="1701"/>
          </w:tcPr>
          <w:p>
            <w:r/>
            <w:r>
              <w:rPr>
                <w:b w:val="0"/>
                <w:sz w:val="18"/>
              </w:rPr>
              <w:t>70,01</w:t>
            </w:r>
          </w:p>
        </w:tc>
        <w:tc>
          <w:tcPr>
            <w:tcW w:type="dxa" w:w="2381"/>
          </w:tcPr>
          <w:p>
            <w:r/>
            <w:r>
              <w:rPr>
                <w:b w:val="0"/>
                <w:sz w:val="18"/>
              </w:rPr>
              <w:t>82,38</w:t>
            </w:r>
          </w:p>
        </w:tc>
      </w:tr>
      <w:tr>
        <w:tc>
          <w:tcPr>
            <w:tcW w:type="dxa" w:w="1474"/>
          </w:tcPr>
          <w:p>
            <w:r/>
            <w:r>
              <w:rPr>
                <w:b w:val="0"/>
                <w:sz w:val="18"/>
              </w:rPr>
              <w:t>F136</w:t>
            </w:r>
          </w:p>
        </w:tc>
        <w:tc>
          <w:tcPr>
            <w:tcW w:type="dxa" w:w="4195"/>
          </w:tcPr>
          <w:p>
            <w:r/>
            <w:r>
              <w:rPr>
                <w:b w:val="0"/>
                <w:sz w:val="18"/>
              </w:rPr>
              <w:t>Zobowiązania z tytułu wynagrodzeń</w:t>
            </w:r>
          </w:p>
        </w:tc>
        <w:tc>
          <w:tcPr>
            <w:tcW w:type="dxa" w:w="1701"/>
          </w:tcPr>
          <w:p>
            <w:r/>
            <w:r>
              <w:rPr>
                <w:b w:val="0"/>
                <w:sz w:val="18"/>
              </w:rPr>
              <w:t>82,50</w:t>
            </w:r>
          </w:p>
        </w:tc>
        <w:tc>
          <w:tcPr>
            <w:tcW w:type="dxa" w:w="2381"/>
          </w:tcPr>
          <w:p>
            <w:r/>
            <w:r>
              <w:rPr>
                <w:b w:val="0"/>
                <w:sz w:val="18"/>
              </w:rPr>
              <w:t>82,50</w:t>
            </w:r>
          </w:p>
        </w:tc>
      </w:tr>
      <w:tr>
        <w:tc>
          <w:tcPr>
            <w:tcW w:type="dxa" w:w="1474"/>
          </w:tcPr>
          <w:p>
            <w:r/>
            <w:r>
              <w:rPr>
                <w:b w:val="0"/>
                <w:sz w:val="18"/>
              </w:rPr>
              <w:t>F152</w:t>
            </w:r>
          </w:p>
        </w:tc>
        <w:tc>
          <w:tcPr>
            <w:tcW w:type="dxa" w:w="4195"/>
          </w:tcPr>
          <w:p>
            <w:r/>
            <w:r>
              <w:rPr>
                <w:b w:val="0"/>
                <w:sz w:val="18"/>
              </w:rPr>
              <w:t>Przychody netto ze sprzedaży</w:t>
            </w:r>
          </w:p>
        </w:tc>
        <w:tc>
          <w:tcPr>
            <w:tcW w:type="dxa" w:w="1701"/>
          </w:tcPr>
          <w:p>
            <w:r/>
            <w:r>
              <w:rPr>
                <w:b w:val="0"/>
                <w:sz w:val="18"/>
              </w:rPr>
              <w:t>5 050,97</w:t>
            </w:r>
          </w:p>
        </w:tc>
        <w:tc>
          <w:tcPr>
            <w:tcW w:type="dxa" w:w="2381"/>
          </w:tcPr>
          <w:p>
            <w:r/>
            <w:r>
              <w:rPr>
                <w:b w:val="0"/>
                <w:sz w:val="18"/>
              </w:rPr>
              <w:t>9 763,42</w:t>
            </w:r>
          </w:p>
        </w:tc>
      </w:tr>
      <w:tr>
        <w:tc>
          <w:tcPr>
            <w:tcW w:type="dxa" w:w="1474"/>
          </w:tcPr>
          <w:p>
            <w:r/>
            <w:r>
              <w:rPr>
                <w:b w:val="0"/>
                <w:sz w:val="18"/>
              </w:rPr>
              <w:t>F158</w:t>
            </w:r>
          </w:p>
        </w:tc>
        <w:tc>
          <w:tcPr>
            <w:tcW w:type="dxa" w:w="4195"/>
          </w:tcPr>
          <w:p>
            <w:r/>
            <w:r>
              <w:rPr>
                <w:b w:val="0"/>
                <w:sz w:val="18"/>
              </w:rPr>
              <w:t>Zużycie materiałów i energii</w:t>
            </w:r>
          </w:p>
        </w:tc>
        <w:tc>
          <w:tcPr>
            <w:tcW w:type="dxa" w:w="1701"/>
          </w:tcPr>
          <w:p>
            <w:r/>
            <w:r>
              <w:rPr>
                <w:b w:val="0"/>
                <w:sz w:val="18"/>
              </w:rPr>
              <w:t>8,40</w:t>
            </w:r>
          </w:p>
        </w:tc>
        <w:tc>
          <w:tcPr>
            <w:tcW w:type="dxa" w:w="2381"/>
          </w:tcPr>
          <w:p>
            <w:r/>
            <w:r>
              <w:rPr>
                <w:b w:val="0"/>
                <w:sz w:val="18"/>
              </w:rPr>
              <w:t>12,43</w:t>
            </w:r>
          </w:p>
        </w:tc>
      </w:tr>
      <w:tr>
        <w:tc>
          <w:tcPr>
            <w:tcW w:type="dxa" w:w="1474"/>
          </w:tcPr>
          <w:p>
            <w:r/>
            <w:r>
              <w:rPr>
                <w:b w:val="0"/>
                <w:sz w:val="18"/>
              </w:rPr>
              <w:t>F159</w:t>
            </w:r>
          </w:p>
        </w:tc>
        <w:tc>
          <w:tcPr>
            <w:tcW w:type="dxa" w:w="4195"/>
          </w:tcPr>
          <w:p>
            <w:r/>
            <w:r>
              <w:rPr>
                <w:b w:val="0"/>
                <w:sz w:val="18"/>
              </w:rPr>
              <w:t>Usługi obce</w:t>
            </w:r>
          </w:p>
        </w:tc>
        <w:tc>
          <w:tcPr>
            <w:tcW w:type="dxa" w:w="1701"/>
          </w:tcPr>
          <w:p>
            <w:r/>
            <w:r>
              <w:rPr>
                <w:b w:val="0"/>
                <w:sz w:val="18"/>
              </w:rPr>
              <w:t>4 596,38</w:t>
            </w:r>
          </w:p>
        </w:tc>
        <w:tc>
          <w:tcPr>
            <w:tcW w:type="dxa" w:w="2381"/>
          </w:tcPr>
          <w:p>
            <w:r/>
            <w:r>
              <w:rPr>
                <w:b w:val="0"/>
                <w:sz w:val="18"/>
              </w:rPr>
              <w:t>8 884,71</w:t>
            </w:r>
          </w:p>
        </w:tc>
      </w:tr>
      <w:tr>
        <w:tc>
          <w:tcPr>
            <w:tcW w:type="dxa" w:w="1474"/>
          </w:tcPr>
          <w:p>
            <w:r/>
            <w:r>
              <w:rPr>
                <w:b w:val="0"/>
                <w:sz w:val="18"/>
              </w:rPr>
              <w:t>F160</w:t>
            </w:r>
          </w:p>
        </w:tc>
        <w:tc>
          <w:tcPr>
            <w:tcW w:type="dxa" w:w="4195"/>
          </w:tcPr>
          <w:p>
            <w:r/>
            <w:r>
              <w:rPr>
                <w:b w:val="0"/>
                <w:sz w:val="18"/>
              </w:rPr>
              <w:t>Podatki i opłaty</w:t>
            </w:r>
          </w:p>
        </w:tc>
        <w:tc>
          <w:tcPr>
            <w:tcW w:type="dxa" w:w="1701"/>
          </w:tcPr>
          <w:p>
            <w:r/>
            <w:r>
              <w:rPr>
                <w:b w:val="0"/>
                <w:sz w:val="18"/>
              </w:rPr>
              <w:t>0</w:t>
            </w:r>
          </w:p>
        </w:tc>
        <w:tc>
          <w:tcPr>
            <w:tcW w:type="dxa" w:w="2381"/>
          </w:tcPr>
          <w:p>
            <w:r/>
            <w:r>
              <w:rPr>
                <w:b w:val="0"/>
                <w:sz w:val="18"/>
              </w:rPr>
              <w:t>0</w:t>
            </w:r>
          </w:p>
        </w:tc>
      </w:tr>
      <w:tr>
        <w:tc>
          <w:tcPr>
            <w:tcW w:type="dxa" w:w="1474"/>
          </w:tcPr>
          <w:p>
            <w:r/>
            <w:r>
              <w:rPr>
                <w:b w:val="0"/>
                <w:sz w:val="18"/>
              </w:rPr>
              <w:t>F162</w:t>
            </w:r>
          </w:p>
        </w:tc>
        <w:tc>
          <w:tcPr>
            <w:tcW w:type="dxa" w:w="4195"/>
          </w:tcPr>
          <w:p>
            <w:r/>
            <w:r>
              <w:rPr>
                <w:b w:val="0"/>
                <w:sz w:val="18"/>
              </w:rPr>
              <w:t>Wynagrodzenia</w:t>
            </w:r>
          </w:p>
        </w:tc>
        <w:tc>
          <w:tcPr>
            <w:tcW w:type="dxa" w:w="1701"/>
          </w:tcPr>
          <w:p>
            <w:r/>
            <w:r>
              <w:rPr>
                <w:b w:val="0"/>
                <w:sz w:val="18"/>
              </w:rPr>
              <w:t>104,16</w:t>
            </w:r>
          </w:p>
        </w:tc>
        <w:tc>
          <w:tcPr>
            <w:tcW w:type="dxa" w:w="2381"/>
          </w:tcPr>
          <w:p>
            <w:r/>
            <w:r>
              <w:rPr>
                <w:b w:val="0"/>
                <w:sz w:val="18"/>
              </w:rPr>
              <w:t>205,20</w:t>
            </w:r>
          </w:p>
        </w:tc>
      </w:tr>
      <w:tr>
        <w:tc>
          <w:tcPr>
            <w:tcW w:type="dxa" w:w="1474"/>
          </w:tcPr>
          <w:p>
            <w:r/>
            <w:r>
              <w:rPr>
                <w:b w:val="0"/>
                <w:sz w:val="18"/>
              </w:rPr>
              <w:t>F163</w:t>
            </w:r>
          </w:p>
        </w:tc>
        <w:tc>
          <w:tcPr>
            <w:tcW w:type="dxa" w:w="4195"/>
          </w:tcPr>
          <w:p>
            <w:r/>
            <w:r>
              <w:rPr>
                <w:b w:val="0"/>
                <w:sz w:val="18"/>
              </w:rPr>
              <w:t>Ubezpieczenia społeczne i inne świadczenia</w:t>
            </w:r>
          </w:p>
        </w:tc>
        <w:tc>
          <w:tcPr>
            <w:tcW w:type="dxa" w:w="1701"/>
          </w:tcPr>
          <w:p>
            <w:r/>
            <w:r>
              <w:rPr>
                <w:b w:val="0"/>
                <w:sz w:val="18"/>
              </w:rPr>
              <w:t>21,63</w:t>
            </w:r>
          </w:p>
        </w:tc>
        <w:tc>
          <w:tcPr>
            <w:tcW w:type="dxa" w:w="2381"/>
          </w:tcPr>
          <w:p>
            <w:r/>
            <w:r>
              <w:rPr>
                <w:b w:val="0"/>
                <w:sz w:val="18"/>
              </w:rPr>
              <w:t>42,61</w:t>
            </w:r>
          </w:p>
        </w:tc>
      </w:tr>
      <w:tr>
        <w:tc>
          <w:tcPr>
            <w:tcW w:type="dxa" w:w="1474"/>
          </w:tcPr>
          <w:p>
            <w:r/>
            <w:r>
              <w:rPr>
                <w:b w:val="0"/>
                <w:sz w:val="18"/>
              </w:rPr>
              <w:t>F164</w:t>
            </w:r>
          </w:p>
        </w:tc>
        <w:tc>
          <w:tcPr>
            <w:tcW w:type="dxa" w:w="4195"/>
          </w:tcPr>
          <w:p>
            <w:r/>
            <w:r>
              <w:rPr>
                <w:b w:val="0"/>
                <w:sz w:val="18"/>
              </w:rPr>
              <w:t>Pozostałe koszty rodzajowe</w:t>
            </w:r>
          </w:p>
        </w:tc>
        <w:tc>
          <w:tcPr>
            <w:tcW w:type="dxa" w:w="1701"/>
          </w:tcPr>
          <w:p>
            <w:r/>
            <w:r>
              <w:rPr>
                <w:b w:val="0"/>
                <w:sz w:val="18"/>
              </w:rPr>
              <w:t>0</w:t>
            </w:r>
          </w:p>
        </w:tc>
        <w:tc>
          <w:tcPr>
            <w:tcW w:type="dxa" w:w="2381"/>
          </w:tcPr>
          <w:p>
            <w:r/>
            <w:r>
              <w:rPr>
                <w:b w:val="0"/>
                <w:sz w:val="18"/>
              </w:rPr>
              <w:t>0</w:t>
            </w:r>
          </w:p>
        </w:tc>
      </w:tr>
      <w:tr>
        <w:tc>
          <w:tcPr>
            <w:tcW w:type="dxa" w:w="1474"/>
          </w:tcPr>
          <w:p>
            <w:r/>
            <w:r>
              <w:rPr>
                <w:b w:val="0"/>
                <w:sz w:val="18"/>
              </w:rPr>
              <w:t>F170, F174, F179, F185</w:t>
            </w:r>
          </w:p>
        </w:tc>
        <w:tc>
          <w:tcPr>
            <w:tcW w:type="dxa" w:w="4195"/>
          </w:tcPr>
          <w:p>
            <w:r/>
            <w:r>
              <w:rPr>
                <w:b w:val="0"/>
                <w:sz w:val="18"/>
              </w:rPr>
              <w:t>Pozostałe przychody i koszty operacyjne, odsetki</w:t>
            </w:r>
          </w:p>
        </w:tc>
        <w:tc>
          <w:tcPr>
            <w:tcW w:type="dxa" w:w="1701"/>
          </w:tcPr>
          <w:p>
            <w:r/>
            <w:r>
              <w:rPr>
                <w:b w:val="0"/>
                <w:sz w:val="18"/>
              </w:rPr>
              <w:t>0</w:t>
            </w:r>
          </w:p>
        </w:tc>
        <w:tc>
          <w:tcPr>
            <w:tcW w:type="dxa" w:w="2381"/>
          </w:tcPr>
          <w:p>
            <w:r/>
            <w:r>
              <w:rPr>
                <w:b w:val="0"/>
                <w:sz w:val="18"/>
              </w:rPr>
              <w:t>0</w:t>
            </w:r>
          </w:p>
        </w:tc>
      </w:tr>
      <w:tr>
        <w:tc>
          <w:tcPr>
            <w:tcW w:type="dxa" w:w="1474"/>
          </w:tcPr>
          <w:p>
            <w:r/>
            <w:r>
              <w:rPr>
                <w:b w:val="0"/>
                <w:sz w:val="18"/>
              </w:rPr>
              <w:t>F195</w:t>
            </w:r>
          </w:p>
        </w:tc>
        <w:tc>
          <w:tcPr>
            <w:tcW w:type="dxa" w:w="4195"/>
          </w:tcPr>
          <w:p>
            <w:r/>
            <w:r>
              <w:rPr>
                <w:b w:val="0"/>
                <w:sz w:val="18"/>
              </w:rPr>
              <w:t>Podatek dochodowy</w:t>
            </w:r>
          </w:p>
        </w:tc>
        <w:tc>
          <w:tcPr>
            <w:tcW w:type="dxa" w:w="1701"/>
          </w:tcPr>
          <w:p>
            <w:r/>
            <w:r>
              <w:rPr>
                <w:b w:val="0"/>
                <w:sz w:val="18"/>
              </w:rPr>
              <w:t>60,87</w:t>
            </w:r>
          </w:p>
        </w:tc>
        <w:tc>
          <w:tcPr>
            <w:tcW w:type="dxa" w:w="2381"/>
          </w:tcPr>
          <w:p>
            <w:r/>
            <w:r>
              <w:rPr>
                <w:b w:val="0"/>
                <w:sz w:val="18"/>
              </w:rPr>
              <w:t>117,49 (rzeczywiście 117,51, patrz uwaga niżej)</w:t>
            </w:r>
          </w:p>
        </w:tc>
      </w:tr>
    </w:tbl>
    <w:p/>
    <w:p>
      <w:pPr>
        <w:spacing w:after="60"/>
      </w:pPr>
      <w:r>
        <w:rPr>
          <w:b w:val="0"/>
        </w:rPr>
        <w:t>Uwaga o dwóch zaokrągleniach. Model zaokrągla sumy częściowe do tysięcy złotych i sprawdza, czy aktywa równają się pasywom. Przy wartościach rzeczywistych (193,60 i 117,51) wychodziła różnica 2 tys. zł: zysk netto 500 w modelu wobec 501 w sprawozdaniu, a aktywa o 1 tys. zł większe od pasywów. Dlatego dwie komórki (F82 i F195) mają wartości o 0,11 i 0,02 tys. zł mniejsze od rzeczywistych. Po tej zmianie aktywa i pasywa wynoszą po 2 202 tys. zł, zysk netto 501 tys. zł, a kontrolki w arkuszu Sprawozdania finansowe dają „OK”. W arkuszu Ocena kondycji finansowej kontrolka rachunku przepływów (komórka J124) pokazuje różnicę 1 tys. zł, wynikającą z zaokrągleń w rachunku przepływów liczonym pośrednio. Taka sama flaga była już w danych za 2025 r. (komórka I124), a w starym modelu za I kwartał kontrolka bilansu (J95) pokazywała różnicę, więc nie jest to nowy rodzaj uwagi. Jeśli wolisz wpisać wartości rzeczywiste, kontrolka „Aktywa minus pasywa” w arkuszu Sprawozdania pokaże różnicę 2 tys. zł.</w:t>
      </w:r>
    </w:p>
    <w:p>
      <w:pPr>
        <w:pStyle w:val="Heading2"/>
      </w:pPr>
      <w:r>
        <w:t>2.3 Prognoza działalności dotychczasowej: zamiana „I kwartał razy 4” na „I półrocze razy 2”</w:t>
      </w:r>
    </w:p>
    <w:p>
      <w:pPr>
        <w:spacing w:after="60"/>
      </w:pPr>
      <w:r>
        <w:rPr>
          <w:b w:val="0"/>
        </w:rPr>
        <w:t>W modelu prognoza działalności dotychczasowej to wpisane liczby, a nie wzory, więc nie zmienią się same. Usunięcie danych za I kwartał (K6-07) wymaga też zmiany podstawy prognozy. Wpisz poniższe wartości w kolumnach K do X (lata 2026 do 2039).</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701"/>
          </w:tcPr>
          <w:p>
            <w:r/>
            <w:r>
              <w:rPr>
                <w:b/>
                <w:sz w:val="18"/>
              </w:rPr>
              <w:t>Arkusz</w:t>
            </w:r>
          </w:p>
        </w:tc>
        <w:tc>
          <w:tcPr>
            <w:tcW w:type="dxa" w:w="907"/>
          </w:tcPr>
          <w:p>
            <w:r/>
            <w:r>
              <w:rPr>
                <w:b/>
                <w:sz w:val="18"/>
              </w:rPr>
              <w:t>Wiersz</w:t>
            </w:r>
          </w:p>
        </w:tc>
        <w:tc>
          <w:tcPr>
            <w:tcW w:type="dxa" w:w="3628"/>
          </w:tcPr>
          <w:p>
            <w:r/>
            <w:r>
              <w:rPr>
                <w:b/>
                <w:sz w:val="18"/>
              </w:rPr>
              <w:t>Pozycja</w:t>
            </w:r>
          </w:p>
        </w:tc>
        <w:tc>
          <w:tcPr>
            <w:tcW w:type="dxa" w:w="1474"/>
          </w:tcPr>
          <w:p>
            <w:r/>
            <w:r>
              <w:rPr>
                <w:b/>
                <w:sz w:val="18"/>
              </w:rPr>
              <w:t>Było</w:t>
            </w:r>
          </w:p>
        </w:tc>
        <w:tc>
          <w:tcPr>
            <w:tcW w:type="dxa" w:w="2041"/>
          </w:tcPr>
          <w:p>
            <w:r/>
            <w:r>
              <w:rPr>
                <w:b/>
                <w:sz w:val="18"/>
              </w:rPr>
              <w:t>Ma być (kolumny K do X)</w:t>
            </w:r>
          </w:p>
        </w:tc>
      </w:tr>
      <w:tr>
        <w:tc>
          <w:tcPr>
            <w:tcW w:type="dxa" w:w="1701"/>
          </w:tcPr>
          <w:p>
            <w:r/>
            <w:r>
              <w:rPr>
                <w:b w:val="0"/>
                <w:sz w:val="18"/>
              </w:rPr>
              <w:t>Przychody</w:t>
            </w:r>
          </w:p>
        </w:tc>
        <w:tc>
          <w:tcPr>
            <w:tcW w:type="dxa" w:w="907"/>
          </w:tcPr>
          <w:p>
            <w:r/>
            <w:r>
              <w:rPr>
                <w:b w:val="0"/>
                <w:sz w:val="18"/>
              </w:rPr>
              <w:t>27</w:t>
            </w:r>
          </w:p>
        </w:tc>
        <w:tc>
          <w:tcPr>
            <w:tcW w:type="dxa" w:w="3628"/>
          </w:tcPr>
          <w:p>
            <w:r/>
            <w:r>
              <w:rPr>
                <w:b w:val="0"/>
                <w:sz w:val="18"/>
              </w:rPr>
              <w:t>Sprzedaż produktów (działalność dotychczasowa)</w:t>
            </w:r>
          </w:p>
        </w:tc>
        <w:tc>
          <w:tcPr>
            <w:tcW w:type="dxa" w:w="1474"/>
          </w:tcPr>
          <w:p>
            <w:r/>
            <w:r>
              <w:rPr>
                <w:b w:val="0"/>
                <w:sz w:val="18"/>
              </w:rPr>
              <w:t>20 203,86</w:t>
            </w:r>
          </w:p>
        </w:tc>
        <w:tc>
          <w:tcPr>
            <w:tcW w:type="dxa" w:w="2041"/>
          </w:tcPr>
          <w:p>
            <w:r/>
            <w:r>
              <w:rPr>
                <w:b w:val="0"/>
                <w:sz w:val="18"/>
              </w:rPr>
              <w:t>19 526,84</w:t>
            </w:r>
          </w:p>
        </w:tc>
      </w:tr>
      <w:tr>
        <w:tc>
          <w:tcPr>
            <w:tcW w:type="dxa" w:w="1701"/>
          </w:tcPr>
          <w:p>
            <w:r/>
            <w:r>
              <w:rPr>
                <w:b w:val="0"/>
                <w:sz w:val="18"/>
              </w:rPr>
              <w:t>Koszty operacyjne</w:t>
            </w:r>
          </w:p>
        </w:tc>
        <w:tc>
          <w:tcPr>
            <w:tcW w:type="dxa" w:w="907"/>
          </w:tcPr>
          <w:p>
            <w:r/>
            <w:r>
              <w:rPr>
                <w:b w:val="0"/>
                <w:sz w:val="18"/>
              </w:rPr>
              <w:t>15</w:t>
            </w:r>
          </w:p>
        </w:tc>
        <w:tc>
          <w:tcPr>
            <w:tcW w:type="dxa" w:w="3628"/>
          </w:tcPr>
          <w:p>
            <w:r/>
            <w:r>
              <w:rPr>
                <w:b w:val="0"/>
                <w:sz w:val="18"/>
              </w:rPr>
              <w:t>Zużycie materiałów i energii</w:t>
            </w:r>
          </w:p>
        </w:tc>
        <w:tc>
          <w:tcPr>
            <w:tcW w:type="dxa" w:w="1474"/>
          </w:tcPr>
          <w:p>
            <w:r/>
            <w:r>
              <w:rPr>
                <w:b w:val="0"/>
                <w:sz w:val="18"/>
              </w:rPr>
              <w:t>33,62</w:t>
            </w:r>
          </w:p>
        </w:tc>
        <w:tc>
          <w:tcPr>
            <w:tcW w:type="dxa" w:w="2041"/>
          </w:tcPr>
          <w:p>
            <w:r/>
            <w:r>
              <w:rPr>
                <w:b w:val="0"/>
                <w:sz w:val="18"/>
              </w:rPr>
              <w:t>24,87</w:t>
            </w:r>
          </w:p>
        </w:tc>
      </w:tr>
      <w:tr>
        <w:tc>
          <w:tcPr>
            <w:tcW w:type="dxa" w:w="1701"/>
          </w:tcPr>
          <w:p>
            <w:r/>
            <w:r>
              <w:rPr>
                <w:b w:val="0"/>
                <w:sz w:val="18"/>
              </w:rPr>
              <w:t>Koszty operacyjne</w:t>
            </w:r>
          </w:p>
        </w:tc>
        <w:tc>
          <w:tcPr>
            <w:tcW w:type="dxa" w:w="907"/>
          </w:tcPr>
          <w:p>
            <w:r/>
            <w:r>
              <w:rPr>
                <w:b w:val="0"/>
                <w:sz w:val="18"/>
              </w:rPr>
              <w:t>24</w:t>
            </w:r>
          </w:p>
        </w:tc>
        <w:tc>
          <w:tcPr>
            <w:tcW w:type="dxa" w:w="3628"/>
          </w:tcPr>
          <w:p>
            <w:r/>
            <w:r>
              <w:rPr>
                <w:b w:val="0"/>
                <w:sz w:val="18"/>
              </w:rPr>
              <w:t>Usługi obce</w:t>
            </w:r>
          </w:p>
        </w:tc>
        <w:tc>
          <w:tcPr>
            <w:tcW w:type="dxa" w:w="1474"/>
          </w:tcPr>
          <w:p>
            <w:r/>
            <w:r>
              <w:rPr>
                <w:b w:val="0"/>
                <w:sz w:val="18"/>
              </w:rPr>
              <w:t>18 385,51</w:t>
            </w:r>
          </w:p>
        </w:tc>
        <w:tc>
          <w:tcPr>
            <w:tcW w:type="dxa" w:w="2041"/>
          </w:tcPr>
          <w:p>
            <w:r/>
            <w:r>
              <w:rPr>
                <w:b w:val="0"/>
                <w:sz w:val="18"/>
              </w:rPr>
              <w:t>17 769,42</w:t>
            </w:r>
          </w:p>
        </w:tc>
      </w:tr>
      <w:tr>
        <w:tc>
          <w:tcPr>
            <w:tcW w:type="dxa" w:w="1701"/>
          </w:tcPr>
          <w:p>
            <w:r/>
            <w:r>
              <w:rPr>
                <w:b w:val="0"/>
                <w:sz w:val="18"/>
              </w:rPr>
              <w:t>Koszty operacyjne</w:t>
            </w:r>
          </w:p>
        </w:tc>
        <w:tc>
          <w:tcPr>
            <w:tcW w:type="dxa" w:w="907"/>
          </w:tcPr>
          <w:p>
            <w:r/>
            <w:r>
              <w:rPr>
                <w:b w:val="0"/>
                <w:sz w:val="18"/>
              </w:rPr>
              <w:t>43</w:t>
            </w:r>
          </w:p>
        </w:tc>
        <w:tc>
          <w:tcPr>
            <w:tcW w:type="dxa" w:w="3628"/>
          </w:tcPr>
          <w:p>
            <w:r/>
            <w:r>
              <w:rPr>
                <w:b w:val="0"/>
                <w:sz w:val="18"/>
              </w:rPr>
              <w:t>Personel dotychczasowy (średnie miesięczne wynagrodzenie)</w:t>
            </w:r>
          </w:p>
        </w:tc>
        <w:tc>
          <w:tcPr>
            <w:tcW w:type="dxa" w:w="1474"/>
          </w:tcPr>
          <w:p>
            <w:r/>
            <w:r>
              <w:rPr>
                <w:b w:val="0"/>
                <w:sz w:val="18"/>
              </w:rPr>
              <w:t>34,72</w:t>
            </w:r>
          </w:p>
        </w:tc>
        <w:tc>
          <w:tcPr>
            <w:tcW w:type="dxa" w:w="2041"/>
          </w:tcPr>
          <w:p>
            <w:r/>
            <w:r>
              <w:rPr>
                <w:b w:val="0"/>
                <w:sz w:val="18"/>
              </w:rPr>
              <w:t>34,20</w:t>
            </w:r>
          </w:p>
        </w:tc>
      </w:tr>
      <w:tr>
        <w:tc>
          <w:tcPr>
            <w:tcW w:type="dxa" w:w="1701"/>
          </w:tcPr>
          <w:p>
            <w:r/>
            <w:r>
              <w:rPr>
                <w:b w:val="0"/>
                <w:sz w:val="18"/>
              </w:rPr>
              <w:t>Koszty operacyjne</w:t>
            </w:r>
          </w:p>
        </w:tc>
        <w:tc>
          <w:tcPr>
            <w:tcW w:type="dxa" w:w="907"/>
          </w:tcPr>
          <w:p>
            <w:r/>
            <w:r>
              <w:rPr>
                <w:b w:val="0"/>
                <w:sz w:val="18"/>
              </w:rPr>
              <w:t>65</w:t>
            </w:r>
          </w:p>
        </w:tc>
        <w:tc>
          <w:tcPr>
            <w:tcW w:type="dxa" w:w="3628"/>
          </w:tcPr>
          <w:p>
            <w:r/>
            <w:r>
              <w:rPr>
                <w:b w:val="0"/>
                <w:sz w:val="18"/>
              </w:rPr>
              <w:t>Ubezpieczenia społeczne i inne świadczenia</w:t>
            </w:r>
          </w:p>
        </w:tc>
        <w:tc>
          <w:tcPr>
            <w:tcW w:type="dxa" w:w="1474"/>
          </w:tcPr>
          <w:p>
            <w:r/>
            <w:r>
              <w:rPr>
                <w:b w:val="0"/>
                <w:sz w:val="18"/>
              </w:rPr>
              <w:t>86,51</w:t>
            </w:r>
          </w:p>
        </w:tc>
        <w:tc>
          <w:tcPr>
            <w:tcW w:type="dxa" w:w="2041"/>
          </w:tcPr>
          <w:p>
            <w:r/>
            <w:r>
              <w:rPr>
                <w:b w:val="0"/>
                <w:sz w:val="18"/>
              </w:rPr>
              <w:t>85,21</w:t>
            </w:r>
          </w:p>
        </w:tc>
      </w:tr>
    </w:tbl>
    <w:p/>
    <w:p>
      <w:pPr>
        <w:spacing w:after="60"/>
      </w:pPr>
      <w:r>
        <w:rPr>
          <w:b w:val="0"/>
        </w:rPr>
        <w:t>Wartości to dwukrotność wyników I półrocza z tabeli w części 1: 2 x 9 763,42 = 19 526,84; 2 x 12,43 = 24,87; 2 x 8 884,71 = 17 769,42; 2 x 205,20 / 12 = 34,20; 2 x 42,61 = 85,21. Prognozowana rentowność działalności dotychczasowej pozostaje taka sama (6,3% marży ze sprzedaży), ale obroty są o 3,3% niższe niż przy mnożeniu I kwartału, czyli prognoza jest ostrożniejsza.</w:t>
      </w:r>
    </w:p>
    <w:p>
      <w:pPr>
        <w:pStyle w:val="Heading2"/>
      </w:pPr>
      <w:r>
        <w:t>2.4 Rotacja należności i zobowiązań (po odpowiedzi księgowej)</w:t>
      </w:r>
    </w:p>
    <w:p>
      <w:pPr>
        <w:spacing w:after="60"/>
      </w:pPr>
      <w:r>
        <w:rPr>
          <w:b w:val="0"/>
        </w:rPr>
        <w:t>Księgowa potwierdziła, że terminy płatności wynoszą 30 dni wobec odbiorców i przewoźników, całość sald na 30.06.2026 mieści się w przedziale do 30 dni, nie było zaliczek ani zapasów, a poziom z 2026 r. zostanie utrzymany. Wyższe zobowiązania z końca 2025 r. wynikały z płatności przeterminowanych, które spółka uregulowała. W tej sytuacji średnia z lat 2023 do 2025, na której model opiera rotacje (należności 63 do 84 dni, zobowiązania 96 do 133 dni), odzwierciedla zaległości, a nie bieżące warunki handlowe. Dlatego w modelu przyjęłam rotacje z pierwszego półrocza 2026 r.</w:t>
      </w:r>
    </w:p>
    <w:tbl>
      <w:tblPr>
        <w:tblStyle w:val="TableGrid"/>
        <w:tblW w:type="auto" w:w="0"/>
        <w:tblLook w:firstColumn="1" w:firstRow="1" w:lastColumn="0" w:lastRow="0" w:noHBand="0" w:noVBand="1" w:val="04A0"/>
      </w:tblPr>
      <w:tblGrid>
        <w:gridCol w:w="2409"/>
        <w:gridCol w:w="2409"/>
        <w:gridCol w:w="2409"/>
        <w:gridCol w:w="2409"/>
      </w:tblGrid>
      <w:tr>
        <w:tc>
          <w:tcPr>
            <w:tcW w:type="dxa" w:w="1928"/>
          </w:tcPr>
          <w:p>
            <w:r/>
            <w:r>
              <w:rPr>
                <w:b/>
                <w:sz w:val="18"/>
              </w:rPr>
              <w:t>Arkusz</w:t>
            </w:r>
          </w:p>
        </w:tc>
        <w:tc>
          <w:tcPr>
            <w:tcW w:type="dxa" w:w="3515"/>
          </w:tcPr>
          <w:p>
            <w:r/>
            <w:r>
              <w:rPr>
                <w:b/>
                <w:sz w:val="18"/>
              </w:rPr>
              <w:t>Komórki</w:t>
            </w:r>
          </w:p>
        </w:tc>
        <w:tc>
          <w:tcPr>
            <w:tcW w:type="dxa" w:w="2041"/>
          </w:tcPr>
          <w:p>
            <w:r/>
            <w:r>
              <w:rPr>
                <w:b/>
                <w:sz w:val="18"/>
              </w:rPr>
              <w:t>Było</w:t>
            </w:r>
          </w:p>
        </w:tc>
        <w:tc>
          <w:tcPr>
            <w:tcW w:type="dxa" w:w="2268"/>
          </w:tcPr>
          <w:p>
            <w:r/>
            <w:r>
              <w:rPr>
                <w:b/>
                <w:sz w:val="18"/>
              </w:rPr>
              <w:t>Ma być</w:t>
            </w:r>
          </w:p>
        </w:tc>
      </w:tr>
      <w:tr>
        <w:tc>
          <w:tcPr>
            <w:tcW w:type="dxa" w:w="1928"/>
          </w:tcPr>
          <w:p>
            <w:r/>
            <w:r>
              <w:rPr>
                <w:b w:val="0"/>
                <w:sz w:val="18"/>
              </w:rPr>
              <w:t>Kapitał pracujący</w:t>
            </w:r>
          </w:p>
        </w:tc>
        <w:tc>
          <w:tcPr>
            <w:tcW w:type="dxa" w:w="3515"/>
          </w:tcPr>
          <w:p>
            <w:r/>
            <w:r>
              <w:rPr>
                <w:b w:val="0"/>
                <w:sz w:val="18"/>
              </w:rPr>
              <w:t>G160 i G161</w:t>
            </w:r>
          </w:p>
        </w:tc>
        <w:tc>
          <w:tcPr>
            <w:tcW w:type="dxa" w:w="2041"/>
          </w:tcPr>
          <w:p>
            <w:r/>
            <w:r>
              <w:rPr>
                <w:b w:val="0"/>
                <w:sz w:val="18"/>
              </w:rPr>
              <w:t>1 (kalkulacja z modelu)</w:t>
            </w:r>
          </w:p>
        </w:tc>
        <w:tc>
          <w:tcPr>
            <w:tcW w:type="dxa" w:w="2268"/>
          </w:tcPr>
          <w:p>
            <w:r/>
            <w:r>
              <w:rPr>
                <w:b w:val="0"/>
                <w:sz w:val="18"/>
              </w:rPr>
              <w:t>2 (kalkulacja własna)</w:t>
            </w:r>
          </w:p>
        </w:tc>
      </w:tr>
      <w:tr>
        <w:tc>
          <w:tcPr>
            <w:tcW w:type="dxa" w:w="1928"/>
          </w:tcPr>
          <w:p>
            <w:r/>
            <w:r>
              <w:rPr>
                <w:b w:val="0"/>
                <w:sz w:val="18"/>
              </w:rPr>
              <w:t>Kapitał pracujący</w:t>
            </w:r>
          </w:p>
        </w:tc>
        <w:tc>
          <w:tcPr>
            <w:tcW w:type="dxa" w:w="3515"/>
          </w:tcPr>
          <w:p>
            <w:r/>
            <w:r>
              <w:rPr>
                <w:b w:val="0"/>
                <w:sz w:val="18"/>
              </w:rPr>
              <w:t>K37 do X37 (rotacja należności)</w:t>
            </w:r>
          </w:p>
        </w:tc>
        <w:tc>
          <w:tcPr>
            <w:tcW w:type="dxa" w:w="2041"/>
          </w:tcPr>
          <w:p>
            <w:r/>
            <w:r>
              <w:rPr>
                <w:b w:val="0"/>
                <w:sz w:val="18"/>
              </w:rPr>
              <w:t>puste</w:t>
            </w:r>
          </w:p>
        </w:tc>
        <w:tc>
          <w:tcPr>
            <w:tcW w:type="dxa" w:w="2268"/>
          </w:tcPr>
          <w:p>
            <w:r/>
            <w:r>
              <w:rPr>
                <w:b w:val="0"/>
                <w:sz w:val="18"/>
              </w:rPr>
              <w:t>37</w:t>
            </w:r>
          </w:p>
        </w:tc>
      </w:tr>
      <w:tr>
        <w:tc>
          <w:tcPr>
            <w:tcW w:type="dxa" w:w="1928"/>
          </w:tcPr>
          <w:p>
            <w:r/>
            <w:r>
              <w:rPr>
                <w:b w:val="0"/>
                <w:sz w:val="18"/>
              </w:rPr>
              <w:t>Kapitał pracujący</w:t>
            </w:r>
          </w:p>
        </w:tc>
        <w:tc>
          <w:tcPr>
            <w:tcW w:type="dxa" w:w="3515"/>
          </w:tcPr>
          <w:p>
            <w:r/>
            <w:r>
              <w:rPr>
                <w:b w:val="0"/>
                <w:sz w:val="18"/>
              </w:rPr>
              <w:t>K52 do X52 (rotacja zobowiązań)</w:t>
            </w:r>
          </w:p>
        </w:tc>
        <w:tc>
          <w:tcPr>
            <w:tcW w:type="dxa" w:w="2041"/>
          </w:tcPr>
          <w:p>
            <w:r/>
            <w:r>
              <w:rPr>
                <w:b w:val="0"/>
                <w:sz w:val="18"/>
              </w:rPr>
              <w:t>puste</w:t>
            </w:r>
          </w:p>
        </w:tc>
        <w:tc>
          <w:tcPr>
            <w:tcW w:type="dxa" w:w="2268"/>
          </w:tcPr>
          <w:p>
            <w:r/>
            <w:r>
              <w:rPr>
                <w:b w:val="0"/>
                <w:sz w:val="18"/>
              </w:rPr>
              <w:t>29</w:t>
            </w:r>
          </w:p>
        </w:tc>
      </w:tr>
    </w:tbl>
    <w:p/>
    <w:p>
      <w:pPr>
        <w:spacing w:after="60"/>
      </w:pPr>
      <w:r>
        <w:rPr>
          <w:b w:val="0"/>
        </w:rPr>
        <w:t>Jeśli wolisz wrócić do metody modelu, wystarczy wpisać 1 w komórkach G160 i G161.</w:t>
      </w:r>
    </w:p>
    <w:p>
      <w:pPr>
        <w:pStyle w:val="Heading2"/>
      </w:pPr>
      <w:r>
        <w:t>2.5 Harmonogram płatności: arkusze Zaliczka-refundacja (K6-14)</w:t>
      </w:r>
    </w:p>
    <w:p>
      <w:pPr>
        <w:spacing w:after="60"/>
      </w:pPr>
      <w:r>
        <w:rPr>
          <w:b w:val="0"/>
        </w:rPr>
        <w:t>Sprawdziłam arkusze „Zaliczka-refundacja” i „Zaliczka-refundacja Konsorcjum” (ostatnia zakładka modelu) i znalazłam błąd w mojej wcześniejszej weryfikacji uwagi K6-14. Wtedy napisałam, że wszystkie trzy limity są spełnione, ale liczyłam zaliczki jako kwotę dofinansowania pomnożoną przez kolumnę H. Kolumna H to jednak tylko iloraz dofinansowania i wydatków kwalifikowalnych, a kwotą zaliczki jest sama kwota dofinansowania z kolumny F. Po poprawnym przeliczeniu limit łącznej zaliczki 90% był przekroczony.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3628"/>
          </w:tcPr>
          <w:p>
            <w:r/>
            <w:r>
              <w:rPr>
                <w:b/>
                <w:sz w:val="18"/>
              </w:rPr>
              <w:t>Warunek (uwaga K6-14)</w:t>
            </w:r>
          </w:p>
        </w:tc>
        <w:tc>
          <w:tcPr>
            <w:tcW w:type="dxa" w:w="1474"/>
          </w:tcPr>
          <w:p>
            <w:r/>
            <w:r>
              <w:rPr>
                <w:b/>
                <w:sz w:val="18"/>
              </w:rPr>
              <w:t>Everest11 przed</w:t>
            </w:r>
          </w:p>
        </w:tc>
        <w:tc>
          <w:tcPr>
            <w:tcW w:type="dxa" w:w="1474"/>
          </w:tcPr>
          <w:p>
            <w:r/>
            <w:r>
              <w:rPr>
                <w:b/>
                <w:sz w:val="18"/>
              </w:rPr>
              <w:t>Everest11 po</w:t>
            </w:r>
          </w:p>
        </w:tc>
        <w:tc>
          <w:tcPr>
            <w:tcW w:type="dxa" w:w="1587"/>
          </w:tcPr>
          <w:p>
            <w:r/>
            <w:r>
              <w:rPr>
                <w:b/>
                <w:sz w:val="18"/>
              </w:rPr>
              <w:t>Konsorcjum przed</w:t>
            </w:r>
          </w:p>
        </w:tc>
        <w:tc>
          <w:tcPr>
            <w:tcW w:type="dxa" w:w="1587"/>
          </w:tcPr>
          <w:p>
            <w:r/>
            <w:r>
              <w:rPr>
                <w:b/>
                <w:sz w:val="18"/>
              </w:rPr>
              <w:t>Konsorcjum po</w:t>
            </w:r>
          </w:p>
        </w:tc>
      </w:tr>
      <w:tr>
        <w:tc>
          <w:tcPr>
            <w:tcW w:type="dxa" w:w="3628"/>
          </w:tcPr>
          <w:p>
            <w:r/>
            <w:r>
              <w:rPr>
                <w:b w:val="0"/>
                <w:sz w:val="18"/>
              </w:rPr>
              <w:t>Pierwsza płatność jako zaliczka co najmniej 5% dofinansowania</w:t>
            </w:r>
          </w:p>
        </w:tc>
        <w:tc>
          <w:tcPr>
            <w:tcW w:type="dxa" w:w="1474"/>
          </w:tcPr>
          <w:p>
            <w:r/>
            <w:r>
              <w:rPr>
                <w:b w:val="0"/>
                <w:sz w:val="18"/>
              </w:rPr>
              <w:t>7,53%</w:t>
            </w:r>
          </w:p>
        </w:tc>
        <w:tc>
          <w:tcPr>
            <w:tcW w:type="dxa" w:w="1474"/>
          </w:tcPr>
          <w:p>
            <w:r/>
            <w:r>
              <w:rPr>
                <w:b w:val="0"/>
                <w:sz w:val="18"/>
              </w:rPr>
              <w:t>7,53%</w:t>
            </w:r>
          </w:p>
        </w:tc>
        <w:tc>
          <w:tcPr>
            <w:tcW w:type="dxa" w:w="1587"/>
          </w:tcPr>
          <w:p>
            <w:r/>
            <w:r>
              <w:rPr>
                <w:b w:val="0"/>
                <w:sz w:val="18"/>
              </w:rPr>
              <w:t>7,01%</w:t>
            </w:r>
          </w:p>
        </w:tc>
        <w:tc>
          <w:tcPr>
            <w:tcW w:type="dxa" w:w="1587"/>
          </w:tcPr>
          <w:p>
            <w:r/>
            <w:r>
              <w:rPr>
                <w:b w:val="0"/>
                <w:sz w:val="18"/>
              </w:rPr>
              <w:t>7,01%</w:t>
            </w:r>
          </w:p>
        </w:tc>
      </w:tr>
      <w:tr>
        <w:tc>
          <w:tcPr>
            <w:tcW w:type="dxa" w:w="3628"/>
          </w:tcPr>
          <w:p>
            <w:r/>
            <w:r>
              <w:rPr>
                <w:b w:val="0"/>
                <w:sz w:val="18"/>
              </w:rPr>
              <w:t>Największa transza zaliczki nie więcej niż 40%</w:t>
            </w:r>
          </w:p>
        </w:tc>
        <w:tc>
          <w:tcPr>
            <w:tcW w:type="dxa" w:w="1474"/>
          </w:tcPr>
          <w:p>
            <w:r/>
            <w:r>
              <w:rPr>
                <w:b w:val="0"/>
                <w:sz w:val="18"/>
              </w:rPr>
              <w:t>28,67%</w:t>
            </w:r>
          </w:p>
        </w:tc>
        <w:tc>
          <w:tcPr>
            <w:tcW w:type="dxa" w:w="1474"/>
          </w:tcPr>
          <w:p>
            <w:r/>
            <w:r>
              <w:rPr>
                <w:b w:val="0"/>
                <w:sz w:val="18"/>
              </w:rPr>
              <w:t>28,67%</w:t>
            </w:r>
          </w:p>
        </w:tc>
        <w:tc>
          <w:tcPr>
            <w:tcW w:type="dxa" w:w="1587"/>
          </w:tcPr>
          <w:p>
            <w:r/>
            <w:r>
              <w:rPr>
                <w:b w:val="0"/>
                <w:sz w:val="18"/>
              </w:rPr>
              <w:t>27,03%</w:t>
            </w:r>
          </w:p>
        </w:tc>
        <w:tc>
          <w:tcPr>
            <w:tcW w:type="dxa" w:w="1587"/>
          </w:tcPr>
          <w:p>
            <w:r/>
            <w:r>
              <w:rPr>
                <w:b w:val="0"/>
                <w:sz w:val="18"/>
              </w:rPr>
              <w:t>27,03%</w:t>
            </w:r>
          </w:p>
        </w:tc>
      </w:tr>
      <w:tr>
        <w:tc>
          <w:tcPr>
            <w:tcW w:type="dxa" w:w="3628"/>
          </w:tcPr>
          <w:p>
            <w:r/>
            <w:r>
              <w:rPr>
                <w:b w:val="0"/>
                <w:sz w:val="18"/>
              </w:rPr>
              <w:t>Suma zaliczek nie więcej niż 90%</w:t>
            </w:r>
          </w:p>
        </w:tc>
        <w:tc>
          <w:tcPr>
            <w:tcW w:type="dxa" w:w="1474"/>
          </w:tcPr>
          <w:p>
            <w:r/>
            <w:r>
              <w:rPr>
                <w:b w:val="0"/>
                <w:sz w:val="18"/>
              </w:rPr>
              <w:t>91,63% (za dużo)</w:t>
            </w:r>
          </w:p>
        </w:tc>
        <w:tc>
          <w:tcPr>
            <w:tcW w:type="dxa" w:w="1474"/>
          </w:tcPr>
          <w:p>
            <w:r/>
            <w:r>
              <w:rPr>
                <w:b w:val="0"/>
                <w:sz w:val="18"/>
              </w:rPr>
              <w:t>89,50%</w:t>
            </w:r>
          </w:p>
        </w:tc>
        <w:tc>
          <w:tcPr>
            <w:tcW w:type="dxa" w:w="1587"/>
          </w:tcPr>
          <w:p>
            <w:r/>
            <w:r>
              <w:rPr>
                <w:b w:val="0"/>
                <w:sz w:val="18"/>
              </w:rPr>
              <w:t>91,21% (za dużo)</w:t>
            </w:r>
          </w:p>
        </w:tc>
        <w:tc>
          <w:tcPr>
            <w:tcW w:type="dxa" w:w="1587"/>
          </w:tcPr>
          <w:p>
            <w:r/>
            <w:r>
              <w:rPr>
                <w:b w:val="0"/>
                <w:sz w:val="18"/>
              </w:rPr>
              <w:t>89,63%</w:t>
            </w:r>
          </w:p>
        </w:tc>
      </w:tr>
      <w:tr>
        <w:tc>
          <w:tcPr>
            <w:tcW w:type="dxa" w:w="3628"/>
          </w:tcPr>
          <w:p>
            <w:r/>
            <w:r>
              <w:rPr>
                <w:b w:val="0"/>
                <w:sz w:val="18"/>
              </w:rPr>
              <w:t>Refundacja końcowa (reszta do 100%)</w:t>
            </w:r>
          </w:p>
        </w:tc>
        <w:tc>
          <w:tcPr>
            <w:tcW w:type="dxa" w:w="1474"/>
          </w:tcPr>
          <w:p>
            <w:r/>
            <w:r>
              <w:rPr>
                <w:b w:val="0"/>
                <w:sz w:val="18"/>
              </w:rPr>
              <w:t>8,37%</w:t>
            </w:r>
          </w:p>
        </w:tc>
        <w:tc>
          <w:tcPr>
            <w:tcW w:type="dxa" w:w="1474"/>
          </w:tcPr>
          <w:p>
            <w:r/>
            <w:r>
              <w:rPr>
                <w:b w:val="0"/>
                <w:sz w:val="18"/>
              </w:rPr>
              <w:t>10,50%</w:t>
            </w:r>
          </w:p>
        </w:tc>
        <w:tc>
          <w:tcPr>
            <w:tcW w:type="dxa" w:w="1587"/>
          </w:tcPr>
          <w:p>
            <w:r/>
            <w:r>
              <w:rPr>
                <w:b w:val="0"/>
                <w:sz w:val="18"/>
              </w:rPr>
              <w:t>8,79%</w:t>
            </w:r>
          </w:p>
        </w:tc>
        <w:tc>
          <w:tcPr>
            <w:tcW w:type="dxa" w:w="1587"/>
          </w:tcPr>
          <w:p>
            <w:r/>
            <w:r>
              <w:rPr>
                <w:b w:val="0"/>
                <w:sz w:val="18"/>
              </w:rPr>
              <w:t>10,37%</w:t>
            </w:r>
          </w:p>
        </w:tc>
      </w:tr>
    </w:tbl>
    <w:p/>
    <w:p>
      <w:pPr>
        <w:spacing w:after="60"/>
      </w:pPr>
      <w:r>
        <w:rPr>
          <w:b w:val="0"/>
        </w:rPr>
        <w:t>Poprawka: przesunęłam 63 048,12 zł dofinansowania (105 080,19 zł wydatków kwalifikowalnych, 107 136,16 zł wydatków całkowitych) z wniosku za II półrocze 2028 do końcowego wniosku za II półrocze 2029. Sumy w obu arkuszach nie zmieniają się (w tamtym czasie Everest11 2 964 296,12 zł, konsorcjum 3 998 262,02 zł; po korekcie o 1 grosz opisanej niżej odpowiednio 2 964 296,11 zł i 3 998 262,01 zł), a wskaźnik wydatków do dofinansowania w obu wnioskach pozostaje 60% (Everest11), czyli bez zmiany stawki pomocy.</w:t>
      </w:r>
    </w:p>
    <w:tbl>
      <w:tblPr>
        <w:tblStyle w:val="TableGrid"/>
        <w:tblW w:type="auto" w:w="0"/>
        <w:tblLook w:firstColumn="1" w:firstRow="1" w:lastColumn="0" w:lastRow="0" w:noHBand="0" w:noVBand="1" w:val="04A0"/>
      </w:tblPr>
      <w:tblGrid>
        <w:gridCol w:w="2409"/>
        <w:gridCol w:w="2409"/>
        <w:gridCol w:w="2409"/>
        <w:gridCol w:w="2409"/>
      </w:tblGrid>
      <w:tr>
        <w:tc>
          <w:tcPr>
            <w:tcW w:type="dxa" w:w="2494"/>
          </w:tcPr>
          <w:p>
            <w:r/>
            <w:r>
              <w:rPr>
                <w:b/>
                <w:sz w:val="18"/>
              </w:rPr>
              <w:t>Arkusz</w:t>
            </w:r>
          </w:p>
        </w:tc>
        <w:tc>
          <w:tcPr>
            <w:tcW w:type="dxa" w:w="2381"/>
          </w:tcPr>
          <w:p>
            <w:r/>
            <w:r>
              <w:rPr>
                <w:b/>
                <w:sz w:val="18"/>
              </w:rPr>
              <w:t>Wiersz (okres wniosku)</w:t>
            </w:r>
          </w:p>
        </w:tc>
        <w:tc>
          <w:tcPr>
            <w:tcW w:type="dxa" w:w="2438"/>
          </w:tcPr>
          <w:p>
            <w:r/>
            <w:r>
              <w:rPr>
                <w:b/>
                <w:sz w:val="18"/>
              </w:rPr>
              <w:t>Było: D / E / F (zł)</w:t>
            </w:r>
          </w:p>
        </w:tc>
        <w:tc>
          <w:tcPr>
            <w:tcW w:type="dxa" w:w="2438"/>
          </w:tcPr>
          <w:p>
            <w:r/>
            <w:r>
              <w:rPr>
                <w:b/>
                <w:sz w:val="18"/>
              </w:rPr>
              <w:t>Jest: D / E / F (zł)</w:t>
            </w:r>
          </w:p>
        </w:tc>
      </w:tr>
      <w:tr>
        <w:tc>
          <w:tcPr>
            <w:tcW w:type="dxa" w:w="2494"/>
          </w:tcPr>
          <w:p>
            <w:r/>
            <w:r>
              <w:rPr>
                <w:b w:val="0"/>
                <w:sz w:val="18"/>
              </w:rPr>
              <w:t>Zaliczka-refundacja (Everest11)</w:t>
            </w:r>
          </w:p>
        </w:tc>
        <w:tc>
          <w:tcPr>
            <w:tcW w:type="dxa" w:w="2381"/>
          </w:tcPr>
          <w:p>
            <w:r/>
            <w:r>
              <w:rPr>
                <w:b w:val="0"/>
                <w:sz w:val="18"/>
              </w:rPr>
              <w:t>16 (II półrocze 2028)</w:t>
            </w:r>
          </w:p>
        </w:tc>
        <w:tc>
          <w:tcPr>
            <w:tcW w:type="dxa" w:w="2438"/>
          </w:tcPr>
          <w:p>
            <w:r/>
            <w:r>
              <w:rPr>
                <w:b w:val="0"/>
                <w:sz w:val="18"/>
              </w:rPr>
              <w:t>650 577,41 / 638 092,68 / 382 855,61</w:t>
            </w:r>
          </w:p>
        </w:tc>
        <w:tc>
          <w:tcPr>
            <w:tcW w:type="dxa" w:w="2438"/>
          </w:tcPr>
          <w:p>
            <w:r/>
            <w:r>
              <w:rPr>
                <w:b w:val="0"/>
                <w:sz w:val="18"/>
              </w:rPr>
              <w:t>543 441,25 / 533 012,49 / 319 807,49</w:t>
            </w:r>
          </w:p>
        </w:tc>
      </w:tr>
      <w:tr>
        <w:tc>
          <w:tcPr>
            <w:tcW w:type="dxa" w:w="2494"/>
          </w:tcPr>
          <w:p>
            <w:r/>
            <w:r>
              <w:rPr>
                <w:b w:val="0"/>
                <w:sz w:val="18"/>
              </w:rPr>
              <w:t>Zaliczka-refundacja (Everest11)</w:t>
            </w:r>
          </w:p>
        </w:tc>
        <w:tc>
          <w:tcPr>
            <w:tcW w:type="dxa" w:w="2381"/>
          </w:tcPr>
          <w:p>
            <w:r/>
            <w:r>
              <w:rPr>
                <w:b w:val="0"/>
                <w:sz w:val="18"/>
              </w:rPr>
              <w:t>18 (II półrocze 2029, refundacja)</w:t>
            </w:r>
          </w:p>
        </w:tc>
        <w:tc>
          <w:tcPr>
            <w:tcW w:type="dxa" w:w="2438"/>
          </w:tcPr>
          <w:p>
            <w:r/>
            <w:r>
              <w:rPr>
                <w:b w:val="0"/>
                <w:sz w:val="18"/>
              </w:rPr>
              <w:t>421 765,41 / 413 671,63 / 248 202,98</w:t>
            </w:r>
          </w:p>
        </w:tc>
        <w:tc>
          <w:tcPr>
            <w:tcW w:type="dxa" w:w="2438"/>
          </w:tcPr>
          <w:p>
            <w:r/>
            <w:r>
              <w:rPr>
                <w:b w:val="0"/>
                <w:sz w:val="18"/>
              </w:rPr>
              <w:t>528 901,57 / 518 751,82 / 311 251,09</w:t>
            </w:r>
          </w:p>
        </w:tc>
      </w:tr>
      <w:tr>
        <w:tc>
          <w:tcPr>
            <w:tcW w:type="dxa" w:w="2494"/>
          </w:tcPr>
          <w:p>
            <w:r/>
            <w:r>
              <w:rPr>
                <w:b w:val="0"/>
                <w:sz w:val="18"/>
              </w:rPr>
              <w:t>Zaliczka-refundacja Konsorcjum</w:t>
            </w:r>
          </w:p>
        </w:tc>
        <w:tc>
          <w:tcPr>
            <w:tcW w:type="dxa" w:w="2381"/>
          </w:tcPr>
          <w:p>
            <w:r/>
            <w:r>
              <w:rPr>
                <w:b w:val="0"/>
                <w:sz w:val="18"/>
              </w:rPr>
              <w:t>16 (II półrocze 2028)</w:t>
            </w:r>
          </w:p>
        </w:tc>
        <w:tc>
          <w:tcPr>
            <w:tcW w:type="dxa" w:w="2438"/>
          </w:tcPr>
          <w:p>
            <w:r/>
            <w:r>
              <w:rPr>
                <w:b w:val="0"/>
                <w:sz w:val="18"/>
              </w:rPr>
              <w:t>823 875,41 / 805 878,08 / 550 641,01</w:t>
            </w:r>
          </w:p>
        </w:tc>
        <w:tc>
          <w:tcPr>
            <w:tcW w:type="dxa" w:w="2438"/>
          </w:tcPr>
          <w:p>
            <w:r/>
            <w:r>
              <w:rPr>
                <w:b w:val="0"/>
                <w:sz w:val="18"/>
              </w:rPr>
              <w:t>716 739,25 / 700 797,89 / 487 592,89</w:t>
            </w:r>
          </w:p>
        </w:tc>
      </w:tr>
      <w:tr>
        <w:tc>
          <w:tcPr>
            <w:tcW w:type="dxa" w:w="2494"/>
          </w:tcPr>
          <w:p>
            <w:r/>
            <w:r>
              <w:rPr>
                <w:b w:val="0"/>
                <w:sz w:val="18"/>
              </w:rPr>
              <w:t>Zaliczka-refundacja Konsorcjum</w:t>
            </w:r>
          </w:p>
        </w:tc>
        <w:tc>
          <w:tcPr>
            <w:tcW w:type="dxa" w:w="2381"/>
          </w:tcPr>
          <w:p>
            <w:r/>
            <w:r>
              <w:rPr>
                <w:b w:val="0"/>
                <w:sz w:val="18"/>
              </w:rPr>
              <w:t>18 (II półrocze 2029, refundacja)</w:t>
            </w:r>
          </w:p>
        </w:tc>
        <w:tc>
          <w:tcPr>
            <w:tcW w:type="dxa" w:w="2438"/>
          </w:tcPr>
          <w:p>
            <w:r/>
            <w:r>
              <w:rPr>
                <w:b w:val="0"/>
                <w:sz w:val="18"/>
              </w:rPr>
              <w:t>528 559,10 / 517 068,22 / 351 599,57</w:t>
            </w:r>
          </w:p>
        </w:tc>
        <w:tc>
          <w:tcPr>
            <w:tcW w:type="dxa" w:w="2438"/>
          </w:tcPr>
          <w:p>
            <w:r/>
            <w:r>
              <w:rPr>
                <w:b w:val="0"/>
                <w:sz w:val="18"/>
              </w:rPr>
              <w:t>635 695,26 / 622 148,41 / 414 647,68</w:t>
            </w:r>
          </w:p>
        </w:tc>
      </w:tr>
    </w:tbl>
    <w:p/>
    <w:p>
      <w:pPr>
        <w:spacing w:after="60"/>
      </w:pPr>
      <w:r>
        <w:rPr>
          <w:b w:val="0"/>
        </w:rPr>
        <w:t>Arkusz PRz (plik modelu PRz) ma 90,0% zaliczek i 10,0% refundacji, czyli mieści się w limicie dokładnie na granicy. Konsorcjum ma po poprawce 89,63%, więc wniosek jest spójny, ale PRz może dla bezpieczeństwa przesunąć jeszcze ok. 1% do refundacji końcowej.</w:t>
      </w:r>
    </w:p>
    <w:p>
      <w:pPr>
        <w:pStyle w:val="Heading2"/>
      </w:pPr>
      <w:r>
        <w:t>2.6 Korekta o 1 grosz po wersji C wniosku</w:t>
      </w:r>
    </w:p>
    <w:p>
      <w:pPr>
        <w:spacing w:after="60"/>
      </w:pPr>
      <w:r>
        <w:rPr>
          <w:b w:val="0"/>
        </w:rPr>
        <w:t>Po poprawie budżetu w LSI (wersja C wniosku) dofinansowanie Everest11 wynosi 2 964 296,11 zł, a dofinansowanie całego projektu 3 998 262,01 zł. Wydatki ogółem (4 217 654,10 zł) i kwalifikowalne (4 136 716,32 zł) nie zmieniły się, więc wkład własny Everest11 jest o grosz większy niż w modelu: 1 253 357,99 zł ogółem i 1 172 420,21 zł kwalifikowalnie (model dawał 1 253 357,98 zł i 1 172 420,20 zł). Różnicę wprowadza LSI, które w dwóch pozycjach zaokrągla dofinansowanie w dół do pełnego grosza: AI Senior Engineer w Z9 (44 735,62 zł zamiast 44 735,63 zł) i pozycja podwykonawstwa w Z9 (183 009,37 zł zamiast 183 009,38 zł). Sprawdziłam też, że suma pozycji we wniosku zgadza się z podsumowaniami (5 285 591,00 zł, 5 170 682,22 zł, 3 998 262,01 zł), że kwoty personelu Z6, Z7 i Z9 (434 041,00 zł, 308 871,62 zł i 477 149,88 zł) są zgodne z decyzją o podziale etatów, a suma godzin i kwot Z8 (113 084,00 zł) bez zmian.</w:t>
      </w:r>
    </w:p>
    <w:p>
      <w:pPr>
        <w:spacing w:after="60"/>
      </w:pPr>
      <w:r>
        <w:rPr>
          <w:b w:val="0"/>
        </w:rPr>
        <w:t>Korekta w modelu: w obu arkuszach „Zaliczka-refundacja” kwoty dofinansowania w kolumnie F zostały obcięte do pełnych groszy (wcześniej miały po trzy miejsca po przecinku), co daje dokładnie 2 964 296,11 zł dla Everest11 i 3 998 262,01 zł dla konsorcjum. Kwoty wydatków w kolumnach D i E bez zmian. Po przeliczeniu zmieniło się 18 komórek, wyłącznie w kolumnach F, H, I tych dwóch arkuszy. Limity K6-14 nadal są spełnione: suma zaliczek 89,50% (Everest11) i 89,63% (konsorcjum), największa zaliczka 28,67% i 27,03%. Wkład własny w modelu wynosi teraz 1 253 357,99 zł. Dodatkowo poprawiłam w komentarzu arkusza „Opłacalność - Konsorcjum” wartość dofinansowania: było 3 999 296 zł i PRz 1 035 000 zł, jest 3 998 262 zł i PRz 1 033 966 zł (zgodnie z wnioskiem).</w:t>
      </w:r>
    </w:p>
    <w:p>
      <w:pPr>
        <w:pStyle w:val="Heading1"/>
      </w:pPr>
      <w:r>
        <w:t>3. Wpływ na wyniki modelu (przed zmianami, po danych za II kwartał, po zmianie rotacji)</w:t>
      </w:r>
    </w:p>
    <w:tbl>
      <w:tblPr>
        <w:tblStyle w:val="TableGrid"/>
        <w:tblW w:type="auto" w:w="0"/>
        <w:tblLook w:firstColumn="1" w:firstRow="1" w:lastColumn="0" w:lastRow="0" w:noHBand="0" w:noVBand="1" w:val="04A0"/>
      </w:tblPr>
      <w:tblGrid>
        <w:gridCol w:w="2409"/>
        <w:gridCol w:w="2409"/>
        <w:gridCol w:w="2409"/>
        <w:gridCol w:w="2409"/>
      </w:tblGrid>
      <w:tr>
        <w:tc>
          <w:tcPr>
            <w:tcW w:type="dxa" w:w="3969"/>
          </w:tcPr>
          <w:p>
            <w:r/>
            <w:r>
              <w:rPr>
                <w:b/>
                <w:sz w:val="18"/>
              </w:rPr>
              <w:t>Wskaźnik</w:t>
            </w:r>
          </w:p>
        </w:tc>
        <w:tc>
          <w:tcPr>
            <w:tcW w:type="dxa" w:w="1701"/>
          </w:tcPr>
          <w:p>
            <w:r/>
            <w:r>
              <w:rPr>
                <w:b/>
                <w:sz w:val="18"/>
              </w:rPr>
              <w:t>Przed</w:t>
            </w:r>
          </w:p>
        </w:tc>
        <w:tc>
          <w:tcPr>
            <w:tcW w:type="dxa" w:w="1928"/>
          </w:tcPr>
          <w:p>
            <w:r/>
            <w:r>
              <w:rPr>
                <w:b/>
                <w:sz w:val="18"/>
              </w:rPr>
              <w:t>Po danych II kw.</w:t>
            </w:r>
          </w:p>
        </w:tc>
        <w:tc>
          <w:tcPr>
            <w:tcW w:type="dxa" w:w="2154"/>
          </w:tcPr>
          <w:p>
            <w:r/>
            <w:r>
              <w:rPr>
                <w:b/>
                <w:sz w:val="18"/>
              </w:rPr>
              <w:t>Po zmianie rotacji</w:t>
            </w:r>
          </w:p>
        </w:tc>
      </w:tr>
      <w:tr>
        <w:tc>
          <w:tcPr>
            <w:tcW w:type="dxa" w:w="3969"/>
          </w:tcPr>
          <w:p>
            <w:r/>
            <w:r>
              <w:rPr>
                <w:b w:val="0"/>
                <w:sz w:val="18"/>
              </w:rPr>
              <w:t>Przychody działalności dotychczasowej, rocznie (tys. zł)</w:t>
            </w:r>
          </w:p>
        </w:tc>
        <w:tc>
          <w:tcPr>
            <w:tcW w:type="dxa" w:w="1701"/>
          </w:tcPr>
          <w:p>
            <w:r/>
            <w:r>
              <w:rPr>
                <w:b w:val="0"/>
                <w:sz w:val="18"/>
              </w:rPr>
              <w:t>20 204</w:t>
            </w:r>
          </w:p>
        </w:tc>
        <w:tc>
          <w:tcPr>
            <w:tcW w:type="dxa" w:w="1928"/>
          </w:tcPr>
          <w:p>
            <w:r/>
            <w:r>
              <w:rPr>
                <w:b w:val="0"/>
                <w:sz w:val="18"/>
              </w:rPr>
              <w:t>19 527</w:t>
            </w:r>
          </w:p>
        </w:tc>
        <w:tc>
          <w:tcPr>
            <w:tcW w:type="dxa" w:w="2154"/>
          </w:tcPr>
          <w:p>
            <w:r/>
            <w:r>
              <w:rPr>
                <w:b w:val="0"/>
                <w:sz w:val="18"/>
              </w:rPr>
              <w:t>19 527</w:t>
            </w:r>
          </w:p>
        </w:tc>
      </w:tr>
      <w:tr>
        <w:tc>
          <w:tcPr>
            <w:tcW w:type="dxa" w:w="3969"/>
          </w:tcPr>
          <w:p>
            <w:r/>
            <w:r>
              <w:rPr>
                <w:b w:val="0"/>
                <w:sz w:val="18"/>
              </w:rPr>
              <w:t>Zysk netto łącznie, 2026 (tys. zł)</w:t>
            </w:r>
          </w:p>
        </w:tc>
        <w:tc>
          <w:tcPr>
            <w:tcW w:type="dxa" w:w="1701"/>
          </w:tcPr>
          <w:p>
            <w:r/>
            <w:r>
              <w:rPr>
                <w:b w:val="0"/>
                <w:sz w:val="18"/>
              </w:rPr>
              <w:t>996</w:t>
            </w:r>
          </w:p>
        </w:tc>
        <w:tc>
          <w:tcPr>
            <w:tcW w:type="dxa" w:w="1928"/>
          </w:tcPr>
          <w:p>
            <w:r/>
            <w:r>
              <w:rPr>
                <w:b w:val="0"/>
                <w:sz w:val="18"/>
              </w:rPr>
              <w:t>962</w:t>
            </w:r>
          </w:p>
        </w:tc>
        <w:tc>
          <w:tcPr>
            <w:tcW w:type="dxa" w:w="2154"/>
          </w:tcPr>
          <w:p>
            <w:r/>
            <w:r>
              <w:rPr>
                <w:b w:val="0"/>
                <w:sz w:val="18"/>
              </w:rPr>
              <w:t>962</w:t>
            </w:r>
          </w:p>
        </w:tc>
      </w:tr>
      <w:tr>
        <w:tc>
          <w:tcPr>
            <w:tcW w:type="dxa" w:w="3969"/>
          </w:tcPr>
          <w:p>
            <w:r/>
            <w:r>
              <w:rPr>
                <w:b w:val="0"/>
                <w:sz w:val="18"/>
              </w:rPr>
              <w:t>Zysk netto łącznie, 2029 (tys. zł)</w:t>
            </w:r>
          </w:p>
        </w:tc>
        <w:tc>
          <w:tcPr>
            <w:tcW w:type="dxa" w:w="1701"/>
          </w:tcPr>
          <w:p>
            <w:r/>
            <w:r>
              <w:rPr>
                <w:b w:val="0"/>
                <w:sz w:val="18"/>
              </w:rPr>
              <w:t>926</w:t>
            </w:r>
          </w:p>
        </w:tc>
        <w:tc>
          <w:tcPr>
            <w:tcW w:type="dxa" w:w="1928"/>
          </w:tcPr>
          <w:p>
            <w:r/>
            <w:r>
              <w:rPr>
                <w:b w:val="0"/>
                <w:sz w:val="18"/>
              </w:rPr>
              <w:t>892</w:t>
            </w:r>
          </w:p>
        </w:tc>
        <w:tc>
          <w:tcPr>
            <w:tcW w:type="dxa" w:w="2154"/>
          </w:tcPr>
          <w:p>
            <w:r/>
            <w:r>
              <w:rPr>
                <w:b w:val="0"/>
                <w:sz w:val="18"/>
              </w:rPr>
              <w:t>892</w:t>
            </w:r>
          </w:p>
        </w:tc>
      </w:tr>
      <w:tr>
        <w:tc>
          <w:tcPr>
            <w:tcW w:type="dxa" w:w="3969"/>
          </w:tcPr>
          <w:p>
            <w:r/>
            <w:r>
              <w:rPr>
                <w:b w:val="0"/>
                <w:sz w:val="18"/>
              </w:rPr>
              <w:t>Środki pieniężne na koniec 2026 (tys. zł)</w:t>
            </w:r>
          </w:p>
        </w:tc>
        <w:tc>
          <w:tcPr>
            <w:tcW w:type="dxa" w:w="1701"/>
          </w:tcPr>
          <w:p>
            <w:r/>
            <w:r>
              <w:rPr>
                <w:b w:val="0"/>
                <w:sz w:val="18"/>
              </w:rPr>
              <w:t>2 648</w:t>
            </w:r>
          </w:p>
        </w:tc>
        <w:tc>
          <w:tcPr>
            <w:tcW w:type="dxa" w:w="1928"/>
          </w:tcPr>
          <w:p>
            <w:r/>
            <w:r>
              <w:rPr>
                <w:b w:val="0"/>
                <w:sz w:val="18"/>
              </w:rPr>
              <w:t>2 564</w:t>
            </w:r>
          </w:p>
        </w:tc>
        <w:tc>
          <w:tcPr>
            <w:tcW w:type="dxa" w:w="2154"/>
          </w:tcPr>
          <w:p>
            <w:r/>
            <w:r>
              <w:rPr>
                <w:b w:val="0"/>
                <w:sz w:val="18"/>
              </w:rPr>
              <w:t>598</w:t>
            </w:r>
          </w:p>
        </w:tc>
      </w:tr>
      <w:tr>
        <w:tc>
          <w:tcPr>
            <w:tcW w:type="dxa" w:w="3969"/>
          </w:tcPr>
          <w:p>
            <w:r/>
            <w:r>
              <w:rPr>
                <w:b w:val="0"/>
                <w:sz w:val="18"/>
              </w:rPr>
              <w:t>Środki pieniężne na koniec 2027 (tys. zł)</w:t>
            </w:r>
          </w:p>
        </w:tc>
        <w:tc>
          <w:tcPr>
            <w:tcW w:type="dxa" w:w="1701"/>
          </w:tcPr>
          <w:p>
            <w:r/>
            <w:r>
              <w:rPr>
                <w:b w:val="0"/>
                <w:sz w:val="18"/>
              </w:rPr>
              <w:t>4 420</w:t>
            </w:r>
          </w:p>
        </w:tc>
        <w:tc>
          <w:tcPr>
            <w:tcW w:type="dxa" w:w="1928"/>
          </w:tcPr>
          <w:p>
            <w:r/>
            <w:r>
              <w:rPr>
                <w:b w:val="0"/>
                <w:sz w:val="18"/>
              </w:rPr>
              <w:t>4 284</w:t>
            </w:r>
          </w:p>
        </w:tc>
        <w:tc>
          <w:tcPr>
            <w:tcW w:type="dxa" w:w="2154"/>
          </w:tcPr>
          <w:p>
            <w:r/>
            <w:r>
              <w:rPr>
                <w:b w:val="0"/>
                <w:sz w:val="18"/>
              </w:rPr>
              <w:t>1 780</w:t>
            </w:r>
          </w:p>
        </w:tc>
      </w:tr>
      <w:tr>
        <w:tc>
          <w:tcPr>
            <w:tcW w:type="dxa" w:w="3969"/>
          </w:tcPr>
          <w:p>
            <w:r/>
            <w:r>
              <w:rPr>
                <w:b w:val="0"/>
                <w:sz w:val="18"/>
              </w:rPr>
              <w:t>Środki pieniężne na koniec 2029 (tys. zł)</w:t>
            </w:r>
          </w:p>
        </w:tc>
        <w:tc>
          <w:tcPr>
            <w:tcW w:type="dxa" w:w="1701"/>
          </w:tcPr>
          <w:p>
            <w:r/>
            <w:r>
              <w:rPr>
                <w:b w:val="0"/>
                <w:sz w:val="18"/>
              </w:rPr>
              <w:t>6 315</w:t>
            </w:r>
          </w:p>
        </w:tc>
        <w:tc>
          <w:tcPr>
            <w:tcW w:type="dxa" w:w="1928"/>
          </w:tcPr>
          <w:p>
            <w:r/>
            <w:r>
              <w:rPr>
                <w:b w:val="0"/>
                <w:sz w:val="18"/>
              </w:rPr>
              <w:t>6 114</w:t>
            </w:r>
          </w:p>
        </w:tc>
        <w:tc>
          <w:tcPr>
            <w:tcW w:type="dxa" w:w="2154"/>
          </w:tcPr>
          <w:p>
            <w:r/>
            <w:r>
              <w:rPr>
                <w:b w:val="0"/>
                <w:sz w:val="18"/>
              </w:rPr>
              <w:t>3 724</w:t>
            </w:r>
          </w:p>
        </w:tc>
      </w:tr>
      <w:tr>
        <w:tc>
          <w:tcPr>
            <w:tcW w:type="dxa" w:w="3969"/>
          </w:tcPr>
          <w:p>
            <w:r/>
            <w:r>
              <w:rPr>
                <w:b w:val="0"/>
                <w:sz w:val="18"/>
              </w:rPr>
              <w:t>Środki pieniężne na koniec 2034 (tys. zł)</w:t>
            </w:r>
          </w:p>
        </w:tc>
        <w:tc>
          <w:tcPr>
            <w:tcW w:type="dxa" w:w="1701"/>
          </w:tcPr>
          <w:p>
            <w:r/>
            <w:r>
              <w:rPr>
                <w:b w:val="0"/>
                <w:sz w:val="18"/>
              </w:rPr>
              <w:t>14 325</w:t>
            </w:r>
          </w:p>
        </w:tc>
        <w:tc>
          <w:tcPr>
            <w:tcW w:type="dxa" w:w="1928"/>
          </w:tcPr>
          <w:p>
            <w:r/>
            <w:r>
              <w:rPr>
                <w:b w:val="0"/>
                <w:sz w:val="18"/>
              </w:rPr>
              <w:t>13 950</w:t>
            </w:r>
          </w:p>
        </w:tc>
        <w:tc>
          <w:tcPr>
            <w:tcW w:type="dxa" w:w="2154"/>
          </w:tcPr>
          <w:p>
            <w:r/>
            <w:r>
              <w:rPr>
                <w:b w:val="0"/>
                <w:sz w:val="18"/>
              </w:rPr>
              <w:t>11 423</w:t>
            </w:r>
          </w:p>
        </w:tc>
      </w:tr>
      <w:tr>
        <w:tc>
          <w:tcPr>
            <w:tcW w:type="dxa" w:w="3969"/>
          </w:tcPr>
          <w:p>
            <w:r/>
            <w:r>
              <w:rPr>
                <w:b w:val="0"/>
                <w:sz w:val="18"/>
              </w:rPr>
              <w:t>Płynność bieżąca 2026</w:t>
            </w:r>
          </w:p>
        </w:tc>
        <w:tc>
          <w:tcPr>
            <w:tcW w:type="dxa" w:w="1701"/>
          </w:tcPr>
          <w:p>
            <w:r/>
            <w:r>
              <w:rPr>
                <w:b w:val="0"/>
                <w:sz w:val="18"/>
              </w:rPr>
              <w:t>1,23</w:t>
            </w:r>
          </w:p>
        </w:tc>
        <w:tc>
          <w:tcPr>
            <w:tcW w:type="dxa" w:w="1928"/>
          </w:tcPr>
          <w:p>
            <w:r/>
            <w:r>
              <w:rPr>
                <w:b w:val="0"/>
                <w:sz w:val="18"/>
              </w:rPr>
              <w:t>1,23</w:t>
            </w:r>
          </w:p>
        </w:tc>
        <w:tc>
          <w:tcPr>
            <w:tcW w:type="dxa" w:w="2154"/>
          </w:tcPr>
          <w:p>
            <w:r/>
            <w:r>
              <w:rPr>
                <w:b w:val="0"/>
                <w:sz w:val="18"/>
              </w:rPr>
              <w:t>1,75</w:t>
            </w:r>
          </w:p>
        </w:tc>
      </w:tr>
      <w:tr>
        <w:tc>
          <w:tcPr>
            <w:tcW w:type="dxa" w:w="3969"/>
          </w:tcPr>
          <w:p>
            <w:r/>
            <w:r>
              <w:rPr>
                <w:b w:val="0"/>
                <w:sz w:val="18"/>
              </w:rPr>
              <w:t>Płynność bieżąca 2029</w:t>
            </w:r>
          </w:p>
        </w:tc>
        <w:tc>
          <w:tcPr>
            <w:tcW w:type="dxa" w:w="1701"/>
          </w:tcPr>
          <w:p>
            <w:r/>
            <w:r>
              <w:rPr>
                <w:b w:val="0"/>
                <w:sz w:val="18"/>
              </w:rPr>
              <w:t>1,74</w:t>
            </w:r>
          </w:p>
        </w:tc>
        <w:tc>
          <w:tcPr>
            <w:tcW w:type="dxa" w:w="1928"/>
          </w:tcPr>
          <w:p>
            <w:r/>
            <w:r>
              <w:rPr>
                <w:b w:val="0"/>
                <w:sz w:val="18"/>
              </w:rPr>
              <w:t>1,75</w:t>
            </w:r>
          </w:p>
        </w:tc>
        <w:tc>
          <w:tcPr>
            <w:tcW w:type="dxa" w:w="2154"/>
          </w:tcPr>
          <w:p>
            <w:r/>
            <w:r>
              <w:rPr>
                <w:b w:val="0"/>
                <w:sz w:val="18"/>
              </w:rPr>
              <w:t>3,89</w:t>
            </w:r>
          </w:p>
        </w:tc>
      </w:tr>
      <w:tr>
        <w:tc>
          <w:tcPr>
            <w:tcW w:type="dxa" w:w="3969"/>
          </w:tcPr>
          <w:p>
            <w:r/>
            <w:r>
              <w:rPr>
                <w:b w:val="0"/>
                <w:sz w:val="18"/>
              </w:rPr>
              <w:t>Wskaźnik zadłużenia łącznie 2026</w:t>
            </w:r>
          </w:p>
        </w:tc>
        <w:tc>
          <w:tcPr>
            <w:tcW w:type="dxa" w:w="1701"/>
          </w:tcPr>
          <w:p>
            <w:r/>
            <w:r>
              <w:rPr>
                <w:b w:val="0"/>
                <w:sz w:val="18"/>
              </w:rPr>
              <w:t>81,5%</w:t>
            </w:r>
          </w:p>
        </w:tc>
        <w:tc>
          <w:tcPr>
            <w:tcW w:type="dxa" w:w="1928"/>
          </w:tcPr>
          <w:p>
            <w:r/>
            <w:r>
              <w:rPr>
                <w:b w:val="0"/>
                <w:sz w:val="18"/>
              </w:rPr>
              <w:t>81,4%</w:t>
            </w:r>
          </w:p>
        </w:tc>
        <w:tc>
          <w:tcPr>
            <w:tcW w:type="dxa" w:w="2154"/>
          </w:tcPr>
          <w:p>
            <w:r/>
            <w:r>
              <w:rPr>
                <w:b w:val="0"/>
                <w:sz w:val="18"/>
              </w:rPr>
              <w:t>57,2%</w:t>
            </w:r>
          </w:p>
        </w:tc>
      </w:tr>
      <w:tr>
        <w:tc>
          <w:tcPr>
            <w:tcW w:type="dxa" w:w="3969"/>
          </w:tcPr>
          <w:p>
            <w:r/>
            <w:r>
              <w:rPr>
                <w:b w:val="0"/>
                <w:sz w:val="18"/>
              </w:rPr>
              <w:t>Opłacalność projektu (arkusz Opłacalność)</w:t>
            </w:r>
          </w:p>
        </w:tc>
        <w:tc>
          <w:tcPr>
            <w:tcW w:type="dxa" w:w="1701"/>
          </w:tcPr>
          <w:p>
            <w:r/>
            <w:r>
              <w:rPr>
                <w:b w:val="0"/>
                <w:sz w:val="18"/>
              </w:rPr>
              <w:t>bez zmian</w:t>
            </w:r>
          </w:p>
        </w:tc>
        <w:tc>
          <w:tcPr>
            <w:tcW w:type="dxa" w:w="1928"/>
          </w:tcPr>
          <w:p>
            <w:r/>
            <w:r>
              <w:rPr>
                <w:b w:val="0"/>
                <w:sz w:val="18"/>
              </w:rPr>
              <w:t>bez zmian</w:t>
            </w:r>
          </w:p>
        </w:tc>
        <w:tc>
          <w:tcPr>
            <w:tcW w:type="dxa" w:w="2154"/>
          </w:tcPr>
          <w:p>
            <w:r/>
            <w:r>
              <w:rPr>
                <w:b w:val="0"/>
                <w:sz w:val="18"/>
              </w:rPr>
              <w:t>bez zmian</w:t>
            </w:r>
          </w:p>
        </w:tc>
      </w:tr>
    </w:tbl>
    <w:p/>
    <w:p>
      <w:pPr>
        <w:spacing w:after="60"/>
      </w:pPr>
      <w:r>
        <w:rPr>
          <w:b w:val="0"/>
        </w:rPr>
        <w:t>Środki pieniężne są dodatnie w każdym roku we wszystkich wariantach. Po zmianie rotacji na koniec 2026 r. jest ich mniej (598 tys. zł zamiast 2 564 tys. zł), bo spółka płaci dostawcom w 30 dni, a nie w 96 dni, ale płynność bieżąca i zadłużenie wyglądają lepiej, bo zobowiązania są niższe. To ostrożniejsze założenie niż poprzednie, a jest zgodne z danymi z bilansu i informacjami księgowej.</w:t>
      </w:r>
    </w:p>
    <w:p>
      <w:pPr>
        <w:pStyle w:val="Heading1"/>
      </w:pPr>
      <w:r>
        <w:t>4. Komentarze w arkuszach (wersje do wklejenia)</w:t>
      </w:r>
    </w:p>
    <w:p>
      <w:pPr>
        <w:spacing w:after="60"/>
      </w:pPr>
      <w:r>
        <w:rPr>
          <w:b w:val="0"/>
        </w:rPr>
        <w:t>Każdy komentarz poniżej zastępuje cały obecny tekst w polu Komentarz danego arkusza, poza punktem 4.3, gdzie zmieniają się tylko dwa zdania. Teksty są już wpisane w pliku Model_finansowy_CargoDT_Everest_II_kwartal_2026.xlsm.</w:t>
      </w:r>
    </w:p>
    <w:p>
      <w:pPr>
        <w:pStyle w:val="Heading2"/>
      </w:pPr>
      <w:r>
        <w:t>4.1 Sprawozdania finansowe, komórka B203 (K6-06, K6-15, K6-16)</w:t>
      </w:r>
    </w:p>
    <w:p>
      <w:pPr>
        <w:spacing w:after="60"/>
      </w:pPr>
      <w:r>
        <w:rPr>
          <w:b w:val="0"/>
        </w:rPr>
        <w:t>Komentarz ma nowy akapit o strukturze sprzedaży i zakupów (odpowiedź księgowej, uwaga K6-16). Kwoty zakupów od Natanek Logistics policzyłam z podanych 95% usług obcych (14 101 tys. zł w 2025 r. i 8 885 tys. zł w pierwszym półroczu 2026 r.), więc są przybliżone.</w:t>
      </w:r>
    </w:p>
    <w:p>
      <w:pPr>
        <w:spacing w:after="60"/>
      </w:pPr>
      <w:r>
        <w:rPr>
          <w:b w:val="0"/>
        </w:rPr>
        <w:t>Przychody dotychczasowej działalności wyniosły 1 167 tys. zł w 2023 r., 777 tys. zł w 2024 r., 14 254 tys. zł w 2025 r. i 9 763 tys. zł w pierwszym półroczu 2026 r. Skok w 2025 r. wynika z pozyskania większych zleceń spedycyjnych. Spółka działa w modelu asset-light, bez własnej floty, więc większość przychodu przechodzi w koszty usług obcych: w pierwszym półroczu 2026 r. było to 8 885 tys. zł, czyli 97% kosztów operacyjnych. Dlatego marża jednostkowa i wynik netto są niskie względem obrotu, a w 2025 r. zysk netto wyniósł 41 tys. zł przy przychodzie 14,25 mln zł. Zysk netto za pierwsze półrocze 2026 r. wynosi 501 tys. zł, czyli 5,1% przychodu, i jest wyższy niż za cały 2025 r., co potwierdza utrzymanie działalności na podwyższonym poziomie. Na 30.06.2026 r. należności z tytułu dostaw i usług wynosiły 2 000 tys. zł, wobec 3 071 tys. zł na 31.03.2026 r., co odpowiada cyklowi rotacji 37 dni. Prognozę oparto na prostym przeliczeniu wyniku pierwszego półrocza razy dwa, bez zakładania dalszego wzrostu. Prognozowane przychody (19 527 tys. zł rocznie) są o 3,3% niższe niż przy mnożeniu wyniku pierwszego kwartału razy cztery (20 204 tys. zł), więc przy tak krótkiej historii na nowym poziomie obrotów przyjęto podejście ostrożniejsze niż ekstrapolacja trendu.</w:t>
      </w:r>
    </w:p>
    <w:p>
      <w:pPr>
        <w:spacing w:after="60"/>
      </w:pPr>
      <w:r>
        <w:rPr>
          <w:b w:val="0"/>
        </w:rPr>
        <w:t>Struktura właścicielska, sprzedaży i zakupów. Od czerwca 2025 r. jedynym wspólnikiem i prezesem zarządu spółki jest Wojciech Chrzanowski (wpis w KRS z 02.06.2025 r.). W 2025 r. 95% sprzedaży przypadało na Amazon, a 5% na Nara Motors sp. z o.o.; w pierwszym półroczu 2026 r. 100% sprzedaży przypadało na Amazon. Ok. 95% zakupów usług, czyli usługi transportowe, pochodzi od Natanek Logistics, podmiotu powiązanego z przyszłym inwestorem Zbigniewem Natankiem. Oznacza to ok. 13,4 mln zł w 2025 r. i ok. 8,4 mln zł w pierwszym półroczu 2026 r. Pozostałe ok. 5% to usługi spedycyjno-logistyczne i doradcze (w tym prawne) oraz oprogramowanie do zarządzania flotą od kilku dostawców.</w:t>
      </w:r>
    </w:p>
    <w:p>
      <w:pPr>
        <w:pStyle w:val="Heading2"/>
      </w:pPr>
      <w:r>
        <w:t>4.2 Przychody, komórka B255 (K6-05, K2-12, K2-14, K2-16)</w:t>
      </w:r>
    </w:p>
    <w:p>
      <w:pPr>
        <w:spacing w:after="60"/>
      </w:pPr>
      <w:r>
        <w:rPr>
          <w:b w:val="0"/>
        </w:rPr>
        <w:t>Poza zamianą podstawy prognozy na pierwsze półrocze poprawiłam w tym komentarzu pozycje z listy niespójności N44: czterech operatorów zamieniłam na trzech z listami intencyjnymi na łącznie 50 naczep (D35), spadek rejestracji naczep 31,4% na 31,8%, obowiązek eFTI na zapis o organach od 21.08.2025 r. i dobrowolności dla przewoźników (D34), „dodatni ROI od pierwszego roku” i 5 500 zł na limit odpowiedzialności CMR 8 489–21 222 zł oraz usunęłam „ekspansję CEE od 2033 r.” (prognoza tylko dla Polski).</w:t>
      </w:r>
    </w:p>
    <w:p>
      <w:pPr>
        <w:spacing w:after="60"/>
      </w:pPr>
      <w:r>
        <w:rPr>
          <w:b w:val="0"/>
        </w:rPr>
        <w:t>DZIAŁALNOŚĆ DOTYCHCZASOWA: prognozę przyjęto na poziomie zannualizowanego pierwszego półrocza 2026 r. (2 × 9 763 418 zł = 19 526 835 zł rocznie), utrzymanym płasko w całym horyzoncie, czyli bez wzrostu. Wzrost względem lat 2023 i 2024 (1,17 mln zł i 0,78 mln zł) wynika ze skokowego rozwoju usług spedycyjno-transportowych w 2025 r. (14,25 mln zł) i utrzymania obrotów w pierwszym półroczu 2026 r. (9,76 mln zł). Niższe wyniki wcześniejszych lat wynikały z ówczesnej optymalizacji podatkowej, a nie ze skali operacyjnej. W pierwszym półroczu 2026 r. cała sprzedaż dotychczasowej działalności pochodziła od jednego odbiorcy, Amazon, na podstawie umowy, a prognoza zakłada utrzymanie tej współpracy na obecnym poziomie. Warunki umowy, w tym okres obowiązywania i wartość, stanowią tajemnicę przedsiębiorstwa Everest11 i nie są ujawniane we wniosku.</w:t>
      </w:r>
    </w:p>
    <w:p>
      <w:pPr>
        <w:spacing w:after="60"/>
      </w:pPr>
      <w:r>
        <w:rPr>
          <w:b w:val="0"/>
        </w:rPr>
        <w:t>PROJEKT: trzy strumienie przychodów: subskrypcja SaaS (349 zł za pojazd miesięcznie), zestaw retrofit (7 500 zł za naczepę) i licencja API (4 800 zł za umowę rocznie). Baza aktywnych pojazdów rośnie: 50 (2030), 125 (2031), 250 (2032), 500 (2033), 1 000 (2034), co odpowiada penetracji 0,5% SAM Polska (200 tys. naczep). Jest to założenie ostrożne, przy churnie 8% (benchmark SaaS B2B 5–12%).</w:t>
      </w:r>
    </w:p>
    <w:p>
      <w:pPr>
        <w:spacing w:after="60"/>
      </w:pPr>
      <w:r>
        <w:rPr>
          <w:b w:val="0"/>
        </w:rPr>
        <w:t>Pierwszy próg (50 pojazdów w 2030 r.) pokrywają listy intencyjne trzech operatorów transportowych, opiewające łącznie na 50 naczep (20, 20 i 10); jednym z nich jest Natanek Logistics, podmiot powiązany z przyszłym inwestorem. Kanałem wzrostu w kolejnych latach jest sprzedaż bezpośrednia do operatorów transportowych, a w marcu–maju 2026 r. spółka przeprowadziła 15 rozmów z potencjalnymi klientami. Od 2031 r. dochodzi drugi segment (polscy spedytorzy, ok. 12 tys. firm), w którym CargoDT staje się standardem zgodności wymaganym przez zleceniodawców. Trzy czynniki wzmacniają popyt niezależnie od działań sprzedażowych spółki: rozporządzenie eFTI (organy państw członkowskich będą musiały przyjmować dokumenty elektroniczne od 9 lipca 2027 r., a dla przewoźników stosowanie jest dobrowolne), rosnąca presja ubezpieczycieli cargo na dokumentowanie stanu ładunku (wzrost udokumentowanych strat o 438% r/r w 2023 r.) oraz konsolidacja rynku TSL po spadku rejestracji naczep o 31,8% w 2024 r., która premiuje operatorów inwestujących w cyfryzację.</w:t>
      </w:r>
    </w:p>
    <w:p>
      <w:pPr>
        <w:spacing w:after="60"/>
      </w:pPr>
      <w:r>
        <w:rPr>
          <w:b w:val="0"/>
        </w:rPr>
        <w:t>Wartość dla klienta wynika z limitu odpowiedzialności przewoźnika w konwencji CMR: jedno roszczenie mieści się w przedziale 8 489–21 222 zł (art. 23, kurs SDR NBP 5,0954 z 04.09.2026 r.), co odpowiada abonamentowi SaaS za 24 do 61 miesięcy. Prognoza obejmuje wyłącznie rynek krajowy. Brak kanibalizacji: CargoDT to nowa, komplementarna linia produktowa, nieobniżająca dotychczasowej sprzedaży usług spedycyjnych. Produkt ma zastosowanie wyłącznie cywilne. Uwaga jednostkowa: SaaS rozliczany jako pojazdo-miesiące × 0,349 tys. zł (349 zł/mies.); pozostałe wartości w tys. PLN.</w:t>
      </w:r>
    </w:p>
    <w:p>
      <w:pPr>
        <w:pStyle w:val="Heading2"/>
      </w:pPr>
      <w:r>
        <w:t>4.3 Koszty operacyjne, komórka B645 (K6-09, K2-13)</w:t>
      </w:r>
    </w:p>
    <w:p>
      <w:pPr>
        <w:spacing w:after="60"/>
      </w:pPr>
      <w:r>
        <w:rPr>
          <w:b w:val="0"/>
        </w:rPr>
        <w:t>Pierwsze zdanie zamień na: Koszty dotychczasowej działalności przyjęto płasko na poziomie zannualizowanego pierwszego półrocza 2026 r. (2 x 9 144 948 zł = 18 289 895 zł rocznie), bez wzrostu skali.</w:t>
      </w:r>
    </w:p>
    <w:p>
      <w:pPr>
        <w:spacing w:after="60"/>
      </w:pPr>
      <w:r>
        <w:rPr>
          <w:b w:val="0"/>
        </w:rPr>
        <w:t>Zdanie „Uzasadnia to sam kanał dotarcia do klienta: pierwsze wdrożenia opierają się na rozszerzeniu istniejącej relacji handlowej z bazą ponad 50 aktywnych kontrahentów spedycyjnych Everest11, a nie na akwizycji zimnej – cel 50 pojazdów w 2030 r. pokrywają już 4 kontrakty, w tym zawarte listy intencyjne z konkretnymi operatorami transportowymi.” zamień na: Uzasadnia to kanał dotarcia do klienta: pierwsze wdrożenia opierają się na trzech operatorach transportowych, którzy podpisali listy intencyjne na łącznie 50 naczep, a dalsza sprzedaż na kontakcie bezpośrednim z operatorami, bez kosztownej akwizycji masowej.</w:t>
      </w:r>
    </w:p>
    <w:p>
      <w:pPr>
        <w:spacing w:after="60"/>
      </w:pPr>
      <w:r>
        <w:rPr>
          <w:b w:val="0"/>
        </w:rPr>
        <w:t>Reszta komentarza bez zmian.</w:t>
      </w:r>
    </w:p>
    <w:p>
      <w:pPr>
        <w:pStyle w:val="Heading2"/>
      </w:pPr>
      <w:r>
        <w:t>4.4 Kapitał pracujący, komórka B133, cały komentarz (K6-04, K6-08)</w:t>
      </w:r>
    </w:p>
    <w:p>
      <w:pPr>
        <w:spacing w:after="60"/>
      </w:pPr>
      <w:r>
        <w:rPr>
          <w:b w:val="0"/>
        </w:rPr>
        <w:t>Komentarz zastępuje obecny tekst i opisuje nowe założenia rotacji z części 2.4, w tym informacje księgowej (terminy płatności 30 dni, brak zaliczek, brak przeterminowań powyżej 30 dni, przyczyna wyższych zobowiązań w 2025 r.).</w:t>
      </w:r>
    </w:p>
    <w:p>
      <w:pPr>
        <w:spacing w:after="60"/>
      </w:pPr>
      <w:r>
        <w:rPr>
          <w:b w:val="0"/>
        </w:rPr>
        <w:t>Rotacje dla dotychczasowej działalności przyjęto na poziomie z pierwszego półrocza 2026 r., czyli 37 dni dla należności i 29 dni dla zobowiązań z tytułu dostaw i usług, w całym okresie prognozy (kalkulacja własna; zapasy zerowe, bo spółka nie magazynuje towarów, co jest typowe dla brokera spedycyjnego). Podstawą jest bilans na 30.06.2026 r. (należności 2 000 tys. zł, zobowiązania 1 444 tys. zł) oraz informacje księgowości: terminy płatności wynoszą 30 dni zarówno wobec odbiorców, jak i wobec przewoźników, główny odbiorca płaci regularnie, spółka nie miała zaliczek ani przedpłat, a całość należności i zobowiązań na 30.06.2026 r. mieściła się w terminie płatności, bez sald przeterminowanych. Wyższe zobowiązania na koniec 2025 r. (193 dni) i na 31.03.2026 r. (59 dni) wynikały z przeterminowanych płatności z wcześniejszego okresu. Po zmianie jedynego wspólnika w 2025 r. spółka stopniowo uregulowała zaległości, a poziom z 2026 r. ma zostać utrzymany. Dlatego nie przyjęto średniej z lat 2023–2025 (należności 63–84 dni, zobowiązania 96–133 dni), która odzwierciedlałaby zaległości, a nie bieżące warunki handlowe. Krótki cykl zobowiązań jest ostrożny dla płynności, bo spółka nie korzysta z kredytu kupieckiego ponad 30 dni. Rotacje przyjęte dla projektu opisano w arkuszu Założenia.</w:t>
      </w:r>
    </w:p>
    <w:p>
      <w:pPr>
        <w:pStyle w:val="Heading2"/>
      </w:pPr>
      <w:r>
        <w:t>4.5 Ocena kondycji finansowej, komórka B444 (K6-13)</w:t>
      </w:r>
    </w:p>
    <w:p>
      <w:pPr>
        <w:spacing w:after="60"/>
      </w:pPr>
      <w:r>
        <w:rPr>
          <w:b w:val="0"/>
        </w:rPr>
        <w:t>Poprzedni komentarz podawał środki pieniężne „od 2 618 tys. zł w 2026 r. do 16 679 tys. zł w 2039 r.”, czego model nie potwierdzał nawet przed zmianami (pokazywał 2 648 i 31 195 tys. zł). Nowy tekst ma liczby z przeliczonego modelu (po zmianie rotacji z części 2.4) i zawiera zdanie o rentowności (uwaga K6-13).</w:t>
      </w:r>
    </w:p>
    <w:p>
      <w:pPr>
        <w:spacing w:after="60"/>
      </w:pPr>
      <w:r>
        <w:rPr>
          <w:b w:val="0"/>
        </w:rPr>
        <w:t>Płynność finansowa pozostaje dodatnia przez cały okres prognozy: środki pieniężne spółki rosną z 598 tys. zł na koniec 2026 r. do 28 123 tys. zł w 2039 r., a płynność bieżąca wynosi od 1,75 do 17,2. W samym projekcie wskaźnik zadłużenia jest najwyższy w 2030 r. (ok. 74%, szczyt zaangażowania kapitałowego związanego z wdrożeniem) i spada do ok. 2% w 2039 r., a dla łącznej działalności wynosi 57% w 2026 r., 27% w 2030 r. i 6% w 2039 r. Strata operacyjna projektu w latach 2030–2031 jest w całości pokrywana dodatnimi przepływami z dotychczasowej działalności oraz dokapitalizowaniem, więc nie stwarza ryzyka dla płynności całej spółki. Rentowność działalności dotychczasowej w prognozie (rentowność sprzedaży ok. 6,3%, rentowność netto ok. 5,1%) jest wyższa niż w 2025 r. (0,2% i 0,3%), ponieważ prognozę oparto na wyniku pierwszego półrocza 2026 r. (zysk netto 501 tys. zł przy przychodach 9 763 tys. zł), utrzymanym płasko. Podobny poziom rentowności sprzedaży spółka osiągnęła w 2024 r. (7,8%). Zwrot na aktywach (39% w 2026 r. i 6% w 2039 r.) wynika z niskiej sumy bilansowej spółki działającej w modelu asset-light: 2,6 mln zł na koniec 2026 r. wobec 7,6 mln zł na koniec 2025 r. Wskaźnik maleje wraz ze wzrostem aktywów. Uzasadnienie podstawy prognozy jest w arkuszach Sprawozdania finansowe i Przychody. Komórki kontrolne „sprawdzenie” w wierszach 95 i 382 oraz w wierszu 124 wykazują FALSE ze względu na stałą różnicę 1 tys. zł (dotychczasowa działalność), 1,46 tys. zł (łącznie) i 1 tys. zł w rachunku przepływów. To efekt niezależnego zaokrąglania poszczególnych pozycji przez zablokowane formuły szablonu, których zgodnie z Instrukcją nie edytujemy. Dane źródłowe w Sprawozdaniach finansowych bilansują się w tysiącach złotych, a różnica mieści się w dopuszczalnej tolerancji zaokrągleń.</w:t>
      </w:r>
    </w:p>
    <w:p>
      <w:pPr>
        <w:pStyle w:val="Heading2"/>
      </w:pPr>
      <w:r>
        <w:t>4.6 Założenia, komórka B79, dopisek na końcu (K6-02)</w:t>
      </w:r>
    </w:p>
    <w:p>
      <w:pPr>
        <w:spacing w:after="60"/>
      </w:pPr>
      <w:r>
        <w:rPr>
          <w:b w:val="0"/>
        </w:rPr>
        <w:t>Stopę podatku dochodowego przyjęto na poziomie 19% we wszystkich latach, ponieważ przychody spółki w 2025 r. (14,25 mln zł) przekroczyły limit 2 mln EUR dla stawki 9% przysługującej małym podatnikom. W działalności dotychczasowej nie ma środków trwałych, wartości niematerialnych ani kredytów (bilans na 30.06.2026 r. wykazuje w tych pozycjach zero), dlatego stawki amortyzacji i oprocentowania nie zostały wpisane.</w:t>
      </w:r>
    </w:p>
    <w:p>
      <w:pPr>
        <w:spacing w:after="60"/>
      </w:pPr>
      <w:r>
        <w:rPr>
          <w:b w:val="0"/>
        </w:rPr>
        <w:t>Zdanie o stawce 19% wymaga potwierdzenia przez księgową (punkt w osobnej wiadomości, część 7).</w:t>
      </w:r>
    </w:p>
    <w:p>
      <w:pPr>
        <w:pStyle w:val="Heading2"/>
      </w:pPr>
      <w:r>
        <w:t>4.7 Finansowanie, komórka B179, dopisek na końcu (K6-12)</w:t>
      </w:r>
    </w:p>
    <w:p>
      <w:pPr>
        <w:spacing w:after="60"/>
      </w:pPr>
      <w:r>
        <w:rPr>
          <w:b w:val="0"/>
        </w:rPr>
        <w:t>Odpowiedź na pytanie o strukturę udziałów, na podstawie odpisu KRS z 05.10.2026 i Twoich informacji o wycenie spółki po dokapitalizowaniu.</w:t>
      </w:r>
    </w:p>
    <w:p>
      <w:pPr>
        <w:spacing w:after="60"/>
      </w:pPr>
      <w:r>
        <w:rPr>
          <w:b w:val="0"/>
        </w:rPr>
        <w:t>Kapitał zakładowy Everest11 wynosi 5 000 zł (100 udziałów po 50 zł), a jedynym wspólnikiem i prezesem zarządu jest Wojciech Chrzanowski (wpis w KRS z 02.06.2025 r.). Wkład własny wniesie inwestor, Zbigniew Natanek, który obejmie wszystkie nowe udziały w podwyższonym kapitale zakładowym na podstawie uchwały wspólników wskazującej go jako jedyną osobę uprawnioną do objęcia udziałów. Dotychczasowy wspólnik nie obejmie nowych udziałów i nie wniesie środków. Kapitał zakładowy wzrośnie tylko o wartość nominalną nowych udziałów: przy objęciu 25 udziałów po 50 zł, które odpowiadają 20% kapitału po podwyższeniu, będzie to 1 250 zł. Pozostała część wkładu inwestora (1 250 556 zł, czyli wkład własny po korekcie budżetu internacjonalizacji, pomniejszone o wartość nominalną) zostanie wniesiona jako nadwyżka ponad wartość nominalną udziałów i przekazana na kapitał zapasowy. Liczbę obejmowanych udziałów i cenę emisyjną określi profesjonalna wycena spółki przeprowadzona po przyznaniu dofinansowania, a udział inwestora nie przekroczy 20% zgodnie z warunkową umową inwestycyjną. Pozostałe udziały, czyli co najmniej 80% kapitału po podwyższeniu, pozostają przy dotychczasowym wspólniku. Warunkowa umowa inwestycyjna wskazuje wkład 1 253 358 zł, czyli o 2 803 zł więcej niż wkład po korekcie budżetu internacjonalizacji (niższy VAT od wydatków Z10 i Z11, bo wyjazdy są rozliczane stawką jednostkową bez VAT); zobowiązanie inwestora pokrywa więc cały wkład, a wydatki kwalifikowalne i dofinansowanie się nie zmieniły.</w:t>
      </w:r>
    </w:p>
    <w:p>
      <w:pPr>
        <w:pStyle w:val="Heading2"/>
      </w:pPr>
      <w:r>
        <w:t>4.8 Opłacalność, komórka B106, jedno zdanie (K2-16)</w:t>
      </w:r>
    </w:p>
    <w:p>
      <w:pPr>
        <w:spacing w:after="60"/>
      </w:pPr>
      <w:r>
        <w:rPr>
          <w:b w:val="0"/>
        </w:rPr>
        <w:t>Zdanie „pierwszy próg pokrywają już podpisane listy intencyjne z odbiorcami oraz wdrożenie własne Everest11, a dalszy wzrost opiera się na bazie ponad 50 istniejących kontrahentów spedycyjnych spółki jako naturalnym kanale dystrybucji.” zamień na: pierwszy próg pokrywają podpisane listy intencyjne trzech operatorów transportowych na łącznie 50 naczep, a dalszy wzrost opiera się na sprzedaży bezpośredniej do operatorów transportowych.</w:t>
      </w:r>
    </w:p>
    <w:p>
      <w:pPr>
        <w:pStyle w:val="Heading2"/>
      </w:pPr>
      <w:r>
        <w:t>4.9 Koszty operacyjne, dopisek na końcu komentarza (K2-12, K2-13, N58)</w:t>
      </w:r>
    </w:p>
    <w:p>
      <w:pPr>
        <w:spacing w:after="60"/>
      </w:pPr>
      <w:r>
        <w:rPr>
          <w:b w:val="0"/>
        </w:rPr>
        <w:t>Dopisek podaje podstawę kosztu komponentów 4 875 zł i liczbę etatów zespołu komercjalizacji. Są to propozycje do zaakceptowania przez dział techniczny i przez Ciebie (część 8). Jeśli ceny OEM się zmienią, trzeba zmienić tabelę w części 8 i ten dopisek.</w:t>
      </w:r>
    </w:p>
    <w:p>
      <w:pPr>
        <w:spacing w:after="60"/>
      </w:pPr>
      <w:r>
        <w:rPr>
          <w:b w:val="0"/>
        </w:rPr>
        <w:t>Koszt komponentów zestawu retrofit przyjęto na poziomie 4 875 zł za zestaw, czyli 65% ceny 7 500 zł, jako koszt docelowy zestawu produkcyjnego. Zestaw produkcyjny jest prostszy od toru badawczego z projektu i zawiera po jednym module kamery ToF, kamery EO i radaru mmWave. Na koszt składają się: moduł edge AI Jetson Orin Nano 8 GB, 1 520 zł (cena producenta 399 USD przy zamówieniu od 1000 szt.); płyta nośna i integracja 450 zł; moduł kamery ToF 850 zł; moduł kamery EO 380 zł; radar mmWave 430 zł; IMU i czujniki środowiskowe 120 zł; moduł LTE/GNSS 340 zł; dysk NVMe 256 GB klasy przemysłowej 260 zł; obudowa IP66 z okablowaniem i zasilaniem 12/24 V 525 zł. Cena modułu edge AI pochodzi z cennika producenta, a ceny pozostałych komponentów to założenia kalkulacyjne dla modułów klasy OEM, które Everest11 potwierdzi ofertami przy wyborze architektury sprzętowej w zadaniu Z7. Przy koszcie wyższym o 1 000 zł marża brutto na zestawie spada z 35% do 22%. Zespół komercjalizacji (345,6 tys. zł w 2030 r., 460,8; 576; 806,4 i 1 036,8 tys. zł w 2034 r.) odpowiada 1,5; 2,0; 2,5; 3,5 i 4,5 etatu, w formie etatów lub współpracy B2B, przy koszcie 19,2 tys. zł miesięcznie na etat (ok. 15,9 tys. zł brutto z kosztami pracodawcy). Zespół tworzą doradcy klienta B2B (1,0 etatu w latach 2030–2032, 2,0 w 2033 r. i 3,0 w 2034 r.) oraz specjalista ds. wdrożeń i wsparcia klienta (0,5 etatu w 2030 r., 1,0 w 2031 r. i 1,5 etatu od 2032 r.). Wynagrodzenie mieści się w typowych widełkach doradcy klienta MŚP (ok. 13 000 zł brutto) i key account managera B2B (ok. 19 000 zł brutto) według raportu Hays Salary Guide 2026. Liczba pojazdów przypadająca na jeden etat rośnie z 33 w 2030 r. do 222 w 2034 r., ponieważ koszt obsługi subskrypcji rośnie wolniej niż liczba pojazdów.</w:t>
      </w:r>
    </w:p>
    <w:p>
      <w:pPr>
        <w:pStyle w:val="Heading1"/>
      </w:pPr>
      <w:r>
        <w:t>5. Co z odpowiedzi księgowej wynika dla wniosku</w:t>
      </w:r>
    </w:p>
    <w:p>
      <w:pPr>
        <w:pStyle w:val="Heading2"/>
      </w:pPr>
      <w:r>
        <w:t>5.1 Uwagi zamknięte lub prawie zamknięte</w:t>
      </w:r>
    </w:p>
    <w:tbl>
      <w:tblPr>
        <w:tblStyle w:val="TableGrid"/>
        <w:tblW w:type="auto" w:w="0"/>
        <w:tblLook w:firstColumn="1" w:firstRow="1" w:lastColumn="0" w:lastRow="0" w:noHBand="0" w:noVBand="1" w:val="04A0"/>
      </w:tblPr>
      <w:tblGrid>
        <w:gridCol w:w="3213"/>
        <w:gridCol w:w="3213"/>
        <w:gridCol w:w="3213"/>
      </w:tblGrid>
      <w:tr>
        <w:tc>
          <w:tcPr>
            <w:tcW w:type="dxa" w:w="2041"/>
          </w:tcPr>
          <w:p>
            <w:r/>
            <w:r>
              <w:rPr>
                <w:b/>
                <w:sz w:val="18"/>
              </w:rPr>
              <w:t>Uwaga</w:t>
            </w:r>
          </w:p>
        </w:tc>
        <w:tc>
          <w:tcPr>
            <w:tcW w:type="dxa" w:w="3742"/>
          </w:tcPr>
          <w:p>
            <w:r/>
            <w:r>
              <w:rPr>
                <w:b/>
                <w:sz w:val="18"/>
              </w:rPr>
              <w:t>Odpowiedź księgowej</w:t>
            </w:r>
          </w:p>
        </w:tc>
        <w:tc>
          <w:tcPr>
            <w:tcW w:type="dxa" w:w="3969"/>
          </w:tcPr>
          <w:p>
            <w:r/>
            <w:r>
              <w:rPr>
                <w:b/>
                <w:sz w:val="18"/>
              </w:rPr>
              <w:t>Co zrobiłam</w:t>
            </w:r>
          </w:p>
        </w:tc>
      </w:tr>
      <w:tr>
        <w:tc>
          <w:tcPr>
            <w:tcW w:type="dxa" w:w="2041"/>
          </w:tcPr>
          <w:p>
            <w:r/>
            <w:r>
              <w:rPr>
                <w:b w:val="0"/>
                <w:sz w:val="18"/>
              </w:rPr>
              <w:t>K6-04 (rotacje wobec historii)</w:t>
            </w:r>
          </w:p>
        </w:tc>
        <w:tc>
          <w:tcPr>
            <w:tcW w:type="dxa" w:w="3742"/>
          </w:tcPr>
          <w:p>
            <w:r/>
            <w:r>
              <w:rPr>
                <w:b w:val="0"/>
                <w:sz w:val="18"/>
              </w:rPr>
              <w:t>Terminy 30 dni, poziom z 2026 r. zostanie utrzymany, wcześniej płatności były przeterminowane.</w:t>
            </w:r>
          </w:p>
        </w:tc>
        <w:tc>
          <w:tcPr>
            <w:tcW w:type="dxa" w:w="3969"/>
          </w:tcPr>
          <w:p>
            <w:r/>
            <w:r>
              <w:rPr>
                <w:b w:val="0"/>
                <w:sz w:val="18"/>
              </w:rPr>
              <w:t>Rotacje w modelu przyjęte z I półrocza (37 i 29 dni), komentarz w arkuszu Kapitał pracujący (część 4.4).</w:t>
            </w:r>
          </w:p>
        </w:tc>
      </w:tr>
      <w:tr>
        <w:tc>
          <w:tcPr>
            <w:tcW w:type="dxa" w:w="2041"/>
          </w:tcPr>
          <w:p>
            <w:r/>
            <w:r>
              <w:rPr>
                <w:b w:val="0"/>
                <w:sz w:val="18"/>
              </w:rPr>
              <w:t>K6-08 (przeterminowania, zaliczki, zapasy)</w:t>
            </w:r>
          </w:p>
        </w:tc>
        <w:tc>
          <w:tcPr>
            <w:tcW w:type="dxa" w:w="3742"/>
          </w:tcPr>
          <w:p>
            <w:r/>
            <w:r>
              <w:rPr>
                <w:b w:val="0"/>
                <w:sz w:val="18"/>
              </w:rPr>
              <w:t>Całość sald w przedziale do 30 dni, brak zaliczek i przedpłat, brak zapasów.</w:t>
            </w:r>
          </w:p>
        </w:tc>
        <w:tc>
          <w:tcPr>
            <w:tcW w:type="dxa" w:w="3969"/>
          </w:tcPr>
          <w:p>
            <w:r/>
            <w:r>
              <w:rPr>
                <w:b w:val="0"/>
                <w:sz w:val="18"/>
              </w:rPr>
              <w:t>Dopisane do komentarza w arkuszu Kapitał pracujący. „Do 30 dni” oznacza według Ciebie „w terminie”, więc piszemy, że nie było sald przeterminowanych.</w:t>
            </w:r>
          </w:p>
        </w:tc>
      </w:tr>
      <w:tr>
        <w:tc>
          <w:tcPr>
            <w:tcW w:type="dxa" w:w="2041"/>
          </w:tcPr>
          <w:p>
            <w:r/>
            <w:r>
              <w:rPr>
                <w:b w:val="0"/>
                <w:sz w:val="18"/>
              </w:rPr>
              <w:t>K6-02 (stawka CIT)</w:t>
            </w:r>
          </w:p>
        </w:tc>
        <w:tc>
          <w:tcPr>
            <w:tcW w:type="dxa" w:w="3742"/>
          </w:tcPr>
          <w:p>
            <w:r/>
            <w:r>
              <w:rPr>
                <w:b w:val="0"/>
                <w:sz w:val="18"/>
              </w:rPr>
              <w:t>19%.</w:t>
            </w:r>
          </w:p>
        </w:tc>
        <w:tc>
          <w:tcPr>
            <w:tcW w:type="dxa" w:w="3969"/>
          </w:tcPr>
          <w:p>
            <w:r/>
            <w:r>
              <w:rPr>
                <w:b w:val="0"/>
                <w:sz w:val="18"/>
              </w:rPr>
              <w:t>Zdanie w komentarzu Założenia potwierdzone.</w:t>
            </w:r>
          </w:p>
        </w:tc>
      </w:tr>
      <w:tr>
        <w:tc>
          <w:tcPr>
            <w:tcW w:type="dxa" w:w="2041"/>
          </w:tcPr>
          <w:p>
            <w:r/>
            <w:r>
              <w:rPr>
                <w:b w:val="0"/>
                <w:sz w:val="18"/>
              </w:rPr>
              <w:t>K6-12 (struktura udziałów)</w:t>
            </w:r>
          </w:p>
        </w:tc>
        <w:tc>
          <w:tcPr>
            <w:tcW w:type="dxa" w:w="3742"/>
          </w:tcPr>
          <w:p>
            <w:r/>
            <w:r>
              <w:rPr>
                <w:b w:val="0"/>
                <w:sz w:val="18"/>
              </w:rPr>
              <w:t>Jedyny wspólnik: Wojciech Chrzanowski (KRS). Po dokapitalizowaniu wycena spółki, inwestor obejmie udziały zgodnie z wyceną, nie więcej niż 20%.</w:t>
            </w:r>
          </w:p>
        </w:tc>
        <w:tc>
          <w:tcPr>
            <w:tcW w:type="dxa" w:w="3969"/>
          </w:tcPr>
          <w:p>
            <w:r/>
            <w:r>
              <w:rPr>
                <w:b w:val="0"/>
                <w:sz w:val="18"/>
              </w:rPr>
              <w:t>Komentarz w arkuszu Finansowanie (część 4.7).</w:t>
            </w:r>
          </w:p>
        </w:tc>
      </w:tr>
      <w:tr>
        <w:tc>
          <w:tcPr>
            <w:tcW w:type="dxa" w:w="2041"/>
          </w:tcPr>
          <w:p>
            <w:r/>
            <w:r>
              <w:rPr>
                <w:b w:val="0"/>
                <w:sz w:val="18"/>
              </w:rPr>
              <w:t>K6-16 (usługi od podmiotów powiązanych)</w:t>
            </w:r>
          </w:p>
        </w:tc>
        <w:tc>
          <w:tcPr>
            <w:tcW w:type="dxa" w:w="3742"/>
          </w:tcPr>
          <w:p>
            <w:r/>
            <w:r>
              <w:rPr>
                <w:b w:val="0"/>
                <w:sz w:val="18"/>
              </w:rPr>
              <w:t>Ok. 95% zakupów usług od Natanek Logistics, ok. 5% od innych dostawców.</w:t>
            </w:r>
          </w:p>
        </w:tc>
        <w:tc>
          <w:tcPr>
            <w:tcW w:type="dxa" w:w="3969"/>
          </w:tcPr>
          <w:p>
            <w:r/>
            <w:r>
              <w:rPr>
                <w:b w:val="0"/>
                <w:sz w:val="18"/>
              </w:rPr>
              <w:t>Akapit w komentarzu Sprawozdania finansowe (część 4.1) i przepisane ryzyko R12 (K3-32), patrz 5.2.</w:t>
            </w:r>
          </w:p>
        </w:tc>
      </w:tr>
      <w:tr>
        <w:tc>
          <w:tcPr>
            <w:tcW w:type="dxa" w:w="2041"/>
          </w:tcPr>
          <w:p>
            <w:r/>
            <w:r>
              <w:rPr>
                <w:b w:val="0"/>
                <w:sz w:val="18"/>
              </w:rPr>
              <w:t>K6-05 (główni odbiorcy)</w:t>
            </w:r>
          </w:p>
        </w:tc>
        <w:tc>
          <w:tcPr>
            <w:tcW w:type="dxa" w:w="3742"/>
          </w:tcPr>
          <w:p>
            <w:r/>
            <w:r>
              <w:rPr>
                <w:b w:val="0"/>
                <w:sz w:val="18"/>
              </w:rPr>
              <w:t>Sprzedaż: 2025 r. 95% Amazon i 5% Nara Motors sp. z o.o.; 2026 r. 100% Amazon.</w:t>
            </w:r>
          </w:p>
        </w:tc>
        <w:tc>
          <w:tcPr>
            <w:tcW w:type="dxa" w:w="3969"/>
          </w:tcPr>
          <w:p>
            <w:r/>
            <w:r>
              <w:rPr>
                <w:b w:val="0"/>
                <w:sz w:val="18"/>
              </w:rPr>
              <w:t>Wpisane do komentarza Sprawozdania finansowe i Przychody (jeden odbiorca, umowa). Patrz 5.2.</w:t>
            </w:r>
          </w:p>
        </w:tc>
      </w:tr>
      <w:tr>
        <w:tc>
          <w:tcPr>
            <w:tcW w:type="dxa" w:w="2041"/>
          </w:tcPr>
          <w:p>
            <w:r/>
            <w:r>
              <w:rPr>
                <w:b w:val="0"/>
                <w:sz w:val="18"/>
              </w:rPr>
              <w:t>Sezonowość przychodów</w:t>
            </w:r>
          </w:p>
        </w:tc>
        <w:tc>
          <w:tcPr>
            <w:tcW w:type="dxa" w:w="3742"/>
          </w:tcPr>
          <w:p>
            <w:r/>
            <w:r>
              <w:rPr>
                <w:b w:val="0"/>
                <w:sz w:val="18"/>
              </w:rPr>
              <w:t>Brak sezonowości.</w:t>
            </w:r>
          </w:p>
        </w:tc>
        <w:tc>
          <w:tcPr>
            <w:tcW w:type="dxa" w:w="3969"/>
          </w:tcPr>
          <w:p>
            <w:r/>
            <w:r>
              <w:rPr>
                <w:b w:val="0"/>
                <w:sz w:val="18"/>
              </w:rPr>
              <w:t>Uzasadnia prognozę „I półrocze razy 2”, zdanie można dopisać do komentarza w arkuszu Przychody.</w:t>
            </w:r>
          </w:p>
        </w:tc>
      </w:tr>
    </w:tbl>
    <w:p/>
    <w:p>
      <w:pPr>
        <w:pStyle w:val="Heading2"/>
      </w:pPr>
      <w:r>
        <w:t>5.2 Trzy rzeczy z Twoich odpowiedzi i co zrobiłam</w:t>
      </w:r>
    </w:p>
    <w:p>
      <w:pPr>
        <w:pStyle w:val="ListBullet"/>
      </w:pPr>
      <w:r>
        <w:rPr>
          <w:b/>
        </w:rPr>
        <w:t>Koncentracja sprzedaży i „ponad 50 kontrahentów”.</w:t>
      </w:r>
      <w:r>
        <w:rPr>
          <w:b w:val="0"/>
        </w:rPr>
        <w:t xml:space="preserve"> Wszystkie wzmianki o „ponad 50 aktywnych kontrahentach” zostały usunięte i zastąpione tym, co wiemy: trzej operatorzy z listami intencyjnymi na 50 naczep, sprzedaż bezpośrednia do operatorów transportowych i 15 rozmów handlowych w marcu–maju 2026. W komentarzu w modelu jest zapis, że w pierwszym półroczu 2026 r. cała sprzedaż dotychczasowej działalności pochodzi od jednego odbiorcy (Amazon) na podstawie umowy i że prognoza zakłada utrzymanie tej współpracy. Zmiany w komentarzach arkuszy Przychody, Koszty i Opłacalność są wpisane w pliku modelu, a zmiany w pkt 1.3 i w planie zastępczym ryzyka R11 są w osobnym zestawieniu (część 7).</w:t>
      </w:r>
    </w:p>
    <w:p>
      <w:pPr>
        <w:pStyle w:val="ListBullet"/>
      </w:pPr>
      <w:r>
        <w:rPr>
          <w:b/>
        </w:rPr>
        <w:t>Zakupy od Natanek Logistics.</w:t>
      </w:r>
      <w:r>
        <w:rPr>
          <w:b w:val="0"/>
        </w:rPr>
        <w:t xml:space="preserve"> Zgodnie z Twoją decyzją piszemy wprost o 95% (ok. 13,4 mln zł w 2025 r. i ok. 8,4 mln zł w I półroczu 2026 r.). Ryzyko R12 zostało przepisane w zestawieniu zmian (część 7): usunęłam zdanie, że Natanek Logistics jest „jednym z trzech niezależnych klientów”, bo jest powiązany z przyszłym Inwestorem i jest głównym dostawcą Everest11. Opis zawiera skalę zależności, fakt, że zakupy usług transportowych nie są kosztami kwalifikowalnymi projektu, i kwartalny monitoring udziału. W zestawieniu zmian jest też dopisek do opisu zadania Z9 (niezależność walidacji), zdanie o tym, że Natanek Logistics jest głównym dostawcą, więc procedura nie opiera się na jego pracownikach. Do pkt 1.3 trzeba dopisać, że Natanek Logistics (20 z 50 naczep w listach intencyjnych) jest powiązany z Inwestorem.</w:t>
      </w:r>
    </w:p>
    <w:p>
      <w:pPr>
        <w:pStyle w:val="ListBullet"/>
      </w:pPr>
      <w:r>
        <w:rPr>
          <w:b/>
        </w:rPr>
        <w:t>Zmiana struktury właścicielskiej.</w:t>
      </w:r>
      <w:r>
        <w:rPr>
          <w:b w:val="0"/>
        </w:rPr>
        <w:t xml:space="preserve"> Z odpisu KRS wynika, że od 02.06.2025 r. jedynym wspólnikiem (100 udziałów po 50 zł) i prezesem zarządu jest Wojciech Chrzanowski. Wcześniej wspólnikami byli Damian Paweł Grabowski i Katarzyna Marta Stompel (od 04.04.2024 r.) oraz DFK Księgowość sp. z o.o. To jest w komentarzu Finansowanie (odpowiedź na K6-12, bez nazw wcześniejszych wspólników) i do komentarza Kapitał pracujący (po zmianie jedynego wspólnika w 2025 r. spółka stopniowo uregulowała zaległości). Zdanie „do 30 dni” w zestawieniu księgowej oznacza „w terminie”, więc piszemy, że salda były w terminie, bez przeterminowań.</w:t>
      </w:r>
    </w:p>
    <w:p>
      <w:pPr>
        <w:pStyle w:val="Heading2"/>
      </w:pPr>
      <w:r>
        <w:t>5.3 Twoje odpowiedzi z 05.10 i co z nich wynika</w:t>
      </w:r>
    </w:p>
    <w:p>
      <w:pPr>
        <w:pStyle w:val="ListBullet"/>
      </w:pPr>
      <w:r>
        <w:rPr>
          <w:b/>
        </w:rPr>
        <w:t>Kapitał zakładowy a wkład inwestora (K6-12).</w:t>
      </w:r>
      <w:r>
        <w:rPr>
          <w:b w:val="0"/>
        </w:rPr>
        <w:t xml:space="preserve"> Poprzednio napisałam, że wkład 1 253 358 zł przy udziale 20% odpowiada wycenie spółki ok. 6,3 mln zł. To była wycena, a nie kapitał zakładowy, ale zdanie mogło sugerować, że kapitał rośnie do 6,3 mln zł, więc je usunęłam. Nowy tekst w komentarzu Finansowanie (część 4.7) mówi, że inwestor obejmuje wszystkie nowe udziały, a dotychczasowy wspólnik nie wnosi żadnych środków. Kapitał zakładowy rośnie tylko o wartość nominalną nowych udziałów (przy 25 udziałach po 50 zł, czyli 20% po podwyższeniu, o 1 250 zł), a reszta wkładu to nadwyżka ponad wartość nominalną, która trafia na kapitał zapasowy. Pytanie panelu „skąd Chrzanowski weźmie pieniądze” znika, bo on niczego nie wnosi. Pamiętaj o jednej konsekwencji arytmetycznej: przy stałym wkładzie 1 253 358 zł i limicie 20% wycena spółki po podwyższeniu musi wynieść co najmniej ok. 6,3 mln zł (przed podwyższeniem ok. 5,0 mln zł). Jeśli profesjonalna wycena wyjdzie niższa, inwestor za tę kwotę objąłby więcej niż 20% albo wkład trzeba by zmniejszyć. Ten fragment zostawiam poza tekstem wniosku, ale warto go znać przed rozmową o wycenie.</w:t>
      </w:r>
    </w:p>
    <w:p>
      <w:pPr>
        <w:pStyle w:val="ListBullet"/>
      </w:pPr>
      <w:r>
        <w:rPr>
          <w:b/>
        </w:rPr>
        <w:t>Kancelaria adwokacka.</w:t>
      </w:r>
      <w:r>
        <w:rPr>
          <w:b w:val="0"/>
        </w:rPr>
        <w:t xml:space="preserve"> Potwierdziłaś, więc zostaje: usunięte słowo „niezależnych” przy pozostałych dostawcach.</w:t>
      </w:r>
    </w:p>
    <w:p>
      <w:pPr>
        <w:pStyle w:val="ListBullet"/>
      </w:pPr>
      <w:r>
        <w:rPr>
          <w:b/>
        </w:rPr>
        <w:t>Pokrewieństwo z kierownikiem zarządzającym.</w:t>
      </w:r>
      <w:r>
        <w:rPr>
          <w:b w:val="0"/>
        </w:rPr>
        <w:t xml:space="preserve"> Nie są spokrewnieni, więc nic nie ujawniamy w pkt 6.1.</w:t>
      </w:r>
    </w:p>
    <w:p>
      <w:pPr>
        <w:pStyle w:val="ListBullet"/>
      </w:pPr>
      <w:r>
        <w:rPr>
          <w:b/>
        </w:rPr>
        <w:t>Pozostali dwaj operatorzy.</w:t>
      </w:r>
      <w:r>
        <w:rPr>
          <w:b w:val="0"/>
        </w:rPr>
        <w:t xml:space="preserve"> Potwierdziłaś, że nie są powiązani z Inwestorem. Zdanie jest w zestawieniu zmian do pkt 1.3 (plik Zmiany_do_wprowadzenia_w_plikach_zamknietych.docx).</w:t>
      </w:r>
    </w:p>
    <w:p>
      <w:pPr>
        <w:pStyle w:val="ListBullet"/>
      </w:pPr>
      <w:r>
        <w:rPr>
          <w:b/>
        </w:rPr>
        <w:t>Umowa z Amazon.</w:t>
      </w:r>
      <w:r>
        <w:rPr>
          <w:b w:val="0"/>
        </w:rPr>
        <w:t xml:space="preserve"> Warunki są tajemnicą przedsiębiorstwa, więc w komentarzu Przychody dopisałam zdanie, że okres obowiązywania i wartość umowy nie są ujawniane we wniosku. To zmniejsza szansę na pełne zamknięcie uwagi K6-05 (pyta o portfel zamówień i okres gwarancji przychodów), ale odpowiada zasadzie, którą wskazałaś.</w:t>
      </w:r>
    </w:p>
    <w:p>
      <w:pPr>
        <w:pStyle w:val="Heading1"/>
      </w:pPr>
      <w:r>
        <w:t>6. Co jeszcze potrzebne</w:t>
      </w:r>
    </w:p>
    <w:tbl>
      <w:tblPr>
        <w:tblStyle w:val="TableGrid"/>
        <w:tblW w:type="auto" w:w="0"/>
        <w:tblLook w:firstColumn="1" w:firstRow="1" w:lastColumn="0" w:lastRow="0" w:noHBand="0" w:noVBand="1" w:val="04A0"/>
      </w:tblPr>
      <w:tblGrid>
        <w:gridCol w:w="4819"/>
        <w:gridCol w:w="4819"/>
      </w:tblGrid>
      <w:tr>
        <w:tc>
          <w:tcPr>
            <w:tcW w:type="dxa" w:w="4989"/>
          </w:tcPr>
          <w:p>
            <w:r/>
            <w:r>
              <w:rPr>
                <w:b/>
                <w:sz w:val="18"/>
              </w:rPr>
              <w:t>Co</w:t>
            </w:r>
          </w:p>
        </w:tc>
        <w:tc>
          <w:tcPr>
            <w:tcW w:type="dxa" w:w="4762"/>
          </w:tcPr>
          <w:p>
            <w:r/>
            <w:r>
              <w:rPr>
                <w:b/>
                <w:sz w:val="18"/>
              </w:rPr>
              <w:t>Po co</w:t>
            </w:r>
          </w:p>
        </w:tc>
      </w:tr>
      <w:tr>
        <w:tc>
          <w:tcPr>
            <w:tcW w:type="dxa" w:w="4989"/>
          </w:tcPr>
          <w:p>
            <w:r/>
            <w:r>
              <w:rPr>
                <w:b w:val="0"/>
                <w:sz w:val="18"/>
              </w:rPr>
              <w:t>Wpisać zmiany w model z części 2 i 4 albo użyć gotowego pliku Model_finansowy_CargoDT_Everest_II_kwartal_2026.xlsm (wszystko już w nim jest).</w:t>
            </w:r>
          </w:p>
        </w:tc>
        <w:tc>
          <w:tcPr>
            <w:tcW w:type="dxa" w:w="4762"/>
          </w:tcPr>
          <w:p>
            <w:r/>
            <w:r>
              <w:rPr>
                <w:b w:val="0"/>
                <w:sz w:val="18"/>
              </w:rPr>
              <w:t>Plik ma zmiany z części 2 i 4, makra i formatowanie bez zmian. Po otwarciu w Excelu zapisz plik, żeby się przeliczył.</w:t>
            </w:r>
          </w:p>
        </w:tc>
      </w:tr>
      <w:tr>
        <w:tc>
          <w:tcPr>
            <w:tcW w:type="dxa" w:w="4989"/>
          </w:tcPr>
          <w:p>
            <w:r/>
            <w:r>
              <w:rPr>
                <w:b w:val="0"/>
                <w:sz w:val="18"/>
              </w:rPr>
              <w:t>Kwoty (nie procenty) zakupów od Natanek Logistics w 2025 r. i w I półroczu 2026 r., jeśli księgowa je ma.</w:t>
            </w:r>
          </w:p>
        </w:tc>
        <w:tc>
          <w:tcPr>
            <w:tcW w:type="dxa" w:w="4762"/>
          </w:tcPr>
          <w:p>
            <w:r/>
            <w:r>
              <w:rPr>
                <w:b w:val="0"/>
                <w:sz w:val="18"/>
              </w:rPr>
              <w:t>W komentarzu są przybliżenia z 95% usług obcych. Kwoty zastąpią moje „ok.”.</w:t>
            </w:r>
          </w:p>
        </w:tc>
      </w:tr>
      <w:tr>
        <w:tc>
          <w:tcPr>
            <w:tcW w:type="dxa" w:w="4989"/>
          </w:tcPr>
          <w:p>
            <w:r/>
            <w:r>
              <w:rPr>
                <w:b w:val="0"/>
                <w:sz w:val="18"/>
              </w:rPr>
              <w:t>Zaktualizować w LSI pola, które mają nowy tekst: pkt 1.3 (plan wprowadzenia na rynek, rynek docelowy), ryzyko R12 (opis i zapobieganie), plan zastępczy w ryzyku R11, opis zadania Z9, komentarze w modelu.</w:t>
            </w:r>
          </w:p>
        </w:tc>
        <w:tc>
          <w:tcPr>
            <w:tcW w:type="dxa" w:w="4762"/>
          </w:tcPr>
          <w:p>
            <w:r/>
            <w:r>
              <w:rPr>
                <w:b w:val="0"/>
                <w:sz w:val="18"/>
              </w:rPr>
              <w:t>To są miejsca, w których zmieniły się fakty po odpowiedzi księgowej i po odpisie KRS.</w:t>
            </w:r>
          </w:p>
        </w:tc>
      </w:tr>
    </w:tbl>
    <w:p/>
    <w:p>
      <w:pPr>
        <w:pStyle w:val="Heading1"/>
      </w:pPr>
      <w:r>
        <w:t>7. Pliki zamknięte</w:t>
      </w:r>
    </w:p>
    <w:p>
      <w:pPr>
        <w:spacing w:after="60"/>
      </w:pPr>
      <w:r>
        <w:rPr>
          <w:b w:val="0"/>
        </w:rPr>
        <w:t>Pliki Sekcja_1.3_i_ceny.docx, Poprawki_do_wklejenia_WP01-WP03.docx i Opisy_zadan_z_kamieniami_milowymi.docx przywróciłam do wersji sprzed moich zmian z 05.10. Wszystko, co w nich trzeba zmienić po odpowiedziach księgowej, jest w osobnym pliku Zmiany_do_wprowadzenia_w_plikach_zamknietych.docx.</w:t>
      </w:r>
    </w:p>
    <w:p>
      <w:pPr>
        <w:pStyle w:val="Heading1"/>
      </w:pPr>
      <w:r>
        <w:t>8. Propozycje do akceptacji: koszt zestawu 4 875 zł i zespół komercjalizacji</w:t>
      </w:r>
    </w:p>
    <w:p>
      <w:pPr>
        <w:spacing w:after="60"/>
      </w:pPr>
      <w:r>
        <w:rPr>
          <w:b w:val="0"/>
        </w:rPr>
        <w:t>Poniższe tabele są moją propozycją, spójną z modelem, a nie danymi z ofert. Tylko cena modułu Jetson pochodzi z cennika producenta (arkusz cen publicznych). Pozostałe ceny komponentów to założenia dla modułów klasy OEM, które dział techniczny powinien ocenić i potwierdzić ofertami przy wyborze architektury w zadaniu Z7. Tekst w komentarzu Koszty operacyjne mówi wprost, że to założenia do potwierdzenia, żeby nie twierdzić, że oferty już są.</w:t>
      </w:r>
    </w:p>
    <w:p>
      <w:pPr>
        <w:pStyle w:val="Heading2"/>
      </w:pPr>
      <w:r>
        <w:t>8.1 Koszt komponentów zestawu retrofit (4 875 zł)</w:t>
      </w:r>
    </w:p>
    <w:tbl>
      <w:tblPr>
        <w:tblStyle w:val="TableGrid"/>
        <w:tblW w:type="auto" w:w="0"/>
        <w:tblLook w:firstColumn="1" w:firstRow="1" w:lastColumn="0" w:lastRow="0" w:noHBand="0" w:noVBand="1" w:val="04A0"/>
      </w:tblPr>
      <w:tblGrid>
        <w:gridCol w:w="3213"/>
        <w:gridCol w:w="3213"/>
        <w:gridCol w:w="3213"/>
      </w:tblGrid>
      <w:tr>
        <w:tc>
          <w:tcPr>
            <w:tcW w:type="dxa" w:w="3628"/>
          </w:tcPr>
          <w:p>
            <w:r/>
            <w:r>
              <w:rPr>
                <w:b/>
                <w:sz w:val="18"/>
              </w:rPr>
              <w:t>Komponent</w:t>
            </w:r>
          </w:p>
        </w:tc>
        <w:tc>
          <w:tcPr>
            <w:tcW w:type="dxa" w:w="1134"/>
          </w:tcPr>
          <w:p>
            <w:r/>
            <w:r>
              <w:rPr>
                <w:b/>
                <w:sz w:val="18"/>
              </w:rPr>
              <w:t>Koszt zł</w:t>
            </w:r>
          </w:p>
        </w:tc>
        <w:tc>
          <w:tcPr>
            <w:tcW w:type="dxa" w:w="4989"/>
          </w:tcPr>
          <w:p>
            <w:r/>
            <w:r>
              <w:rPr>
                <w:b/>
                <w:sz w:val="18"/>
              </w:rPr>
              <w:t>Podstawa</w:t>
            </w:r>
          </w:p>
        </w:tc>
      </w:tr>
      <w:tr>
        <w:tc>
          <w:tcPr>
            <w:tcW w:type="dxa" w:w="3628"/>
          </w:tcPr>
          <w:p>
            <w:r/>
            <w:r>
              <w:rPr>
                <w:b w:val="0"/>
                <w:sz w:val="18"/>
              </w:rPr>
              <w:t>Moduł edge AI Jetson Orin Nano 8 GB</w:t>
            </w:r>
          </w:p>
        </w:tc>
        <w:tc>
          <w:tcPr>
            <w:tcW w:type="dxa" w:w="1134"/>
          </w:tcPr>
          <w:p>
            <w:r/>
            <w:r>
              <w:rPr>
                <w:b w:val="0"/>
                <w:sz w:val="18"/>
              </w:rPr>
              <w:t>1 520</w:t>
            </w:r>
          </w:p>
        </w:tc>
        <w:tc>
          <w:tcPr>
            <w:tcW w:type="dxa" w:w="4989"/>
          </w:tcPr>
          <w:p>
            <w:r/>
            <w:r>
              <w:rPr>
                <w:b w:val="0"/>
                <w:sz w:val="18"/>
              </w:rPr>
              <w:t>Cennik producenta, 399 USD przy zamówieniu od 1000 szt., kurs 3,803 (arkusz cen publicznych)</w:t>
            </w:r>
          </w:p>
        </w:tc>
      </w:tr>
      <w:tr>
        <w:tc>
          <w:tcPr>
            <w:tcW w:type="dxa" w:w="3628"/>
          </w:tcPr>
          <w:p>
            <w:r/>
            <w:r>
              <w:rPr>
                <w:b w:val="0"/>
                <w:sz w:val="18"/>
              </w:rPr>
              <w:t>Płyta nośna i integracja</w:t>
            </w:r>
          </w:p>
        </w:tc>
        <w:tc>
          <w:tcPr>
            <w:tcW w:type="dxa" w:w="1134"/>
          </w:tcPr>
          <w:p>
            <w:r/>
            <w:r>
              <w:rPr>
                <w:b w:val="0"/>
                <w:sz w:val="18"/>
              </w:rPr>
              <w:t>450</w:t>
            </w:r>
          </w:p>
        </w:tc>
        <w:tc>
          <w:tcPr>
            <w:tcW w:type="dxa" w:w="4989"/>
          </w:tcPr>
          <w:p>
            <w:r/>
            <w:r>
              <w:rPr>
                <w:b w:val="0"/>
                <w:sz w:val="18"/>
              </w:rPr>
              <w:t>Założenie: własna płyta zamiast gotowego zestawu deweloperskiego</w:t>
            </w:r>
          </w:p>
        </w:tc>
      </w:tr>
      <w:tr>
        <w:tc>
          <w:tcPr>
            <w:tcW w:type="dxa" w:w="3628"/>
          </w:tcPr>
          <w:p>
            <w:r/>
            <w:r>
              <w:rPr>
                <w:b w:val="0"/>
                <w:sz w:val="18"/>
              </w:rPr>
              <w:t>Moduł kamery ToF (OEM)</w:t>
            </w:r>
          </w:p>
        </w:tc>
        <w:tc>
          <w:tcPr>
            <w:tcW w:type="dxa" w:w="1134"/>
          </w:tcPr>
          <w:p>
            <w:r/>
            <w:r>
              <w:rPr>
                <w:b w:val="0"/>
                <w:sz w:val="18"/>
              </w:rPr>
              <w:t>850</w:t>
            </w:r>
          </w:p>
        </w:tc>
        <w:tc>
          <w:tcPr>
            <w:tcW w:type="dxa" w:w="4989"/>
          </w:tcPr>
          <w:p>
            <w:r/>
            <w:r>
              <w:rPr>
                <w:b w:val="0"/>
                <w:sz w:val="18"/>
              </w:rPr>
              <w:t>Założenie: moduł OEM zamiast kamery detalicznej (Femto Bolt 2 126 zł)</w:t>
            </w:r>
          </w:p>
        </w:tc>
      </w:tr>
      <w:tr>
        <w:tc>
          <w:tcPr>
            <w:tcW w:type="dxa" w:w="3628"/>
          </w:tcPr>
          <w:p>
            <w:r/>
            <w:r>
              <w:rPr>
                <w:b w:val="0"/>
                <w:sz w:val="18"/>
              </w:rPr>
              <w:t>Moduł kamery EO (OEM)</w:t>
            </w:r>
          </w:p>
        </w:tc>
        <w:tc>
          <w:tcPr>
            <w:tcW w:type="dxa" w:w="1134"/>
          </w:tcPr>
          <w:p>
            <w:r/>
            <w:r>
              <w:rPr>
                <w:b w:val="0"/>
                <w:sz w:val="18"/>
              </w:rPr>
              <w:t>380</w:t>
            </w:r>
          </w:p>
        </w:tc>
        <w:tc>
          <w:tcPr>
            <w:tcW w:type="dxa" w:w="4989"/>
          </w:tcPr>
          <w:p>
            <w:r/>
            <w:r>
              <w:rPr>
                <w:b w:val="0"/>
                <w:sz w:val="18"/>
              </w:rPr>
              <w:t>Założenie: moduł OEM zamiast kamery przemysłowej (Basler 1 392 zł)</w:t>
            </w:r>
          </w:p>
        </w:tc>
      </w:tr>
      <w:tr>
        <w:tc>
          <w:tcPr>
            <w:tcW w:type="dxa" w:w="3628"/>
          </w:tcPr>
          <w:p>
            <w:r/>
            <w:r>
              <w:rPr>
                <w:b w:val="0"/>
                <w:sz w:val="18"/>
              </w:rPr>
              <w:t>Radar mmWave (moduł OEM)</w:t>
            </w:r>
          </w:p>
        </w:tc>
        <w:tc>
          <w:tcPr>
            <w:tcW w:type="dxa" w:w="1134"/>
          </w:tcPr>
          <w:p>
            <w:r/>
            <w:r>
              <w:rPr>
                <w:b w:val="0"/>
                <w:sz w:val="18"/>
              </w:rPr>
              <w:t>430</w:t>
            </w:r>
          </w:p>
        </w:tc>
        <w:tc>
          <w:tcPr>
            <w:tcW w:type="dxa" w:w="4989"/>
          </w:tcPr>
          <w:p>
            <w:r/>
            <w:r>
              <w:rPr>
                <w:b w:val="0"/>
                <w:sz w:val="18"/>
              </w:rPr>
              <w:t>Założenie: moduł zamiast płytki ewaluacyjnej (979 zł)</w:t>
            </w:r>
          </w:p>
        </w:tc>
      </w:tr>
      <w:tr>
        <w:tc>
          <w:tcPr>
            <w:tcW w:type="dxa" w:w="3628"/>
          </w:tcPr>
          <w:p>
            <w:r/>
            <w:r>
              <w:rPr>
                <w:b w:val="0"/>
                <w:sz w:val="18"/>
              </w:rPr>
              <w:t>IMU i czujniki środowiskowe</w:t>
            </w:r>
          </w:p>
        </w:tc>
        <w:tc>
          <w:tcPr>
            <w:tcW w:type="dxa" w:w="1134"/>
          </w:tcPr>
          <w:p>
            <w:r/>
            <w:r>
              <w:rPr>
                <w:b w:val="0"/>
                <w:sz w:val="18"/>
              </w:rPr>
              <w:t>120</w:t>
            </w:r>
          </w:p>
        </w:tc>
        <w:tc>
          <w:tcPr>
            <w:tcW w:type="dxa" w:w="4989"/>
          </w:tcPr>
          <w:p>
            <w:r/>
            <w:r>
              <w:rPr>
                <w:b w:val="0"/>
                <w:sz w:val="18"/>
              </w:rPr>
              <w:t>Założenie: układy MEMS</w:t>
            </w:r>
          </w:p>
        </w:tc>
      </w:tr>
      <w:tr>
        <w:tc>
          <w:tcPr>
            <w:tcW w:type="dxa" w:w="3628"/>
          </w:tcPr>
          <w:p>
            <w:r/>
            <w:r>
              <w:rPr>
                <w:b w:val="0"/>
                <w:sz w:val="18"/>
              </w:rPr>
              <w:t>Moduł LTE/GNSS z antenami</w:t>
            </w:r>
          </w:p>
        </w:tc>
        <w:tc>
          <w:tcPr>
            <w:tcW w:type="dxa" w:w="1134"/>
          </w:tcPr>
          <w:p>
            <w:r/>
            <w:r>
              <w:rPr>
                <w:b w:val="0"/>
                <w:sz w:val="18"/>
              </w:rPr>
              <w:t>340</w:t>
            </w:r>
          </w:p>
        </w:tc>
        <w:tc>
          <w:tcPr>
            <w:tcW w:type="dxa" w:w="4989"/>
          </w:tcPr>
          <w:p>
            <w:r/>
            <w:r>
              <w:rPr>
                <w:b w:val="0"/>
                <w:sz w:val="18"/>
              </w:rPr>
              <w:t>Założenie: moduł zamiast routera (1 174 do 1 333 zł)</w:t>
            </w:r>
          </w:p>
        </w:tc>
      </w:tr>
      <w:tr>
        <w:tc>
          <w:tcPr>
            <w:tcW w:type="dxa" w:w="3628"/>
          </w:tcPr>
          <w:p>
            <w:r/>
            <w:r>
              <w:rPr>
                <w:b w:val="0"/>
                <w:sz w:val="18"/>
              </w:rPr>
              <w:t>Dysk NVMe 256 GB klasy przemysłowej</w:t>
            </w:r>
          </w:p>
        </w:tc>
        <w:tc>
          <w:tcPr>
            <w:tcW w:type="dxa" w:w="1134"/>
          </w:tcPr>
          <w:p>
            <w:r/>
            <w:r>
              <w:rPr>
                <w:b w:val="0"/>
                <w:sz w:val="18"/>
              </w:rPr>
              <w:t>260</w:t>
            </w:r>
          </w:p>
        </w:tc>
        <w:tc>
          <w:tcPr>
            <w:tcW w:type="dxa" w:w="4989"/>
          </w:tcPr>
          <w:p>
            <w:r/>
            <w:r>
              <w:rPr>
                <w:b w:val="0"/>
                <w:sz w:val="18"/>
              </w:rPr>
              <w:t>Założenie: mniejsza pojemność niż w torze badawczym (1 TB)</w:t>
            </w:r>
          </w:p>
        </w:tc>
      </w:tr>
      <w:tr>
        <w:tc>
          <w:tcPr>
            <w:tcW w:type="dxa" w:w="3628"/>
          </w:tcPr>
          <w:p>
            <w:r/>
            <w:r>
              <w:rPr>
                <w:b w:val="0"/>
                <w:sz w:val="18"/>
              </w:rPr>
              <w:t>Obudowa IP66, okablowanie, zasilanie 12/24 V DC-DC</w:t>
            </w:r>
          </w:p>
        </w:tc>
        <w:tc>
          <w:tcPr>
            <w:tcW w:type="dxa" w:w="1134"/>
          </w:tcPr>
          <w:p>
            <w:r/>
            <w:r>
              <w:rPr>
                <w:b w:val="0"/>
                <w:sz w:val="18"/>
              </w:rPr>
              <w:t>525</w:t>
            </w:r>
          </w:p>
        </w:tc>
        <w:tc>
          <w:tcPr>
            <w:tcW w:type="dxa" w:w="4989"/>
          </w:tcPr>
          <w:p>
            <w:r/>
            <w:r>
              <w:rPr>
                <w:b w:val="0"/>
                <w:sz w:val="18"/>
              </w:rPr>
              <w:t>Założenie: obudowa 190 do 411 zł (RS) plus zasilanie</w:t>
            </w:r>
          </w:p>
        </w:tc>
      </w:tr>
      <w:tr>
        <w:tc>
          <w:tcPr>
            <w:tcW w:type="dxa" w:w="3628"/>
          </w:tcPr>
          <w:p>
            <w:r/>
            <w:r>
              <w:rPr>
                <w:b w:val="0"/>
                <w:sz w:val="18"/>
              </w:rPr>
              <w:t>Razem</w:t>
            </w:r>
          </w:p>
        </w:tc>
        <w:tc>
          <w:tcPr>
            <w:tcW w:type="dxa" w:w="1134"/>
          </w:tcPr>
          <w:p>
            <w:r/>
            <w:r>
              <w:rPr>
                <w:b w:val="0"/>
                <w:sz w:val="18"/>
              </w:rPr>
              <w:t>4 875</w:t>
            </w:r>
          </w:p>
        </w:tc>
        <w:tc>
          <w:tcPr>
            <w:tcW w:type="dxa" w:w="4989"/>
          </w:tcPr>
          <w:p>
            <w:r/>
            <w:r>
              <w:rPr>
                <w:b w:val="0"/>
                <w:sz w:val="18"/>
              </w:rPr>
              <w:t>65% ceny 7 500 zł</w:t>
            </w:r>
          </w:p>
        </w:tc>
      </w:tr>
    </w:tbl>
    <w:p/>
    <w:p>
      <w:pPr>
        <w:spacing w:after="60"/>
      </w:pPr>
      <w:r>
        <w:rPr>
          <w:b w:val="0"/>
        </w:rPr>
        <w:t>Zestaw ma po jednym module kamery ToF, kamery EO i radaru, tak jak w arkuszu marży (BOM wersji podstawowej). Koszt na poziomie 4 875 zł wymaga komponentów klasy OEM, bo ceny detaliczne tych samych pozycji dają ok. 10,2 tys. zł (7,6 tys. zł przy rabacie 30%). To pozostaje głównym ryzykiem uwag K2-12 i K2-13. Komentarz traktuje 4 875 zł jako koszt docelowy osiągany w Z7 i podaje wrażliwość marży:</w:t>
      </w:r>
    </w:p>
    <w:tbl>
      <w:tblPr>
        <w:tblStyle w:val="TableGrid"/>
        <w:tblW w:type="auto" w:w="0"/>
        <w:tblLook w:firstColumn="1" w:firstRow="1" w:lastColumn="0" w:lastRow="0" w:noHBand="0" w:noVBand="1" w:val="04A0"/>
      </w:tblPr>
      <w:tblGrid>
        <w:gridCol w:w="4819"/>
        <w:gridCol w:w="4819"/>
      </w:tblGrid>
      <w:tr>
        <w:tc>
          <w:tcPr>
            <w:tcW w:type="dxa" w:w="5102"/>
          </w:tcPr>
          <w:p>
            <w:r/>
            <w:r>
              <w:rPr>
                <w:b/>
                <w:sz w:val="18"/>
              </w:rPr>
              <w:t>Koszt komponentów zestawu</w:t>
            </w:r>
          </w:p>
        </w:tc>
        <w:tc>
          <w:tcPr>
            <w:tcW w:type="dxa" w:w="4649"/>
          </w:tcPr>
          <w:p>
            <w:r/>
            <w:r>
              <w:rPr>
                <w:b/>
                <w:sz w:val="18"/>
              </w:rPr>
              <w:t>Marża brutto na zestawie przy cenie 7 500 zł</w:t>
            </w:r>
          </w:p>
        </w:tc>
      </w:tr>
      <w:tr>
        <w:tc>
          <w:tcPr>
            <w:tcW w:type="dxa" w:w="5102"/>
          </w:tcPr>
          <w:p>
            <w:r/>
            <w:r>
              <w:rPr>
                <w:b w:val="0"/>
                <w:sz w:val="18"/>
              </w:rPr>
              <w:t>4 875 zł (koszt docelowy)</w:t>
            </w:r>
          </w:p>
        </w:tc>
        <w:tc>
          <w:tcPr>
            <w:tcW w:type="dxa" w:w="4649"/>
          </w:tcPr>
          <w:p>
            <w:r/>
            <w:r>
              <w:rPr>
                <w:b w:val="0"/>
                <w:sz w:val="18"/>
              </w:rPr>
              <w:t>35,0%</w:t>
            </w:r>
          </w:p>
        </w:tc>
      </w:tr>
      <w:tr>
        <w:tc>
          <w:tcPr>
            <w:tcW w:type="dxa" w:w="5102"/>
          </w:tcPr>
          <w:p>
            <w:r/>
            <w:r>
              <w:rPr>
                <w:b w:val="0"/>
                <w:sz w:val="18"/>
              </w:rPr>
              <w:t>5 875 zł</w:t>
            </w:r>
          </w:p>
        </w:tc>
        <w:tc>
          <w:tcPr>
            <w:tcW w:type="dxa" w:w="4649"/>
          </w:tcPr>
          <w:p>
            <w:r/>
            <w:r>
              <w:rPr>
                <w:b w:val="0"/>
                <w:sz w:val="18"/>
              </w:rPr>
              <w:t>21,7%</w:t>
            </w:r>
          </w:p>
        </w:tc>
      </w:tr>
      <w:tr>
        <w:tc>
          <w:tcPr>
            <w:tcW w:type="dxa" w:w="5102"/>
          </w:tcPr>
          <w:p>
            <w:r/>
            <w:r>
              <w:rPr>
                <w:b w:val="0"/>
                <w:sz w:val="18"/>
              </w:rPr>
              <w:t>6 575 zł (maksimum dla 10% marży łącznej, arkusz 5)</w:t>
            </w:r>
          </w:p>
        </w:tc>
        <w:tc>
          <w:tcPr>
            <w:tcW w:type="dxa" w:w="4649"/>
          </w:tcPr>
          <w:p>
            <w:r/>
            <w:r>
              <w:rPr>
                <w:b w:val="0"/>
                <w:sz w:val="18"/>
              </w:rPr>
              <w:t>12,3%</w:t>
            </w:r>
          </w:p>
        </w:tc>
      </w:tr>
      <w:tr>
        <w:tc>
          <w:tcPr>
            <w:tcW w:type="dxa" w:w="5102"/>
          </w:tcPr>
          <w:p>
            <w:r/>
            <w:r>
              <w:rPr>
                <w:b w:val="0"/>
                <w:sz w:val="18"/>
              </w:rPr>
              <w:t>7 606 zł (ceny publiczne, rabat 30%)</w:t>
            </w:r>
          </w:p>
        </w:tc>
        <w:tc>
          <w:tcPr>
            <w:tcW w:type="dxa" w:w="4649"/>
          </w:tcPr>
          <w:p>
            <w:r/>
            <w:r>
              <w:rPr>
                <w:b w:val="0"/>
                <w:sz w:val="18"/>
              </w:rPr>
              <w:t>-1,4%</w:t>
            </w:r>
          </w:p>
        </w:tc>
      </w:tr>
    </w:tbl>
    <w:p/>
    <w:p>
      <w:pPr>
        <w:pStyle w:val="Heading2"/>
      </w:pPr>
      <w:r>
        <w:t>8.2 Zespół komercjalizacji (etaty)</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3628"/>
          </w:tcPr>
          <w:p>
            <w:r/>
            <w:r>
              <w:rPr>
                <w:b/>
                <w:sz w:val="18"/>
              </w:rPr>
              <w:t>Rok</w:t>
            </w:r>
          </w:p>
        </w:tc>
        <w:tc>
          <w:tcPr>
            <w:tcW w:type="dxa" w:w="1134"/>
          </w:tcPr>
          <w:p>
            <w:r/>
            <w:r>
              <w:rPr>
                <w:b/>
                <w:sz w:val="18"/>
              </w:rPr>
              <w:t>2030</w:t>
            </w:r>
          </w:p>
        </w:tc>
        <w:tc>
          <w:tcPr>
            <w:tcW w:type="dxa" w:w="1247"/>
          </w:tcPr>
          <w:p>
            <w:r/>
            <w:r>
              <w:rPr>
                <w:b/>
                <w:sz w:val="18"/>
              </w:rPr>
              <w:t>2031</w:t>
            </w:r>
          </w:p>
        </w:tc>
        <w:tc>
          <w:tcPr>
            <w:tcW w:type="dxa" w:w="1247"/>
          </w:tcPr>
          <w:p>
            <w:r/>
            <w:r>
              <w:rPr>
                <w:b/>
                <w:sz w:val="18"/>
              </w:rPr>
              <w:t>2032</w:t>
            </w:r>
          </w:p>
        </w:tc>
        <w:tc>
          <w:tcPr>
            <w:tcW w:type="dxa" w:w="1247"/>
          </w:tcPr>
          <w:p>
            <w:r/>
            <w:r>
              <w:rPr>
                <w:b/>
                <w:sz w:val="18"/>
              </w:rPr>
              <w:t>2033</w:t>
            </w:r>
          </w:p>
        </w:tc>
        <w:tc>
          <w:tcPr>
            <w:tcW w:type="dxa" w:w="1247"/>
          </w:tcPr>
          <w:p>
            <w:r/>
            <w:r>
              <w:rPr>
                <w:b/>
                <w:sz w:val="18"/>
              </w:rPr>
              <w:t>2034</w:t>
            </w:r>
          </w:p>
        </w:tc>
      </w:tr>
      <w:tr>
        <w:tc>
          <w:tcPr>
            <w:tcW w:type="dxa" w:w="3628"/>
          </w:tcPr>
          <w:p>
            <w:r/>
            <w:r>
              <w:rPr>
                <w:b w:val="0"/>
                <w:sz w:val="18"/>
              </w:rPr>
              <w:t>Doradcy klienta B2B (etaty)</w:t>
            </w:r>
          </w:p>
        </w:tc>
        <w:tc>
          <w:tcPr>
            <w:tcW w:type="dxa" w:w="1134"/>
          </w:tcPr>
          <w:p>
            <w:r/>
            <w:r>
              <w:rPr>
                <w:b w:val="0"/>
                <w:sz w:val="18"/>
              </w:rPr>
              <w:t>1,0</w:t>
            </w:r>
          </w:p>
        </w:tc>
        <w:tc>
          <w:tcPr>
            <w:tcW w:type="dxa" w:w="1247"/>
          </w:tcPr>
          <w:p>
            <w:r/>
            <w:r>
              <w:rPr>
                <w:b w:val="0"/>
                <w:sz w:val="18"/>
              </w:rPr>
              <w:t>1,0</w:t>
            </w:r>
          </w:p>
        </w:tc>
        <w:tc>
          <w:tcPr>
            <w:tcW w:type="dxa" w:w="1247"/>
          </w:tcPr>
          <w:p>
            <w:r/>
            <w:r>
              <w:rPr>
                <w:b w:val="0"/>
                <w:sz w:val="18"/>
              </w:rPr>
              <w:t>1,0</w:t>
            </w:r>
          </w:p>
        </w:tc>
        <w:tc>
          <w:tcPr>
            <w:tcW w:type="dxa" w:w="1247"/>
          </w:tcPr>
          <w:p>
            <w:r/>
            <w:r>
              <w:rPr>
                <w:b w:val="0"/>
                <w:sz w:val="18"/>
              </w:rPr>
              <w:t>2,0</w:t>
            </w:r>
          </w:p>
        </w:tc>
        <w:tc>
          <w:tcPr>
            <w:tcW w:type="dxa" w:w="1247"/>
          </w:tcPr>
          <w:p>
            <w:r/>
            <w:r>
              <w:rPr>
                <w:b w:val="0"/>
                <w:sz w:val="18"/>
              </w:rPr>
              <w:t>3,0</w:t>
            </w:r>
          </w:p>
        </w:tc>
      </w:tr>
      <w:tr>
        <w:tc>
          <w:tcPr>
            <w:tcW w:type="dxa" w:w="3628"/>
          </w:tcPr>
          <w:p>
            <w:r/>
            <w:r>
              <w:rPr>
                <w:b w:val="0"/>
                <w:sz w:val="18"/>
              </w:rPr>
              <w:t>Specjalista ds. wdrożeń i wsparcia (etaty)</w:t>
            </w:r>
          </w:p>
        </w:tc>
        <w:tc>
          <w:tcPr>
            <w:tcW w:type="dxa" w:w="1134"/>
          </w:tcPr>
          <w:p>
            <w:r/>
            <w:r>
              <w:rPr>
                <w:b w:val="0"/>
                <w:sz w:val="18"/>
              </w:rPr>
              <w:t>0,5</w:t>
            </w:r>
          </w:p>
        </w:tc>
        <w:tc>
          <w:tcPr>
            <w:tcW w:type="dxa" w:w="1247"/>
          </w:tcPr>
          <w:p>
            <w:r/>
            <w:r>
              <w:rPr>
                <w:b w:val="0"/>
                <w:sz w:val="18"/>
              </w:rPr>
              <w:t>1,0</w:t>
            </w:r>
          </w:p>
        </w:tc>
        <w:tc>
          <w:tcPr>
            <w:tcW w:type="dxa" w:w="1247"/>
          </w:tcPr>
          <w:p>
            <w:r/>
            <w:r>
              <w:rPr>
                <w:b w:val="0"/>
                <w:sz w:val="18"/>
              </w:rPr>
              <w:t>1,5</w:t>
            </w:r>
          </w:p>
        </w:tc>
        <w:tc>
          <w:tcPr>
            <w:tcW w:type="dxa" w:w="1247"/>
          </w:tcPr>
          <w:p>
            <w:r/>
            <w:r>
              <w:rPr>
                <w:b w:val="0"/>
                <w:sz w:val="18"/>
              </w:rPr>
              <w:t>1,5</w:t>
            </w:r>
          </w:p>
        </w:tc>
        <w:tc>
          <w:tcPr>
            <w:tcW w:type="dxa" w:w="1247"/>
          </w:tcPr>
          <w:p>
            <w:r/>
            <w:r>
              <w:rPr>
                <w:b w:val="0"/>
                <w:sz w:val="18"/>
              </w:rPr>
              <w:t>1,5</w:t>
            </w:r>
          </w:p>
        </w:tc>
      </w:tr>
      <w:tr>
        <w:tc>
          <w:tcPr>
            <w:tcW w:type="dxa" w:w="3628"/>
          </w:tcPr>
          <w:p>
            <w:r/>
            <w:r>
              <w:rPr>
                <w:b w:val="0"/>
                <w:sz w:val="18"/>
              </w:rPr>
              <w:t>Razem etatów</w:t>
            </w:r>
          </w:p>
        </w:tc>
        <w:tc>
          <w:tcPr>
            <w:tcW w:type="dxa" w:w="1134"/>
          </w:tcPr>
          <w:p>
            <w:r/>
            <w:r>
              <w:rPr>
                <w:b w:val="0"/>
                <w:sz w:val="18"/>
              </w:rPr>
              <w:t>1,5</w:t>
            </w:r>
          </w:p>
        </w:tc>
        <w:tc>
          <w:tcPr>
            <w:tcW w:type="dxa" w:w="1247"/>
          </w:tcPr>
          <w:p>
            <w:r/>
            <w:r>
              <w:rPr>
                <w:b w:val="0"/>
                <w:sz w:val="18"/>
              </w:rPr>
              <w:t>2,0</w:t>
            </w:r>
          </w:p>
        </w:tc>
        <w:tc>
          <w:tcPr>
            <w:tcW w:type="dxa" w:w="1247"/>
          </w:tcPr>
          <w:p>
            <w:r/>
            <w:r>
              <w:rPr>
                <w:b w:val="0"/>
                <w:sz w:val="18"/>
              </w:rPr>
              <w:t>2,5</w:t>
            </w:r>
          </w:p>
        </w:tc>
        <w:tc>
          <w:tcPr>
            <w:tcW w:type="dxa" w:w="1247"/>
          </w:tcPr>
          <w:p>
            <w:r/>
            <w:r>
              <w:rPr>
                <w:b w:val="0"/>
                <w:sz w:val="18"/>
              </w:rPr>
              <w:t>3,5</w:t>
            </w:r>
          </w:p>
        </w:tc>
        <w:tc>
          <w:tcPr>
            <w:tcW w:type="dxa" w:w="1247"/>
          </w:tcPr>
          <w:p>
            <w:r/>
            <w:r>
              <w:rPr>
                <w:b w:val="0"/>
                <w:sz w:val="18"/>
              </w:rPr>
              <w:t>4,5</w:t>
            </w:r>
          </w:p>
        </w:tc>
      </w:tr>
      <w:tr>
        <w:tc>
          <w:tcPr>
            <w:tcW w:type="dxa" w:w="3628"/>
          </w:tcPr>
          <w:p>
            <w:r/>
            <w:r>
              <w:rPr>
                <w:b w:val="0"/>
                <w:sz w:val="18"/>
              </w:rPr>
              <w:t>Koszt w modelu (tys. zł)</w:t>
            </w:r>
          </w:p>
        </w:tc>
        <w:tc>
          <w:tcPr>
            <w:tcW w:type="dxa" w:w="1134"/>
          </w:tcPr>
          <w:p>
            <w:r/>
            <w:r>
              <w:rPr>
                <w:b w:val="0"/>
                <w:sz w:val="18"/>
              </w:rPr>
              <w:t>345,6</w:t>
            </w:r>
          </w:p>
        </w:tc>
        <w:tc>
          <w:tcPr>
            <w:tcW w:type="dxa" w:w="1247"/>
          </w:tcPr>
          <w:p>
            <w:r/>
            <w:r>
              <w:rPr>
                <w:b w:val="0"/>
                <w:sz w:val="18"/>
              </w:rPr>
              <w:t>460,8</w:t>
            </w:r>
          </w:p>
        </w:tc>
        <w:tc>
          <w:tcPr>
            <w:tcW w:type="dxa" w:w="1247"/>
          </w:tcPr>
          <w:p>
            <w:r/>
            <w:r>
              <w:rPr>
                <w:b w:val="0"/>
                <w:sz w:val="18"/>
              </w:rPr>
              <w:t>576,0</w:t>
            </w:r>
          </w:p>
        </w:tc>
        <w:tc>
          <w:tcPr>
            <w:tcW w:type="dxa" w:w="1247"/>
          </w:tcPr>
          <w:p>
            <w:r/>
            <w:r>
              <w:rPr>
                <w:b w:val="0"/>
                <w:sz w:val="18"/>
              </w:rPr>
              <w:t>806,4</w:t>
            </w:r>
          </w:p>
        </w:tc>
        <w:tc>
          <w:tcPr>
            <w:tcW w:type="dxa" w:w="1247"/>
          </w:tcPr>
          <w:p>
            <w:r/>
            <w:r>
              <w:rPr>
                <w:b w:val="0"/>
                <w:sz w:val="18"/>
              </w:rPr>
              <w:t>1 036,8</w:t>
            </w:r>
          </w:p>
        </w:tc>
      </w:tr>
      <w:tr>
        <w:tc>
          <w:tcPr>
            <w:tcW w:type="dxa" w:w="3628"/>
          </w:tcPr>
          <w:p>
            <w:r/>
            <w:r>
              <w:rPr>
                <w:b w:val="0"/>
                <w:sz w:val="18"/>
              </w:rPr>
              <w:t>Pojazdów na jeden etat</w:t>
            </w:r>
          </w:p>
        </w:tc>
        <w:tc>
          <w:tcPr>
            <w:tcW w:type="dxa" w:w="1134"/>
          </w:tcPr>
          <w:p>
            <w:r/>
            <w:r>
              <w:rPr>
                <w:b w:val="0"/>
                <w:sz w:val="18"/>
              </w:rPr>
              <w:t>33</w:t>
            </w:r>
          </w:p>
        </w:tc>
        <w:tc>
          <w:tcPr>
            <w:tcW w:type="dxa" w:w="1247"/>
          </w:tcPr>
          <w:p>
            <w:r/>
            <w:r>
              <w:rPr>
                <w:b w:val="0"/>
                <w:sz w:val="18"/>
              </w:rPr>
              <w:t>62</w:t>
            </w:r>
          </w:p>
        </w:tc>
        <w:tc>
          <w:tcPr>
            <w:tcW w:type="dxa" w:w="1247"/>
          </w:tcPr>
          <w:p>
            <w:r/>
            <w:r>
              <w:rPr>
                <w:b w:val="0"/>
                <w:sz w:val="18"/>
              </w:rPr>
              <w:t>100</w:t>
            </w:r>
          </w:p>
        </w:tc>
        <w:tc>
          <w:tcPr>
            <w:tcW w:type="dxa" w:w="1247"/>
          </w:tcPr>
          <w:p>
            <w:r/>
            <w:r>
              <w:rPr>
                <w:b w:val="0"/>
                <w:sz w:val="18"/>
              </w:rPr>
              <w:t>143</w:t>
            </w:r>
          </w:p>
        </w:tc>
        <w:tc>
          <w:tcPr>
            <w:tcW w:type="dxa" w:w="1247"/>
          </w:tcPr>
          <w:p>
            <w:r/>
            <w:r>
              <w:rPr>
                <w:b w:val="0"/>
                <w:sz w:val="18"/>
              </w:rPr>
              <w:t>222</w:t>
            </w:r>
          </w:p>
        </w:tc>
      </w:tr>
    </w:tbl>
    <w:p/>
    <w:p>
      <w:pPr>
        <w:spacing w:after="60"/>
      </w:pPr>
      <w:r>
        <w:rPr>
          <w:b w:val="0"/>
        </w:rPr>
        <w:t>Koszt etatu 19,2 tys. zł miesięcznie (230,4 tys. zł rocznie) daje dokładnie te cztery liczby etatów, więc kwoty z modelu nie wymagają zmiany. To ok. 15,9 tys. zł brutto z kosztami pracodawcy 20,5%. Hays Salary Guide 2026 podaje najczęściej oferowane wynagrodzenie 13 000 zł brutto dla doradcy klienta MŚP i 19 000 zł dla key account managera B2B, więc kwota mieści się w widełkach. Skład zespołu i etaty to moja propozycja, którą musisz zatwierdzić.</w:t>
      </w:r>
    </w:p>
    <w:p>
      <w:pPr>
        <w:pStyle w:val="Heading1"/>
      </w:pPr>
      <w:r>
        <w:t>9. Komentarze do arkuszy modelu finansowego (wersja szczegółowa do wklejenia)</w:t>
      </w:r>
    </w:p>
    <w:p>
      <w:pPr>
        <w:spacing w:after="60"/>
      </w:pPr>
      <w:r>
        <w:rPr>
          <w:b w:val="0"/>
        </w:rPr>
        <w:t>Instrukcja Modelu Finansowego (pkt 16 i opisy arkuszy) wymaga w polu Komentarz (10 000 znaków) szczegółowego opisu założeń w każdym arkuszu, w tym wyjaśnienia wyników historycznych, pozycji odbiegających od przeciętnych, strat na sprzedaży i różnic między prognozą a historią. Ekspert uznał obecne komentarze za zbyt ogólne, więc poniżej jest nowy tekst dla każdego z 11 arkuszy, które mają pole Komentarz. Każdy tekst zastępuje obecny komentarz w komórce podanej przy nazwie arkusza i mieści się w limicie 10 000 znaków (liczba znaków jest przy każdym polu). Liczby pochodzą z modelu po przeliczeniu (wersja z 05.10.2026 r.), z bilansu i rachunku zysków i strat na 30.06.2026 r., z informacji księgowości z 05.10.2026 r. i z budżetu wniosku w wersji C. Żółte fragmenty to dane, które może podać tylko właścicielka. Teksty z tej części zastępują komentarze opisane w części 4.</w:t>
      </w:r>
    </w:p>
    <w:p>
      <w:pPr>
        <w:pStyle w:val="Heading2"/>
      </w:pPr>
      <w:r>
        <w:t>9.1 Arkusz Założenia (komórka B79)</w:t>
      </w:r>
    </w:p>
    <w:p>
      <w:pPr>
        <w:spacing w:after="60"/>
      </w:pPr>
      <w:r>
        <w:rPr>
          <w:b w:val="0"/>
        </w:rPr>
        <w:t>Co się zmienia względem obecnego komentarza: Poprawiłam czas trwania projektu: obecny komentarz podawał 18 miesięcy, a okres od listopada 2026 r. do kwietnia 2029 r. to 30 miesięcy (18 miesięcy badań przemysłowych i 12 miesięcy prac rozwojowych, co zgadza się z liczbą miesięcy zatrudnienia w arkuszu Koszty operacyjne). Dodałam wyjaśnienie rotacji projektu względem działalności dotychczasowej, ceny stałe, kwoty netto i brak stawek amortyzacji.</w:t>
      </w:r>
    </w:p>
    <w:p>
      <w:pPr>
        <w:keepNext/>
        <w:spacing w:before="160" w:after="40"/>
      </w:pPr>
      <w:r>
        <w:rPr>
          <w:b/>
          <w:sz w:val="20"/>
        </w:rPr>
        <w:t>Komentarz do wklejenia, arkusz Założenia</w:t>
      </w:r>
      <w:r>
        <w:rPr>
          <w:color w:val="666666"/>
          <w:sz w:val="17"/>
        </w:rPr>
        <w:t xml:space="preserve"> [2899 znaków]</w:t>
      </w:r>
    </w:p>
    <w:p>
      <w:pPr>
        <w:spacing w:after="60"/>
      </w:pPr>
      <w:r>
        <w:rPr>
          <w:b w:val="0"/>
        </w:rPr>
        <w:t>Projekt zostanie zrealizowany od listopada 2026 r. do kwietnia 2029 r., czyli w ciągu 30 miesięcy. Pierwsze 18 miesięcy (listopad 2026 r. - kwiecień 2028 r.) obejmą badania przemysłowe, a kolejne 12 miesięcy (maj 2028 r. - kwiecień 2029 r.) prace rozwojowe, co odpowiada liczbie miesięcy zatrudnienia zespołu w arkuszu Koszty operacyjne. Prace rozwojowe kończą się w kwietniu 2029 r., dlatego od tego miesiąca model aktywuje ich koszty w wartościach niematerialnych i prawnych.</w:t>
      </w:r>
    </w:p>
    <w:p>
      <w:pPr>
        <w:spacing w:after="60"/>
      </w:pPr>
      <w:r>
        <w:rPr>
          <w:b w:val="0"/>
        </w:rPr>
        <w:t>Prognozę sporządzono na lata 2026-2039, czyli na 10 lat po zakończeniu realizacji projektu. Okres ten nie przekracza limitu z Instrukcji i obejmuje rok osiągnięcia opłacalności (2034, piąty rok po zakończeniu projektu), co pokazano w arkuszu Opłacalność. Stopę dyskonta przyjęto na poziomie 4% zgodnie z Instrukcją.</w:t>
      </w:r>
    </w:p>
    <w:p>
      <w:pPr>
        <w:spacing w:after="60"/>
      </w:pPr>
      <w:r>
        <w:rPr>
          <w:b w:val="0"/>
        </w:rPr>
        <w:t>Rok obrotowy spółki trwa 12 miesięcy i jest równy kalendarzowemu. Okresem bieżącym jest pierwsze półrocze 2026 r., a ostatnim sporządzonym sprawozdaniem bilans i rachunek zysków i strat na 30.06.2026 r. (komórka C14). Spółka jest czynnym podatnikiem VAT, więc wszystkie kwoty w modelu podano w wartościach netto i w tysiącach złotych. Prognozę sporządzono w cenach stałych, czyli bez inflacji w przychodach i kosztach, zgodnie z Instrukcją.</w:t>
      </w:r>
    </w:p>
    <w:p>
      <w:pPr>
        <w:spacing w:after="60"/>
      </w:pPr>
      <w:r>
        <w:rPr>
          <w:b w:val="0"/>
        </w:rPr>
        <w:t>Stopę podatku dochodowego przyjęto na poziomie 19% we wszystkich latach. Przychody spółki w 2025 r. wyniosły 14,25 mln zł, czyli więcej niż limit 2 mln EUR dla stawki 9% stosowanej przez małych podatników, a stawkę 19% potwierdziła księgowość spółki w informacji z 05.10.2026 r.</w:t>
      </w:r>
    </w:p>
    <w:p>
      <w:pPr>
        <w:spacing w:after="60"/>
      </w:pPr>
      <w:r>
        <w:rPr>
          <w:b w:val="0"/>
        </w:rPr>
        <w:t>Dla działalności projektowej przyjęto rotację należności 45 dni, zobowiązań 30 dni i zapasów 30 dni. Zapasy dotyczą wyłącznie komponentów zestawu retrofit, które spółka będzie kupować partiami przed montażem u klienta, więc pojawią się dopiero od uruchomienia sprzedaży w 2030 r. Termin zobowiązań jest taki sam jak obecnie, bo księgowość potwierdziła 30-dniowe terminy płatności wobec dostawców. Rotację należności ustalono na 45 dni, czyli o 15 dni więcej niż obecny 30-dniowy termin płatności i o 8 dni więcej niż rzeczywista rotacja 37 dni w pierwszym półroczu 2026 r. To założenie jest ostrożne, bo nowi klienci, czyli operatorzy transportowi, mogą płacić później niż dotychczasowy odbiorca, a dłuższy termin zwiększa zapotrzebowanie projektu na kapitał pracujący. Rotacje dla dotychczasowej działalności (37 dni należności i 29 dni zobowiązań, bez zapasów) opisano w arkuszu Kapitał pracujący.</w:t>
      </w:r>
    </w:p>
    <w:p>
      <w:pPr>
        <w:spacing w:after="60"/>
      </w:pPr>
      <w:r>
        <w:rPr>
          <w:b w:val="0"/>
        </w:rPr>
        <w:t>Bilans na 30.06.2026 r. nie wykazuje środków trwałych, wartości niematerialnych ani kredytów i pożyczek, dlatego dla działalności dotychczasowej nie wpisano stawek amortyzacji ani oprocentowania. Nie założono też przychodów z oprocentowania środków pieniężnych i depozytów, co jest ostrożne wobec rosnących sald środków pieniężnych w prognozie. Stawki amortyzacji składników projektu, czyli kosztów prac rozwojowych (20% rocznie) i aparatury badawczej, wpisano w arkuszu Środki trwałe.</w:t>
      </w:r>
    </w:p>
    <w:p>
      <w:pPr>
        <w:pStyle w:val="Heading2"/>
      </w:pPr>
      <w:r>
        <w:t>9.2 Arkusz Sprawozdania finansowe (komórka B203)</w:t>
      </w:r>
    </w:p>
    <w:p>
      <w:pPr>
        <w:spacing w:after="60"/>
      </w:pPr>
      <w:r>
        <w:rPr>
          <w:b w:val="0"/>
        </w:rPr>
        <w:t>Co się zmienia względem obecnego komentarza: Dodałam wyjaśnienie straty z 2023 r. (Instrukcja wymaga opisu każdej straty na sprzedaży), przejście od bilansu 2025 r. do 30.06.2026 r. oraz uzasadnienie prognozy jako dwukrotności półrocza.</w:t>
      </w:r>
    </w:p>
    <w:p>
      <w:pPr>
        <w:keepNext/>
        <w:spacing w:before="160" w:after="40"/>
      </w:pPr>
      <w:r>
        <w:rPr>
          <w:b/>
          <w:sz w:val="20"/>
        </w:rPr>
        <w:t>Komentarz do wklejenia, arkusz Sprawozdania finansowe</w:t>
      </w:r>
      <w:r>
        <w:rPr>
          <w:color w:val="666666"/>
          <w:sz w:val="17"/>
        </w:rPr>
        <w:t xml:space="preserve"> [3460 znaków]</w:t>
      </w:r>
    </w:p>
    <w:p>
      <w:pPr>
        <w:spacing w:after="60"/>
      </w:pPr>
      <w:r>
        <w:rPr>
          <w:b w:val="0"/>
        </w:rPr>
        <w:t>Dane historyczne pochodzą z rocznych sprawozdań finansowych spółki za lata 2023-2025 oraz z bilansu i rachunku zysków i strat sporządzonych na 30.06.2026 r. i są podane w tysiącach złotych. Przychody ze sprzedaży wyniosły 1 167 tys. zł w 2023 r., 777 tys. zł w 2024 r., 14 254 tys. zł w 2025 r. i 9 763 tys. zł w pierwszym półroczu 2026 r. Skala działalności w latach 2023 i 2024 była niewielka, a w 2025 r. przychody wzrosły ponad osiemnastokrotnie, przy czym 95% sprzedaży 2025 r. przypadało na jednego odbiorcę, Amazon (informacja księgowości z 05.10.2026 r.).</w:t>
      </w:r>
    </w:p>
    <w:p>
      <w:pPr>
        <w:spacing w:after="60"/>
      </w:pPr>
      <w:r>
        <w:rPr>
          <w:b w:val="0"/>
        </w:rPr>
        <w:t>Strata w 2023 r. wynikała z kosztów wyższych niż przychody. Koszty działalności operacyjnej wyniosły 1 187 tys. zł wobec przychodów 1 167 tys. zł, co dało stratę na sprzedaży 20 tys. zł, a po pozostałych kosztach operacyjnych (17 tys. zł) stratę netto 37 tys. zł. Największe pozycje kosztowe to pozostałe koszty rodzajowe (561 tys. zł), zużycie materiałów i energii (356 tys. zł) oraz usługi obce (270 tys. zł). W 2024 r. koszty spadły do 716 tys. zł, spółka wypracowała zysk ze sprzedaży 61 tys. zł i zysk netto 42 tys. zł, a w 2025 r. zysk netto wyniósł 41 tys. zł.</w:t>
      </w:r>
    </w:p>
    <w:p>
      <w:pPr>
        <w:spacing w:after="60"/>
      </w:pPr>
      <w:r>
        <w:rPr>
          <w:b w:val="0"/>
        </w:rPr>
        <w:t>Spółka działa w modelu asset-light, czyli nie posiada własnej floty, więc większość przychodu przechodzi w koszty usług obcych. W 2025 r. usługi obce wyniosły 14 101 tys. zł, czyli 99% kosztów operacyjnych (14 227 tys. zł), a w pierwszym półroczu 2026 r. 8 885 tys. zł, czyli 97% kosztów operacyjnych (9 145 tys. zł). Dlatego zysk ze sprzedaży jest niski względem obrotu: 27 tys. zł w 2025 r. i 618 tys. zł w pierwszym półroczu 2026 r. Zysk netto za pierwsze półrocze 2026 r. wynosi 501 tys. zł, czyli 5,1% przychodu, i jest wyższy niż za cały rok 2025.</w:t>
      </w:r>
    </w:p>
    <w:p>
      <w:pPr>
        <w:spacing w:after="60"/>
      </w:pPr>
      <w:r>
        <w:rPr>
          <w:b w:val="0"/>
        </w:rPr>
        <w:t>Suma bilansowa spadła z 7 630 tys. zł na koniec 2025 r. do 2 202 tys. zł na 30.06.2026 r. Zobowiązania z tytułu dostaw i usług zmniejszyły się z 7 513 do 1 444 tys. zł, a należności z 4 855 do 2 000 tys. zł (3 071 tys. zł na 31.03.2026 r.). Środki pieniężne spadły z 2 768 do 193 tys. zł, ponieważ spółka uregulowała zobowiązania z wcześniejszego okresu, w tym część płatności przeterminowanych, a wpływy z należności i zysk półrocza pokryły tylko część tej spłaty. Kapitał własny wzrósł z 92 do 593 tys. zł dzięki zyskowi półrocza (501 tys. zł), a kapitał podstawowy wynosi 5 tys. zł. Według księgowości na 30.06.2026 r. wszystkie należności i zobowiązania z tytułu dostaw i usług mieściły się w terminie płatności, a spółka nie miała sald przeterminowanych, zaliczek ani przedpłat.</w:t>
      </w:r>
    </w:p>
    <w:p>
      <w:pPr>
        <w:spacing w:after="60"/>
      </w:pPr>
      <w:r>
        <w:rPr>
          <w:b w:val="0"/>
        </w:rPr>
        <w:t>Od 02.06.2025 r. jedynym wspólnikiem i prezesem zarządu spółki jest Wojciech Chrzanowski (wpis w KRS). W 2025 r. 95% sprzedaży przypadało na Amazon i 5% na Nara Motors sp. z o.o., a w pierwszym półroczu 2026 r. 100% sprzedaży przypadało na Amazon (informacja księgowości z 05.10.2026 r.). Około 95% zakupów usług, czyli usług transportowych, pochodzi od Natanek Logistics, podmiotu powiązanego z przyszłym inwestorem Zbigniewem Natankiem, co daje około 13,4 mln zł w 2025 r. i około 8,4 mln zł w pierwszym półroczu 2026 r. Pozostałe około 5% to usługi spedycyjno-logistyczne i doradcze, w tym prawne, oraz oprogramowanie do zarządzania flotą od kilku dostawców.</w:t>
      </w:r>
    </w:p>
    <w:p>
      <w:pPr>
        <w:spacing w:after="60"/>
      </w:pPr>
      <w:r>
        <w:rPr>
          <w:b w:val="0"/>
        </w:rPr>
        <w:t>Prognozę dotychczasowej działalności oparto na dwukrotności wyniku pierwszego półrocza 2026 r. (przychody 19 527 tys. zł rocznie, koszty 18 289 tys. zł rocznie), ponieważ księgowość nie wskazała sezonowości sprzedaży. Przychody kwartalne w 2026 r. były zbliżone: około 5,05 mln zł w I kwartale i około 4,71 mln zł w II kwartale.</w:t>
      </w:r>
    </w:p>
    <w:p>
      <w:pPr>
        <w:pStyle w:val="Heading2"/>
      </w:pPr>
      <w:r>
        <w:t>9.3 Arkusz Przychody (komórka B255)</w:t>
      </w:r>
    </w:p>
    <w:p>
      <w:pPr>
        <w:spacing w:after="60"/>
      </w:pPr>
      <w:r>
        <w:rPr>
          <w:b w:val="0"/>
        </w:rPr>
        <w:t>Co się zmienia względem obecnego komentarza: Usunęłam zdanie o „optymalizacji podatkowej” jako przyczynie niskich wyników z lat 2023-2024, bo nie mamy na nie potwierdzenia. Usunęłam benchmark odpływu klientów 5-12%, bo nie ma źródła (odpływ 8% jest założeniem własnym). Rynek 200 tys. naczep i 12 tys. spedytorów mają teraz źródła z pkt 1.3 wniosku (Eurostat, PZPM, Frost &amp; Sullivan, GUS) i wpisałam je do komentarza. Poprawiłam też datę eFTI: organy państw członkowskich mają przyjmować dokumenty od 9 lipca 2027 r., a nie od 21.08.2025 r. (stara data była w moim wcześniejszym tekście). Dodałam wyliczenie liczby pojazdów i sprzedaży zestawów oraz wyjaśnienie, że prognoza jest o 37% wyższa niż przychód 2025 r., bo przenosi na rok poziom obrotów z 2026 r.</w:t>
      </w:r>
    </w:p>
    <w:p>
      <w:pPr>
        <w:keepNext/>
        <w:spacing w:before="160" w:after="40"/>
      </w:pPr>
      <w:r>
        <w:rPr>
          <w:b/>
          <w:sz w:val="20"/>
        </w:rPr>
        <w:t>Komentarz do wklejenia, arkusz Przychody</w:t>
      </w:r>
      <w:r>
        <w:rPr>
          <w:color w:val="666666"/>
          <w:sz w:val="17"/>
        </w:rPr>
        <w:t xml:space="preserve"> [5026 znaków]</w:t>
      </w:r>
    </w:p>
    <w:p>
      <w:pPr>
        <w:spacing w:after="60"/>
      </w:pPr>
      <w:r>
        <w:rPr>
          <w:b w:val="0"/>
        </w:rPr>
        <w:t>Prognozę przychodów dotychczasowej działalności oparto na dwukrotności wyniku pierwszego półrocza 2026 r., czyli 2 x 9 763 418 zł = 19 526 835 zł rocznie, utrzymanej na stałym poziomie do 2039 r. bez zakładania wzrostu. Przychody wykazano w jednej pozycji zbiorczej (usługi spedycyjno-transportowe), co dopuszcza Instrukcja, a ilość równa 1 oznacza, że cena jednostkowa jest równa wartości rocznej. Prognoza jest o 37% wyższa niż przychód 2025 r. (14 254 tys. zł), ponieważ przenosi na cały rok poziom obrotów z 2026 r., a nie dlatego, że założono dalszy wzrost. Obroty z 2026 r. są stabilne w kolejnych kwartałach (około 5,05 mln zł w I kwartale i około 4,71 mln zł w II kwartale), a prognoza jest o 3,3% niższa niż wynik mnożenia I kwartału przez cztery (20 204 tys. zł). Przychody z lat 2023 i 2024 (1 167 i 777 tys. zł) odpowiadają znacznie mniejszej skali działalności, opisanej w arkuszu Sprawozdania finansowe.</w:t>
      </w:r>
    </w:p>
    <w:p>
      <w:pPr>
        <w:spacing w:after="60"/>
      </w:pPr>
      <w:r>
        <w:rPr>
          <w:b w:val="0"/>
        </w:rPr>
        <w:t>W pierwszym półroczu 2026 r. cała sprzedaż dotychczasowej działalności przypadała na jednego odbiorcę, Amazon, a prognoza zakłada utrzymanie tej współpracy na obecnym poziomie. Warunki umowy, w tym okres obowiązywania i wartość, stanowią tajemnicę przedsiębiorstwa Everest11 i nie są ujawniane we wniosku. Prognozy dotychczasowej działalności nie wykorzystano do uzasadnienia opłacalności projektu, bo opłacalność liczono wyłącznie z przychodów i kosztów projektu (arkusz Opłacalność).</w:t>
      </w:r>
    </w:p>
    <w:p>
      <w:pPr>
        <w:spacing w:after="60"/>
      </w:pPr>
      <w:r>
        <w:rPr>
          <w:b w:val="0"/>
        </w:rPr>
        <w:t>Przychody projektu pochodzą z trzech źródeł: subskrypcji SaaS w cenie 349 zł za pojazd miesięcznie, zestawu retrofit w cenie 7 500 zł za naczepę i licencji API w cenie 4 800 zł za umowę rocznie. Uzasadnienie cen znajduje się w części wniosku o rynku i cenach (pkt 1.3). Sprzedaż rozpocznie się w 2030 r., po zakończeniu prac rozwojowych w kwietniu 2029 r.</w:t>
      </w:r>
    </w:p>
    <w:p>
      <w:pPr>
        <w:spacing w:after="60"/>
      </w:pPr>
      <w:r>
        <w:rPr>
          <w:b w:val="0"/>
        </w:rPr>
        <w:t>Liczbę pojazdów przyjęto jako stan na koniec roku: 50 w 2030 r., 125 w 2031 r., 250 w 2032 r., 500 w 2033 r. i 1 000 w 2034 r., co odpowiada 0,5% rynku dostępnego, który oszacowano na około 200 tys. naczep w Polsce. Podstawą jest 544,97 tys. naczep zarejestrowanych w Polsce w 2023 r. (Eurostat, road_eqs_semit), z czego około 72% to nadwozia nadające się do montażu zestawu (PZPM, 2025), a około 86% naczep nie ma telematyki producenta (Frost &amp; Sullivan, 2019), co daje około 337 tys. naczep, a przyjęto ostrożnie 200 tys. (pkt 1.3 wniosku). Subskrypcję liczono od średniej liczby pojazdów w roku, dlatego w arkuszu widać 300, 1 032, 2 196, 4 380 i 8 760 pojazdo-miesięcy, czyli średnio 25, 86, 183, 365 i 730 pojazdów. Sprzedaż zestawów retrofit (50, 79, 135, 270 i 540 sztuk) obejmuje nowe pojazdy oraz wymianę zestawów po rezygnacjach przy założonym odpływie klientów 8% rocznie (założenie własne). Liczba umów API rośnie z 2 w 2030 r. do 50 w 2034 r. Od 2035 r. model utrzymuje wolumeny z 2034 r. bez dalszego wzrostu, a ceny pozostają stałe.</w:t>
      </w:r>
    </w:p>
    <w:p>
      <w:pPr>
        <w:spacing w:after="60"/>
      </w:pPr>
      <w:r>
        <w:rPr>
          <w:b w:val="0"/>
        </w:rPr>
        <w:t>Pierwszy próg, 50 pojazdów w 2030 r., pokrywają listy intencyjne trzech operatorów transportowych na łącznie 50 naczep (20, 20 i 10). Jednym z nich jest Natanek Logistics (20 naczep), podmiot powiązany z przyszłym inwestorem, a pozostali dwaj operatorzy, czyli 30 naczep, nie są z nim powiązani. W marcu-maju 2026 r. spółka przeprowadziła 15 rozmów z potencjalnymi klientami, a dalszy wzrost zakłada sprzedaż bezpośrednią do operatorów transportowych. Od 2031 r. dochodzi drugi segment, czyli polscy spedytorzy (około 12 tys. firm wg GUS, Działalność przedsiębiorstw transportowych 2023), dla których CargoDT ma być narzędziem zgodności wymaganym przez zleceniodawców.</w:t>
      </w:r>
    </w:p>
    <w:p>
      <w:pPr>
        <w:spacing w:after="60"/>
      </w:pPr>
      <w:r>
        <w:rPr>
          <w:b w:val="0"/>
        </w:rPr>
        <w:t>Popyt wzmacniają trzy czynniki niezależne od działań sprzedażowych spółki. Pierwszym jest rozporządzenie eFTI (UE 2020/1056), na podstawie którego organy państw członkowskich będą musiały przyjmować dokumenty elektroniczne od 9 lipca 2027 r. (dla przewoźników stosowanie jest dobrowolne). Drugim jest rosnąca presja ubezpieczycieli cargo na dokumentowanie stanu ładunku (wzrost udokumentowanych strat o 438% r/r w 2023 r.), a trzecim konsolidacja rynku TSL po spadku rejestracji naczep o 31,8% w 2024 r., która premiuje operatorów inwestujących w cyfryzację. Źródła tych danych podano w pkt 1.3 wniosku.</w:t>
      </w:r>
    </w:p>
    <w:p>
      <w:pPr>
        <w:spacing w:after="60"/>
      </w:pPr>
      <w:r>
        <w:rPr>
          <w:b w:val="0"/>
        </w:rPr>
        <w:t>Wartość dla klienta wynika z limitu odpowiedzialności przewoźnika w konwencji CMR: jedno roszczenie mieści się w przedziale 8 489-21 222 zł (art. 23, kurs SDR NBP 5,0954 z 04.09.2026 r.), co odpowiada abonamentowi SaaS za 24-61 miesięcy.</w:t>
      </w:r>
    </w:p>
    <w:p>
      <w:pPr>
        <w:spacing w:after="60"/>
      </w:pPr>
      <w:r>
        <w:rPr>
          <w:b w:val="0"/>
        </w:rPr>
        <w:t>Prognoza obejmuje wyłącznie rynek krajowy, a sprzedaż zagraniczna nie została założona, mimo że w projekcie zaplanowano promocję na rynkach CEE (zadanie Z10). CargoDT jest nową, komplementarną linią produktową i nie obniża dotychczasowej sprzedaży usług spedycyjnych. Produkt ma zastosowanie wyłącznie cywilne. W modelu nie ujęto sprzedaży ani zakupu wyników prac B+R między członkami konsorcjum. Pozostałe przychody operacyjne projektu (dotacje: 201, 1 361, 542, 191, po 155 w latach 2030-2033 i 50 tys. zł w 2034 r.) wynikają automatycznie z arkusza Rozliczenie dotacji i nie są przychodami ze sprzedaży. Jednostką subskrypcji są pojazdo-miesiące razy 0,349 tys. zł, a pozostałe wartości podano w tys. zł.</w:t>
      </w:r>
    </w:p>
    <w:p>
      <w:pPr>
        <w:pStyle w:val="Heading2"/>
      </w:pPr>
      <w:r>
        <w:t>9.4 Arkusz Koszty operacyjne (komórka B645)</w:t>
      </w:r>
    </w:p>
    <w:p>
      <w:pPr>
        <w:spacing w:after="60"/>
      </w:pPr>
      <w:r>
        <w:rPr>
          <w:b w:val="0"/>
        </w:rPr>
        <w:t>Co się zmienia względem obecnego komentarza: Dodałam strukturę kosztów dotychczasowej działalności, cztery grupy kosztów B+R z kwotami, trzy oferty na podwykonawstwo (z kwotami i datami), zasady aktywowania prac rozwojowych i koszty zmienne komercjalizacji. Fragment o zestawie retrofit (4 875 zł) i zespole komercjalizacji pozostaje taki jak w propozycji D53, która czeka na zatwierdzenie.</w:t>
      </w:r>
    </w:p>
    <w:p>
      <w:pPr>
        <w:keepNext/>
        <w:spacing w:before="160" w:after="40"/>
      </w:pPr>
      <w:r>
        <w:rPr>
          <w:b/>
          <w:sz w:val="20"/>
        </w:rPr>
        <w:t>Komentarz do wklejenia, arkusz Koszty operacyjne</w:t>
      </w:r>
      <w:r>
        <w:rPr>
          <w:color w:val="666666"/>
          <w:sz w:val="17"/>
        </w:rPr>
        <w:t xml:space="preserve"> [5455 znaków]</w:t>
      </w:r>
    </w:p>
    <w:p>
      <w:pPr>
        <w:spacing w:after="60"/>
      </w:pPr>
      <w:r>
        <w:rPr>
          <w:b w:val="0"/>
        </w:rPr>
        <w:t>Koszty dotychczasowej działalności przyjęto na poziomie dwukrotności pierwszego półrocza 2026 r. (2 x 9 144 948 zł = 18 289 895 zł rocznie), utrzymanym płasko bez wzrostu skali, co jest spójne z prognozą przychodów. Dominują usługi obce (17 769 tys. zł rocznie, 97% kosztów), czyli zakupy usług transportowych i spedycyjnych, a dalej wynagrodzenia (410 tys. zł), składki (85 tys. zł) oraz zużycie materiałów i energii (25 tys. zł). Zespół dotychczasowej działalności wykazano zbiorczo w jednej pozycji, co dopuszcza Instrukcja. Około 95% zakupów usług pochodzi od Natanek Logistics, a pozostałe od kilku dostawców usług spedycyjnych, doradczych i oprogramowania. Zysk ze sprzedaży wynosi 1 238 tys. zł rocznie (6,3% przychodu), tak jak w pierwszym półroczu 2026 r.</w:t>
      </w:r>
    </w:p>
    <w:p>
      <w:pPr>
        <w:spacing w:after="60"/>
      </w:pPr>
      <w:r>
        <w:rPr>
          <w:b w:val="0"/>
        </w:rPr>
        <w:t>Koszty projektu w fazie B+R obejmują cztery grupy zgodne z budżetem wniosku. Pierwszą są wynagrodzenia zespołu badawczego Lidera wraz ze składkami pracodawcy (200, 1 192, 1 211 i 407 tys. zł w latach 2026-2029, razem około 3 010 tys. zł) dla siedmiu stanowisk i trzech anotatorów. Wymiar zatrudnienia wynosi 0,75 etatu dla AI Lead i AI Senior Engineer, 0,25 dla Cybersecurity / AI Act Specialist, 1,0 dla IT Specialist, 0,5 dla IoT Specialist i specjalisty ds. logistyki TSL, 1,0 dla Backend/Full-Stack Developera oraz 3,0 dla anotatorów przez 10 miesięcy. Miesięczne wynagrodzenia brutto wynoszą od 6 tys. zł (anotator) do 23 tys. zł (AI Lead), a narzut pracodawcy 20,5%. Stawki oparto na raportach No Fluff Jobs Rynek pracy IT 2025/2026 i Hays Salary Guide 2026, a uzasadnienie każdej z nich zawiera pole Metoda szacowania odpowiedniej pozycji wniosku. Wynagrodzenia kierownika B+R, kierownika zarządzającego i zastępcy kierownika zarządzającego ujęto w kosztach pośrednich.</w:t>
      </w:r>
    </w:p>
    <w:p>
      <w:pPr>
        <w:spacing w:after="60"/>
      </w:pPr>
      <w:r>
        <w:rPr>
          <w:b w:val="0"/>
        </w:rPr>
        <w:t>Drugą grupą jest podwykonawstwo montażu i demontażu zestawów na trzech pojazdach floty testowej: 150 tys. zł w 2027 r. dla toru pomiarowego w zadaniu Z2 (600 godzin po 250 zł) i 70 tys. zł w 2028 r. dla zestawów prototypowych w zadaniu Z9 (280 godzin po 250 zł). Obie kwoty są średnią z trzech ofert: Cadway-Automotive (02.06.2026), RLE VESOFTX (08.06.2026) i BEISSBARTH EQUIPMENT (10.06.2026), czyli 172 500, 142 500 i 135 000 zł dla Z2 oraz 80 500, 66 500 i 63 000 zł dla Z9. Trzecią grupą są wydatki na internacjonalizację (33 tys. zł w 2028 r. i 54 tys. zł w 2029 r.): promocja na rynkach CEE (Z10) i zgłoszenie patentowe w EPO (Z11), dofinansowane w 50%. Czwartą grupą są koszty pośrednie w formie ryczałtu 25% (765 tys. zł w latach 2026-2029), liczonego od kosztów bezpośrednich bez podwykonawstwa zgodnie z Przewodnikiem kwalifikowalności i ujętego w pozycji pozostałe koszty rodzajowe.</w:t>
      </w:r>
    </w:p>
    <w:p>
      <w:pPr>
        <w:spacing w:after="60"/>
      </w:pPr>
      <w:r>
        <w:rPr>
          <w:b w:val="0"/>
        </w:rPr>
        <w:t>Koszty prac rozwojowych (wynagrodzenia, składki i podwykonawstwo Z9, razem 1 290 tys. zł) model aktywuje w wartościach niematerialnych po zakończeniu prac w kwietniu 2029 r., więc w rachunku zysków i strat 2028 r. i 2029 r. widać tylko część kosztów projektu. Poziomy dofinansowania wynoszą 80% dla badań przemysłowych, 60% dla prac rozwojowych i 50% dla internacjonalizacji.</w:t>
      </w:r>
    </w:p>
    <w:p>
      <w:pPr>
        <w:spacing w:after="60"/>
      </w:pPr>
      <w:r>
        <w:rPr>
          <w:b w:val="0"/>
        </w:rPr>
        <w:t>W fazie komercjalizacji projekt jest deficytowy w pierwszych dwóch latach (2030-2031), ponieważ koszty stałe (zespół komercjalizacji, amortyzacja skapitalizowanych prac) przewyższają jeszcze niewielki wolumen sprzedaży przy 50 pojazdach w 2030 r. Koszty operacyjne projektu wynoszą 886, 1 202, 1 690, 2 777 i 4 548 tys. zł w latach 2030-2034. Break-even operacyjny przypada na 2032 r., a marża netto rośnie do ok. 31% w 2034 r., ponieważ koszt krańcowy subskrypcji jest niski. Relacja kosztów sprzedaży i marketingu do przychodu spada z ok. 72% w 2030 r. do ok. 16% w 2034 r., bo pierwsze wdrożenia opierają się na trzech operatorach, którzy podpisali listy intencyjne na łącznie 50 naczep, a dalsza sprzedaż na kontakcie bezpośrednim, bez akwizycji masowej.</w:t>
      </w:r>
    </w:p>
    <w:p>
      <w:pPr>
        <w:spacing w:after="60"/>
      </w:pPr>
      <w:r>
        <w:rPr>
          <w:b w:val="0"/>
        </w:rPr>
        <w:t>Koszty zmienne przyjęto jako założenia kalkulacyjne spółki. Hosting i infrastruktura SaaS kosztują 50 zł za pojazd miesięcznie (438 tys. zł w 2034 r.), obsługa licencji API 10% jej ceny (480 zł za umowę), marketing 1,5% przychodów, a administracja i pozostałe koszty komercjalizacji 3% przychodów. Koszt komponentów zestawu retrofit wynosi 4 875 zł za zestaw, czyli 65% ceny 7 500 zł, jako koszt docelowy zestawu produkcyjnego z jednym modułem kamery ToF, kamery EO i radaru mmWave. Składają się na niego: moduł edge AI Jetson Orin Nano 8 GB 1 520 zł (cena producenta 399 USD przy zamówieniu od 1000 szt.), płyta nośna i integracja 450 zł, kamera ToF 850 zł, kamera EO 380 zł, radar mmWave 430 zł, IMU i czujniki środowiskowe 120 zł, moduł LTE/GNSS 340 zł, dysk NVMe 260 zł oraz obudowa IP66 z okablowaniem i zasilaniem 525 zł. Cena modułu edge AI pochodzi z cennika producenta, a pozostałe ceny to założenia dla modułów klasy OEM, które Everest11 potwierdzi ofertami w zadaniu Z7. Przy koszcie wyższym o 1 000 zł marża brutto na zestawie spada z 35% do 22%.</w:t>
      </w:r>
    </w:p>
    <w:p>
      <w:pPr>
        <w:spacing w:after="60"/>
      </w:pPr>
      <w:r>
        <w:rPr>
          <w:b w:val="0"/>
        </w:rPr>
        <w:t>Zespół komercjalizacji kosztuje 346 tys. zł w 2030 r., a następnie 461, 576, 806 i 1 037 tys. zł do 2034 r., co odpowiada 1,5; 2,0; 2,5; 3,5 i 4,5 etatu przy koszcie 19,2 tys. zł miesięcznie na etat (etaty lub współpraca B2B). Tworzą go doradcy klienta B2B (1,0 etatu w latach 2030-2032, 2,0 w 2033 r. i 3,0 w 2034 r.) oraz specjalista ds. wdrożeń (0,5 etatu w 2030 r., 1,0 w 2031 r. i 1,5 od 2032 r.). Stawka mieści się w widełkach doradcy klienta MŚP (ok. 13 000 zł brutto) i key account managera B2B (ok. 19 000 zł brutto) według Hays Salary Guide 2026. Liczba pojazdów na jeden etat rośnie z 33 w 2030 r. do 222 w 2034 r.</w:t>
      </w:r>
    </w:p>
    <w:p>
      <w:pPr>
        <w:pStyle w:val="Heading2"/>
      </w:pPr>
      <w:r>
        <w:t>9.5 Arkusz Środki trwałe (komórka B873)</w:t>
      </w:r>
    </w:p>
    <w:p>
      <w:pPr>
        <w:spacing w:after="60"/>
      </w:pPr>
      <w:r>
        <w:rPr>
          <w:b w:val="0"/>
        </w:rPr>
        <w:t>Co się zmienia względem obecnego komentarza: Obecny komentarz miał 568 znaków. Dodałam brak majątku w działalności dotychczasowej, rozkład amortyzacji prac rozwojowych w latach oraz wyjaśnienie, dlaczego aparatura jest kwalifikowalna jako wydatek w okresie projektu.</w:t>
      </w:r>
    </w:p>
    <w:p>
      <w:pPr>
        <w:keepNext/>
        <w:spacing w:before="160" w:after="40"/>
      </w:pPr>
      <w:r>
        <w:rPr>
          <w:b/>
          <w:sz w:val="20"/>
        </w:rPr>
        <w:t>Komentarz do wklejenia, arkusz Środki trwałe</w:t>
      </w:r>
      <w:r>
        <w:rPr>
          <w:color w:val="666666"/>
          <w:sz w:val="17"/>
        </w:rPr>
        <w:t xml:space="preserve"> [1750 znaków]</w:t>
      </w:r>
    </w:p>
    <w:p>
      <w:pPr>
        <w:spacing w:after="60"/>
      </w:pPr>
      <w:r>
        <w:rPr>
          <w:b w:val="0"/>
        </w:rPr>
        <w:t>Spółka nie ma środków trwałych ani wartości niematerialnych w działalności dotychczasowej (bilans na 30.06.2026 r. wykazuje w tych pozycjach zero), a model nie zakłada inwestycji w tej działalności, więc część dotycząca dotychczasowej działalności pozostaje pusta. Nie ma też posiadanych środków trwałych wykorzystywanych w projekcie, a flota testowa należy do partnera, Natanek Logistics, i nie stanowi majątku spółki.</w:t>
      </w:r>
    </w:p>
    <w:p>
      <w:pPr>
        <w:spacing w:after="60"/>
      </w:pPr>
      <w:r>
        <w:rPr>
          <w:b w:val="0"/>
        </w:rPr>
        <w:t>Koszty zakończonych prac rozwojowych (1 290 tys. zł, czyli wynagrodzenia i składki zespołu w fazie prac rozwojowych oraz podwykonawstwo Z9) są kapitalizowane po zakończeniu prac w kwietniu 2029 r. i amortyzowane liniowo w stawce 20% rocznie przez 5 lat, zgodnie z art. 33 ustawy o rachunkowości, który ogranicza okres odpisów kosztów prac rozwojowych do 5 lat. Amortyzacja wynosi 172 tys. zł w 2029 r. (8 miesięcy), po 258 tys. zł w latach 2030-2033 i 86 tys. zł w 2034 r. Dofinansowanie tej pozycji (60%, czyli 773 tys. zł) jest rozliczane równolegle do amortyzacji w arkuszu Rozliczenie dotacji.</w:t>
      </w:r>
    </w:p>
    <w:p>
      <w:pPr>
        <w:spacing w:after="60"/>
      </w:pPr>
      <w:r>
        <w:rPr>
          <w:b w:val="0"/>
        </w:rPr>
        <w:t>Aparatura badawcza o wartości 57,1 tys. zł zostanie zakupiona w styczniu 2027 r. i wykorzystana wyłącznie do prac B+R w projekcie, bez dalszego użytkowania po jego zakończeniu, dlatego jej pełna wartość stanowi wydatek kwalifikowalny w okresie realizacji projektu. W modelu ujęto ją jako zakup z dofinansowaniem 80% (46 tys. zł), co daje tę samą kwotę dofinansowania, jaką dałoby rozliczenie jej amortyzacji w okresie realizacji projektu. Amortyzacja stawką 100% rocznie wynosi 52 tys. zł w 2027 r. i 5 tys. zł w 2028 r., ponieważ arkusz liczy ją od miesiąca następującego po zakupie. Nakłady inwestycyjne projektu wynoszą łącznie 1 347 tys. zł (57 tys. zł aparatury i 1 290 tys. zł prac rozwojowych), a wszystkie są kwalifikowalne.</w:t>
      </w:r>
    </w:p>
    <w:p>
      <w:pPr>
        <w:pStyle w:val="Heading2"/>
      </w:pPr>
      <w:r>
        <w:t>9.6 Arkusz Rozliczenie dotacji (komórka B327)</w:t>
      </w:r>
    </w:p>
    <w:p>
      <w:pPr>
        <w:spacing w:after="60"/>
      </w:pPr>
      <w:r>
        <w:rPr>
          <w:b w:val="0"/>
        </w:rPr>
        <w:t>Co się zmienia względem obecnego komentarza: Dodałam rozbicie dofinansowania (46, 2 146 i 773 tys. zł), sposób ujęcia w rachunku wyników i różnicę między ujęciem księgowym a wpływami z harmonogramu.</w:t>
      </w:r>
    </w:p>
    <w:p>
      <w:pPr>
        <w:keepNext/>
        <w:spacing w:before="160" w:after="40"/>
      </w:pPr>
      <w:r>
        <w:rPr>
          <w:b/>
          <w:sz w:val="20"/>
        </w:rPr>
        <w:t>Komentarz do wklejenia, arkusz Rozliczenie dotacji</w:t>
      </w:r>
      <w:r>
        <w:rPr>
          <w:color w:val="666666"/>
          <w:sz w:val="17"/>
        </w:rPr>
        <w:t xml:space="preserve"> [1381 znaków]</w:t>
      </w:r>
    </w:p>
    <w:p>
      <w:pPr>
        <w:spacing w:after="60"/>
      </w:pPr>
      <w:r>
        <w:rPr>
          <w:b w:val="0"/>
        </w:rPr>
        <w:t>Spółka nie ma dotacji otrzymanych w latach poprzednich ani dotacji do rozliczenia w bilansie (rozliczenia międzyokresowe bierne wynoszą 0), więc tabele dotychczasowej działalności pozostają puste.</w:t>
      </w:r>
    </w:p>
    <w:p>
      <w:pPr>
        <w:spacing w:after="60"/>
      </w:pPr>
      <w:r>
        <w:rPr>
          <w:b w:val="0"/>
        </w:rPr>
        <w:t>Dla projektu arkusz rozlicza dofinansowanie w łącznej kwocie 2 965 tys. zł, czyli 2 964 296,11 zł według harmonogramu płatności po zaokrągleniu do tysiąca złotych zgodnie z Instrukcją. Składają się na nią dotacja do zakupu aparatury 46 tys. zł (80% z 57 tys. zł), dotacja do kosztów operacyjnych niebędących pracami rozwojowymi 2 146 tys. zł (201, 1 319, 538 i 88 tys. zł w latach 2026-2029) oraz dotacja do prac rozwojowych 773 tys. zł (60% z 1 290 tys. zł). Poziomy dofinansowania wynoszą 80% dla badań przemysłowych i aparatury, 60% dla prac rozwojowych i 50% dla internacjonalizacji, zgodnie z budżetem wniosku.</w:t>
      </w:r>
    </w:p>
    <w:p>
      <w:pPr>
        <w:spacing w:after="60"/>
      </w:pPr>
      <w:r>
        <w:rPr>
          <w:b w:val="0"/>
        </w:rPr>
        <w:t>Dotacja do kosztów operacyjnych jest ujmowana w pozostałych przychodach operacyjnych w roku poniesienia kosztów. Dotacja do prac rozwojowych jest ujmowana równolegle do amortyzacji skapitalizowanych kosztów, czyli 103 tys. zł w 2029 r., po 155 tys. zł w latach 2030-2033 i 50 tys. zł w 2034 r., więc rozliczenie kończy się w 2034 r. wraz z pięcioletnim okresem amortyzacji. Wpływy gotówkowe wynikają z harmonogramu w arkuszu Zaliczka-refundacja (siedem wniosków o płatność), a nie z momentu ujęcia dotacji w rachunku wyników, dlatego te dwa ujęcia różnią się w czasie.</w:t>
      </w:r>
    </w:p>
    <w:p>
      <w:pPr>
        <w:pStyle w:val="Heading2"/>
      </w:pPr>
      <w:r>
        <w:t>9.7 Arkusz Kapitał pracujący (komórka B133)</w:t>
      </w:r>
    </w:p>
    <w:p>
      <w:pPr>
        <w:spacing w:after="60"/>
      </w:pPr>
      <w:r>
        <w:rPr>
          <w:b w:val="0"/>
        </w:rPr>
        <w:t>Co się zmienia względem obecnego komentarza: Dodałam rotacje z lat 2023-2025 i z 30.06.2026 r., uzasadnienie kalkulacji własnej (wymaga go Instrukcja), wartości kapitału pracującego dotychczasowej działalności i projektu.</w:t>
      </w:r>
    </w:p>
    <w:p>
      <w:pPr>
        <w:keepNext/>
        <w:spacing w:before="160" w:after="40"/>
      </w:pPr>
      <w:r>
        <w:rPr>
          <w:b/>
          <w:sz w:val="20"/>
        </w:rPr>
        <w:t>Komentarz do wklejenia, arkusz Kapitał pracujący</w:t>
      </w:r>
      <w:r>
        <w:rPr>
          <w:color w:val="666666"/>
          <w:sz w:val="17"/>
        </w:rPr>
        <w:t xml:space="preserve"> [2930 znaków]</w:t>
      </w:r>
    </w:p>
    <w:p>
      <w:pPr>
        <w:spacing w:after="60"/>
      </w:pPr>
      <w:r>
        <w:rPr>
          <w:b w:val="0"/>
        </w:rPr>
        <w:t>Dla dotychczasowej działalności zastosowano kalkulację własną rotacji, ponieważ wartości historyczne z lat 2023-2025 nie opisują obecnych warunków handlowych spółki. Rotacja należności wynosiła 52, 17 i 121 dni w latach 2023-2025, a rotacja zobowiązań 52, 43 i 193 dni, natomiast na 30.06.2026 r. odpowiednio 37 i 29 dni. W prognozie przyjęto poziom z pierwszego półrocza 2026 r., czyli 37 dni dla należności i 29 dni dla zobowiązań z tytułu dostaw i usług, w całym okresie prognozy. Zapasy przyjęto na poziomie zero, bo spółka nie magazynuje towarów (bilans na 30.06.2026 r. nie wykazuje zapasów), co jest typowe dla brokera spedycyjnego.</w:t>
      </w:r>
    </w:p>
    <w:p>
      <w:pPr>
        <w:spacing w:after="60"/>
      </w:pPr>
      <w:r>
        <w:rPr>
          <w:b w:val="0"/>
        </w:rPr>
        <w:t>Podstawą są bilans na 30.06.2026 r. (należności z tytułu dostaw i usług 2 000 tys. zł, zobowiązania z tytułu dostaw i usług 1 444 tys. zł) oraz informacje księgowości z 05.10.2026 r. Terminy płatności wynoszą 30 dni zarówno wobec odbiorców, jak i wobec przewoźników, główny odbiorca płaci regularnie, spółka nie miała zaliczek ani przedpłat, a wszystkie należności i zobowiązania na 30.06.2026 r. mieściły się w terminie płatności. Rotacja należności 37 dni jest zbliżona do 30-dniowego terminu płatności, więc założenie jest realistyczne.</w:t>
      </w:r>
    </w:p>
    <w:p>
      <w:pPr>
        <w:spacing w:after="60"/>
      </w:pPr>
      <w:r>
        <w:rPr>
          <w:b w:val="0"/>
        </w:rPr>
        <w:t>Wysokie rotacje z 2025 r. i z marca 2026 r. wynikały z przeterminowanych płatności z wcześniejszego okresu. Zobowiązania z tytułu dostaw i usług wynosiły 7 513 tys. zł na koniec 2025 r. (193 dni), a należności 4 855 tys. zł (121 dni). W pierwszym półroczu 2026 r. spółka uregulowała zaległe zobowiązania (spadek do 1 444 tys. zł) i otrzymała płatności za należności (spadek do 2 000 tys. zł), co skróciło oba cykle do 29 i 37 dni. Księgowość wskazała, że po zmianie jedynego wspólnika w czerwcu 2025 r. spółka stopniowo uregulowała zaległości, a poziom z 2026 r. ma zostać utrzymany. Dlatego nie przyjęto średniej z lat 2023-2025, która odzwierciedlałaby zaległości, a nie bieżące warunki handlowe. Krótki cykl zobowiązań jest ostrożny dla płynności, bo model nie zakłada kredytu kupieckiego dłuższego niż 30 dni.</w:t>
      </w:r>
    </w:p>
    <w:p>
      <w:pPr>
        <w:spacing w:after="60"/>
      </w:pPr>
      <w:r>
        <w:rPr>
          <w:b w:val="0"/>
        </w:rPr>
        <w:t>Kapitał pracujący dotychczasowej działalności wynosi 556 tys. zł na 30.06.2026 r. i około 526 tys. zł w całym okresie prognozy, więc jego roczna zmiana jest bliska zeru (od -1 do +1 tys. zł) i prognoza nie generuje dodatkowego zapotrzebowania na środki.</w:t>
      </w:r>
    </w:p>
    <w:p>
      <w:pPr>
        <w:spacing w:after="60"/>
      </w:pPr>
      <w:r>
        <w:rPr>
          <w:b w:val="0"/>
        </w:rPr>
        <w:t>Dla projektu rotacje przyjęto w arkuszu Założenia: należności 45 dni, zobowiązania 30 dni i zapasy 30 dni od 2030 r. Kapitał pracujący projektu rośnie z 60 tys. zł w 2030 r. do 906 tys. zł w 2034 r. wraz ze wzrostem przychodów (490-7 347 tys. zł), a jego zmiana (od -73 tys. zł w 2030 r. do -453 tys. zł w 2034 r.) jest ujęta w przepływach w arkuszu Opłacalność. W 2034 r. należności projektu wynoszą 906 tys. zł, a zapasy komponentów i zobowiązania po 367 tys. zł. Dla całego przedsiębiorstwa kapitał pracujący wynosi 505 tys. zł w 2026 r. i 1 432 tys. zł w 2034 r., a jego wzrost finansuje rosnąca nadwyżka środków pieniężnych (4 562 tys. zł w 2030 r. i 11 423 tys. zł w 2034 r.).</w:t>
      </w:r>
    </w:p>
    <w:p>
      <w:pPr>
        <w:pStyle w:val="Heading2"/>
      </w:pPr>
      <w:r>
        <w:t>9.8 Arkusz Finansowanie (komórka B179)</w:t>
      </w:r>
    </w:p>
    <w:p>
      <w:pPr>
        <w:spacing w:after="60"/>
      </w:pPr>
      <w:r>
        <w:rPr>
          <w:b w:val="0"/>
        </w:rPr>
        <w:t>Co się zmienia względem obecnego komentarza: Poprawiłam VAT: obecny komentarz podaje ok. 83,7 tys. zł, a z wniosku wynika 80 937,78 zł (różnica między wydatkami ogółem a kwalifikowalnymi Lidera). Wkład zapisałam jako 1 253 357,99 zł zgodnie z wersją C. Dodałam harmonogram płatności (K6-14), opis transakcji z PRz wymaganej przez Instrukcję (przeniesienie praw) oraz pola na dane umowy inwestycyjnej i zaświadczenia bankowego, których Instrukcja wymaga dla dokapitalizowania.</w:t>
      </w:r>
    </w:p>
    <w:p>
      <w:pPr>
        <w:keepNext/>
        <w:spacing w:before="160" w:after="40"/>
      </w:pPr>
      <w:r>
        <w:rPr>
          <w:b/>
          <w:sz w:val="20"/>
        </w:rPr>
        <w:t>Komentarz do wklejenia, arkusz Finansowanie</w:t>
      </w:r>
      <w:r>
        <w:rPr>
          <w:color w:val="666666"/>
          <w:sz w:val="17"/>
        </w:rPr>
        <w:t xml:space="preserve"> [4369 znaków]</w:t>
      </w:r>
    </w:p>
    <w:p>
      <w:pPr>
        <w:spacing w:after="60"/>
      </w:pPr>
      <w:r>
        <w:rPr>
          <w:b w:val="0"/>
        </w:rPr>
        <w:t>Wkład własny Lidera wyniesie 1 253 357,99 zł wydatków ogółem. Składa się na niego 1 172 420,21 zł wkładu w wydatki kwalifikowalne oraz 80 937,78 zł podatku VAT od wydatków objętych stawką 23% (podwykonawstwo, aparatura, internacjonalizacja), który nie jest kosztem kwalifikowalnym (pkt 4.1 wniosku). Wkład wniesie inwestor, Zbigniew Natanek, który obejmie nowe udziały w podwyższonym kapitale zakładowym spółki. Spółka nie zaciągnie kredytów ani pożyczek i nie skorzysta z leasingu finansowego, dlatego model nie zawiera kosztów odsetkowych ani rat. Dopłaty do kapitału w arkuszu wynoszą 50 tys. zł w 2026 r., 341 tys. zł w 2027 r., 551 tys. zł w 2028 r. i 230 tys. zł w 2029 r., łącznie 1 172 tys. zł, zgodnie z zapotrzebowaniem na wydatki kwalifikowalne w poszczególnych latach. Model nie zakłada wypłaty dywidendy ani depozytów bankowych.</w:t>
      </w:r>
    </w:p>
    <w:p>
      <w:pPr>
        <w:spacing w:after="60"/>
      </w:pPr>
      <w:r>
        <w:rPr>
          <w:b w:val="0"/>
        </w:rPr>
        <w:t xml:space="preserve">Zobowiązanie inwestora potwierdza Warunkowa Umowa Inwestycyjna z warunkiem zawieszającym w postaci przyznania dofinansowania, zawarta </w:t>
      </w:r>
      <w:r>
        <w:rPr>
          <w:b w:val="0"/>
          <w:highlight w:val="yellow"/>
        </w:rPr>
        <w:t>data zawarcia umowy</w:t>
      </w:r>
      <w:r>
        <w:rPr>
          <w:b w:val="0"/>
        </w:rPr>
        <w:t xml:space="preserve">. Inwestor obejmie wszystkie nowe udziały, a dotychczasowy wspólnik nie obejmie nowych udziałów ani nie wniesie środków. Zdolność inwestora do wniesienia kwoty 1 253 357,99 zł potwierdza zaświadczenie banku </w:t>
      </w:r>
      <w:r>
        <w:rPr>
          <w:b w:val="0"/>
          <w:highlight w:val="yellow"/>
        </w:rPr>
        <w:t>nazwa banku</w:t>
      </w:r>
      <w:r>
        <w:rPr>
          <w:b w:val="0"/>
        </w:rPr>
        <w:t xml:space="preserve"> z dnia </w:t>
      </w:r>
      <w:r>
        <w:rPr>
          <w:b w:val="0"/>
          <w:highlight w:val="yellow"/>
        </w:rPr>
        <w:t>data</w:t>
      </w:r>
      <w:r>
        <w:rPr>
          <w:b w:val="0"/>
        </w:rPr>
        <w:t xml:space="preserve"> o stanie środków na rachunkach inwestora w wysokości </w:t>
      </w:r>
      <w:r>
        <w:rPr>
          <w:b w:val="0"/>
          <w:highlight w:val="yellow"/>
        </w:rPr>
        <w:t>kwota</w:t>
      </w:r>
      <w:r>
        <w:rPr>
          <w:b w:val="0"/>
        </w:rPr>
        <w:t xml:space="preserve"> zł, wystawione na dzień zawarcia umowy inwestycyjnej. Umowa i zaświadczenie są załączone do wniosku.</w:t>
      </w:r>
    </w:p>
    <w:p>
      <w:pPr>
        <w:spacing w:after="60"/>
      </w:pPr>
      <w:r>
        <w:rPr>
          <w:b w:val="0"/>
        </w:rPr>
        <w:t>Kapitał zakładowy Everest11 wynosi 5 000 zł (100 udziałów po 50 zł), a jedynym wspólnikiem i prezesem zarządu jest Wojciech Chrzanowski (wpis w KRS z 02.06.2025 r.). Podwyższenie kapitału zostanie przeprowadzone po przyznaniu dofinansowania na podstawie uchwały wspólników wskazującej inwestora jako jedyną osobę uprawnioną do objęcia nowych udziałów. Kapitał zakładowy wzrośnie tylko o wartość nominalną nowych udziałów: przy objęciu 25 udziałów po 50 zł, które odpowiadają 20% kapitału po podwyższeniu, będzie to 1 250 zł. Pozostała część wkładu inwestora zostanie wniesiona jako nadwyżka ponad wartość nominalną udziałów i przekazana na kapitał zapasowy. Liczbę obejmowanych udziałów i cenę emisyjną określi profesjonalna wycena spółki wykonana po przyznaniu dofinansowania, a udział inwestora nie przekroczy 20% zgodnie z warunkową umową inwestycyjną, więc co najmniej 80% kapitału pozostanie przy dotychczasowym wspólniku.</w:t>
      </w:r>
    </w:p>
    <w:p>
      <w:pPr>
        <w:spacing w:after="60"/>
      </w:pPr>
      <w:r>
        <w:rPr>
          <w:b w:val="0"/>
        </w:rPr>
        <w:t>Podatek VAT od wydatków kwalifikowalnych (80 937,78 zł) zostanie sfinansowany z tego samego dokapitalizowania i będzie odzyskiwany w rozliczeniach VAT spółki jako czynnego podatnika. Model prowadzono w kwotach netto, więc przepływy VAT nie są w nim widoczne.</w:t>
      </w:r>
    </w:p>
    <w:p>
      <w:pPr>
        <w:spacing w:after="60"/>
      </w:pPr>
      <w:r>
        <w:rPr>
          <w:b w:val="0"/>
        </w:rPr>
        <w:t>Inwestor jest powiązany z Natanek Logistics, głównym dostawcą usług transportowych spółki (około 95% zakupów usług), który udostępni flotę testową w zadaniu Z9 i jest jednym z trzech operatorów z listami intencyjnymi na zakup produktu. Transakcje z tym podmiotem będą zawierane na warunkach rynkowych, a ich ocena będzie prowadzona raz na kwartał, co opisano w analizie ryzyka wniosku.</w:t>
      </w:r>
    </w:p>
    <w:p>
      <w:pPr>
        <w:spacing w:after="60"/>
      </w:pPr>
      <w:r>
        <w:rPr>
          <w:b w:val="0"/>
        </w:rPr>
        <w:t>Harmonogram płatności Lidera obejmuje siedem wniosków o płatność: sześć zaliczek (od II półrocza 2026 r. do I półrocza 2029 r.) i końcową refundację w II półroczu 2029 r. Pierwsza zaliczka wynosi 223 304,52 zł, czyli 7,53% dofinansowania i spełnia wymóg co najmniej 5%. Największa pojedyncza zaliczka (850 008,67 zł) to 28,67% dofinansowania, suma zaliczek to 89,50%, a refundacja końcowa (311 251,09 zł) to 10,50%. Dla całego konsorcjum odpowiednie wartości wynoszą 7,01%, 27,03%, 89,63% i 10,37%, więc zaliczki nie przekraczają 90% dofinansowania. W okresach między wypłatami wydatki kwalifikowalne są finansowane wkładem inwestora i zaliczkami.</w:t>
      </w:r>
    </w:p>
    <w:p>
      <w:pPr>
        <w:spacing w:after="60"/>
      </w:pPr>
      <w:r>
        <w:rPr>
          <w:b w:val="0"/>
        </w:rPr>
        <w:t xml:space="preserve">Instrukcja wymaga opisania transakcji między członkami konsorcjum, dlatego opisujemy planowane przeniesienie praw PRz do wyników projektu na Lidera. Zgodnie z § 11 umowy konsorcjum Lider ma prawo pierwszeństwa nabycia tych praw, złoży oświadczenie w ciągu 120 dni od uzyskania wyników i zakończenia projektu (do 28.08.2029 r.), a cenę ustali niezależny ekspert, z możliwością powołania drugiego eksperta przy sporze. Przeniesienie praw zaplanowano do 30.11.2029 r. Koszt tego nabycia nie został ujęty w modelu zgodnie z Instrukcją, a jego wysokość nie jest jeszcze znana. </w:t>
      </w:r>
      <w:r>
        <w:rPr>
          <w:b w:val="0"/>
          <w:highlight w:val="yellow"/>
        </w:rPr>
        <w:t>Do potwierdzenia przez właścicielkę: źródłem sfinansowania nabycia praw będą środki własne Everest11 z działalności, a stan środków pieniężnych spółki na koniec 2029 r. wynosi 3 724 tys. zł.</w:t>
      </w:r>
    </w:p>
    <w:p>
      <w:pPr>
        <w:pStyle w:val="Heading2"/>
      </w:pPr>
      <w:r>
        <w:t>9.9 Arkusz Opłacalność (komórka B106)</w:t>
      </w:r>
    </w:p>
    <w:p>
      <w:pPr>
        <w:spacing w:after="60"/>
      </w:pPr>
      <w:r>
        <w:rPr>
          <w:b w:val="0"/>
        </w:rPr>
        <w:t>Co się zmienia względem obecnego komentarza: Dodałam metodę liczenia (FCF, stopa 4%, brak wartości rezydualnej), wyniki z i bez dotacji, główne założenia i przybliżoną analizę wrażliwości. Wrażliwość policzyłam z przepływów z arkusza bez oszczędności kosztów zmiennych, więc jest ostrożna.</w:t>
      </w:r>
    </w:p>
    <w:p>
      <w:pPr>
        <w:keepNext/>
        <w:spacing w:before="160" w:after="40"/>
      </w:pPr>
      <w:r>
        <w:rPr>
          <w:b/>
          <w:sz w:val="20"/>
        </w:rPr>
        <w:t>Komentarz do wklejenia, arkusz Opłacalność</w:t>
      </w:r>
      <w:r>
        <w:rPr>
          <w:color w:val="666666"/>
          <w:sz w:val="17"/>
        </w:rPr>
        <w:t xml:space="preserve"> [2793 znaków]</w:t>
      </w:r>
    </w:p>
    <w:p>
      <w:pPr>
        <w:spacing w:after="60"/>
      </w:pPr>
      <w:r>
        <w:rPr>
          <w:b w:val="0"/>
        </w:rPr>
        <w:t>Opłacalność projektu liczono na podstawie wolnych przepływów pieniężnych (FCF) wyłącznie z przychodów i kosztów projektu, przy stopie dyskonta 4% i bez wartości rezydualnej, zgodnie z Instrukcją. W wariancie z dotacją przepływy obejmują wpływy z dofinansowania (2 965 tys. zł łącznie), a w wariancie bez dotacji ich nie obejmują. Zmianę kapitału pracującego projektu ujęto w przepływach (-453 tys. zł w 2034 r.), a podatek dochodowy nie jest uwzględniany w FCF zgodnie ze schematem arkusza.</w:t>
      </w:r>
    </w:p>
    <w:p>
      <w:pPr>
        <w:spacing w:after="60"/>
      </w:pPr>
      <w:r>
        <w:rPr>
          <w:b w:val="0"/>
        </w:rPr>
        <w:t>Projekt osiąga opłacalność w 2034 r., czyli w piątym roku po zakończeniu realizacji, co jest minimalnym okresem prognozy wymaganym przez Instrukcję. Skumulowana zdyskontowana wartość przepływów (NPV) z dotacją zmienia znak z -332 tys. zł w 2033 r. na +1 445 tys. zł w 2034 r. i rośnie do +10 830 tys. zł w 2039 r., a IRR rośnie z 20% w 2034 r. do 40,5% w 2039 r. i przekracza stopę dyskonta 4%. Bez dotacji NPV staje się dodatnie w 2035 r. (+677 tys. zł) i wynosi +8 035 tys. zł w 2039 r., przy IRR 6,5% w 2035 r. i 18,7% w 2039 r. Projekt jest więc rentowny samodzielnie, a dofinansowanie przyspiesza zwrot o rok i ogranicza ryzyko fazy rozruchu.</w:t>
      </w:r>
    </w:p>
    <w:p>
      <w:pPr>
        <w:spacing w:after="60"/>
      </w:pPr>
      <w:r>
        <w:rPr>
          <w:b w:val="0"/>
        </w:rPr>
        <w:t>Wynik wynika z założeń opisanych w arkuszach Przychody i Koszty operacyjne. Przychody rosną z 490 tys. zł w 2030 r. do 7 347 tys. zł w 2034 r. wraz ze wzrostem bazy pojazdów z 50 do 1 000. Koszt komponentów zestawu retrofit to 4 875 zł za zestaw (65% ceny), hosting kosztuje 50 zł za pojazd miesięcznie, a koszty stałe komercjalizacji (zespół, marketing, administracja) wynoszą 1 367 tys. zł w 2034 r., co daje wynik operacyjny przed amortyzacją 2 885 tys. zł w 2034 r. (39% przychodu). Pierwszy próg sprzedaży pokrywają listy intencyjne trzech operatorów transportowych na łącznie 50 naczep, a dalszy wzrost opiera się na sprzedaży bezpośredniej do operatorów transportowych.</w:t>
      </w:r>
    </w:p>
    <w:p>
      <w:pPr>
        <w:spacing w:after="60"/>
      </w:pPr>
      <w:r>
        <w:rPr>
          <w:b w:val="0"/>
        </w:rPr>
        <w:t>Wrażliwość oszacowano w przybliżeniu na podstawie przepływów z arkusza, bez uwzględnienia oszczędności kosztów zmiennych i zmian kapitału pracującego, więc wyniki są orientacyjne i ostrożne. Spadek przychodów o 20% w całym okresie 2030-2039 obniża NPV w 2039 r. o około 6 950 tys. zł, do około 3 880 tys. zł z dotacją i około 1 080 tys. zł bez dotacji. Opóźnienie sprzedaży o rok obniża NPV o około 5 580 tys. zł, do około 5 250 tys. zł z dotacją. Wzrost kosztu komponentów zestawu o 20% obniża NPV o około 2 510 tys. zł, do około 8 320 tys. zł z dotacją. We wszystkich tych wariantach NPV w 2039 r. pozostaje dodatnie.</w:t>
      </w:r>
    </w:p>
    <w:p>
      <w:pPr>
        <w:spacing w:after="60"/>
      </w:pPr>
      <w:r>
        <w:rPr>
          <w:b w:val="0"/>
        </w:rPr>
        <w:t>Przyjęto 10-letni okres prognozy po zakończeniu projektu, który mieści się w limicie Instrukcji, a moment osiągnięcia opłacalności (2034 r.) przypada w jego pierwszej połowie. Wartość dofinansowania w arkuszu (2 965 tys. zł) różni się o 0,7 tys. zł od kwoty we wniosku (2 964 296,11 zł) wyłącznie z powodu zaokrągleń do tysiąca złotych (Instrukcja, pkt 11).</w:t>
      </w:r>
    </w:p>
    <w:p>
      <w:pPr>
        <w:pStyle w:val="Heading2"/>
      </w:pPr>
      <w:r>
        <w:t>9.10 Arkusz Ocena kondycji finansowej (komórka B444)</w:t>
      </w:r>
    </w:p>
    <w:p>
      <w:pPr>
        <w:spacing w:after="60"/>
      </w:pPr>
      <w:r>
        <w:rPr>
          <w:b w:val="0"/>
        </w:rPr>
        <w:t>Co się zmienia względem obecnego komentarza: Poprawiłam zdanie o zadłużeniu projektu: obecny komentarz podawał najwyższą wartość w 2030 r. (74%), a model pokazuje ok. 100% w latach 2026-2027 i 76% w 2031 r. Dodałam wyjaśnienie straty na sprzedaży w 2027 r. i odchyleń wskaźników w latach historycznych oraz informację, że środki projektu liczone osobno są ujemne w latach 2030-2031.</w:t>
      </w:r>
    </w:p>
    <w:p>
      <w:pPr>
        <w:keepNext/>
        <w:spacing w:before="160" w:after="40"/>
      </w:pPr>
      <w:r>
        <w:rPr>
          <w:b/>
          <w:sz w:val="20"/>
        </w:rPr>
        <w:t>Komentarz do wklejenia, arkusz Ocena kondycji finansowej</w:t>
      </w:r>
      <w:r>
        <w:rPr>
          <w:color w:val="666666"/>
          <w:sz w:val="17"/>
        </w:rPr>
        <w:t xml:space="preserve"> [4663 znaków]</w:t>
      </w:r>
    </w:p>
    <w:p>
      <w:pPr>
        <w:spacing w:after="60"/>
      </w:pPr>
      <w:r>
        <w:rPr>
          <w:b w:val="0"/>
        </w:rPr>
        <w:t>Płynność finansowa Lidera pozostaje dodatnia w całym okresie prognozy. Łączny stan środków pieniężnych (działalność dotychczasowa i projekt) wynosi 598 tys. zł na koniec 2026 r., 1 780 tys. zł w 2027 r. i 4 562 tys. zł w 2030 r., po czym rośnie do 28 123 tys. zł w 2039 r. Płynność bieżąca łącznie wynosi od 1,75 w 2026 r. do 17 w 2039 r. i przez cały okres prognozy przekracza 1,7. Stan środków na koniec 2026 r. jest niższy niż na koniec 2025 r. (2 766 tys. zł), ponieważ w 2026 r. spółka uregulowała zobowiązania z wcześniejszego okresu, co opisano w arkuszach Sprawozdania finansowe i Kapitał pracujący.</w:t>
      </w:r>
    </w:p>
    <w:p>
      <w:pPr>
        <w:spacing w:after="60"/>
      </w:pPr>
      <w:r>
        <w:rPr>
          <w:b w:val="0"/>
        </w:rPr>
        <w:t>Środki pieniężne projektu liczone osobno są ujemne w latach 2030 i 2031 (-201 i -224 tys. zł), gdy przychody projektu (490 i 982 tys. zł) nie pokrywają jeszcze kosztów komercjalizacji, a od 2032 r. są dodatnie (19 tys. zł) i rosną do 2 638 tys. zł w 2034 r. W tych dwóch latach deficyt projektu pokrywają środki z działalności dotychczasowej, których stan wynosi 4 580 i 5 583 tys. zł, a łączny stan środków to 4 562 i 5 554 tys. zł. Zadłużenie projektu liczone osobno wynosi około 100% w latach 2026-2027, ponieważ kapitał własny projektu jest bliski zera, gdy wkład inwestora jest wnoszony w transzach. Następnie wynosi 63% i 61% w latach 2028-2029, 74% i 76% w latach 2030-2031, 46% w 2032 r. i 4% w 2036 r. Dla łącznej działalności wskaźnik zadłużenia wynosi 57% w 2026 r., 27% w 2030 r. i 6% w 2039 r.</w:t>
      </w:r>
    </w:p>
    <w:p>
      <w:pPr>
        <w:spacing w:after="60"/>
      </w:pPr>
      <w:r>
        <w:rPr>
          <w:b w:val="0"/>
        </w:rPr>
        <w:t>Wskaźniki rentowności łącznie są dodatnie we wszystkich latach prognozy poza 2027 r. W 2027 r. spółka wykaże stratę na sprzedaży 463 tys. zł (rentowność sprzedaży -2,4%), ponieważ pierwszy pełny rok badań przemysłowych generuje koszty projektu 1 701 tys. zł, których nie pokrywają przychody ze sprzedaży. Strata ta nie przechodzi w stratę brutto ani netto: wynik netto w 2027 r. wynosi 727 tys. zł, bo koszty projektu są dofinansowane, a dotacje (1 361 tys. zł) są ujmowane jako pozostałe przychody operacyjne. W 2028 r. zysk ze sprzedaży wynosi 496 tys. zł (rentowność 2,5%). Rentowność sprzedaży w latach 2028-2031 (2,5%, 4,7%, 4,2% i 5,0%) jest niższa niż dotychczasowa 6,3%, bo obciążają ją koszty komercjalizacji przed osiągnięciem skali, a od 2032 r. rośnie do 6,5%, 9,2% w 2033 r. i 15% w 2034 r. Rentowność netto mieści się w przedziale od 3,7% (2027 r.) do 12,4%.</w:t>
      </w:r>
    </w:p>
    <w:p>
      <w:pPr>
        <w:spacing w:after="60"/>
      </w:pPr>
      <w:r>
        <w:rPr>
          <w:b w:val="0"/>
        </w:rPr>
        <w:t>Rentowność działalności dotychczasowej w prognozie (sprzedaży 6,3%, netto 5,1%) jest wyższa niż w 2025 r. (0,2% i 0,3%), ponieważ prognozę oparto na wyniku pierwszego półrocza 2026 r. (zysk netto 501 tys. zł przy przychodach 9 763 tys. zł), utrzymanym płasko. Podobny poziom rentowności sprzedaży spółka osiągnęła w 2024 r. (7,8%). Zwrot na aktywach dotychczasowej działalności (39% w 2026 r. i 6% w 2039 r.) wynika z niskiej sumy bilansowej spółki asset-light (2,6 mln zł na koniec 2026 r. wobec 7,6 mln zł na koniec 2025 r.) i maleje wraz ze wzrostem aktywów.</w:t>
      </w:r>
    </w:p>
    <w:p>
      <w:pPr>
        <w:spacing w:after="60"/>
      </w:pPr>
      <w:r>
        <w:rPr>
          <w:b w:val="0"/>
        </w:rPr>
        <w:t>Odchylenia wskaźników od wartości pożądanych w latach historycznych wynikają z niskiej skali i niskiej marży modelu asset-light. W 2023 r. rentowność sprzedaży, netto i zwrot na aktywach były ujemne (-1,8%, -3,2% i -21,1%) z powodu straty opisanej w arkuszu Sprawozdania finansowe. W 2025 r. rentowność sprzedaży wyniosła 0,2%, netto 0,3%, a zwrot na aktywach 0,5%, ponieważ przy przychodzie 14 254 tys. zł wynik netto wyniósł tylko 41 tys. zł (usługi obce to 99% kosztów). Udział kapitałów własnych wynosił 1,2% na koniec 2025 r., a zadłużenie 98,8%, ponieważ kapitał podstawowy to 5 tys. zł, a zobowiązania z tytułu dostaw i usług (7 513 tys. zł) wynikały z kosztów usług transportowych, w tym przeterminowanych płatności z wcześniejszego okresu. Po uregulowaniu zaległości na 30.06.2026 r. kapitał własny wynosi 593 tys. zł (26,9% sumy bilansowej), zadłużenie 73,1%, a płynność bieżąca 1,37, i wszystkie te wskaźniki poprawiają się w prognozie: udział kapitałów własnych przekracza 50% od 2027 r. (57,7%), zadłużenie spada poniżej 50% w 2027 r. (42,3%), a zwrot na aktywach jest w całym okresie prognozy wyższy niż 10% (najniżej 10,6% w 2039 r.). Wskaźnik obsługi długu nie jest liczony, bo spółka nie ma zadłużenia finansowego, a wskaźnik pokrycia majątku trwałego kapitałem stałym, gdy jest liczony, przekracza 100%.</w:t>
      </w:r>
    </w:p>
    <w:p>
      <w:pPr>
        <w:spacing w:after="60"/>
      </w:pPr>
      <w:r>
        <w:rPr>
          <w:b w:val="0"/>
        </w:rPr>
        <w:t>Komórki kontrolne „sprawdzenie” w wierszach 95 i 382 oraz w wierszu 124 wykazują FALSE ze względu na stałą różnicę 1 tys. zł (dotychczasowa działalność), 1,46 tys. zł (łącznie) i 1 tys. zł w rachunku przepływów. To efekt niezależnego zaokrąglania poszczególnych pozycji przez zablokowane formuły szablonu, których zgodnie z Instrukcją nie edytujemy. Dane źródłowe w arkuszu Sprawozdania finansowe bilansują się w tysiącach złotych, a różnica mieści się w dopuszczalnej tolerancji zaokrągleń.</w:t>
      </w:r>
    </w:p>
    <w:p>
      <w:pPr>
        <w:pStyle w:val="Heading2"/>
      </w:pPr>
      <w:r>
        <w:t>9.11 Arkusz Opłacalność - Konsorcjum (komórka B101)</w:t>
      </w:r>
    </w:p>
    <w:p>
      <w:pPr>
        <w:spacing w:after="60"/>
      </w:pPr>
      <w:r>
        <w:rPr>
          <w:b w:val="0"/>
        </w:rPr>
        <w:t>Co się zmienia względem obecnego komentarza: Dodałam źródło danych PRz, wyjaśnienie różnicy 1 tys. zł w dotacji PRz (zaokrąglenia) i zapis, że wydatki niekwalifikowalne PRz nie są w modelu.</w:t>
      </w:r>
    </w:p>
    <w:p>
      <w:pPr>
        <w:keepNext/>
        <w:spacing w:before="160" w:after="40"/>
      </w:pPr>
      <w:r>
        <w:rPr>
          <w:b/>
          <w:sz w:val="20"/>
        </w:rPr>
        <w:t>Komentarz do wklejenia, arkusz Opłacalność - Konsorcjum</w:t>
      </w:r>
      <w:r>
        <w:rPr>
          <w:color w:val="666666"/>
          <w:sz w:val="17"/>
        </w:rPr>
        <w:t xml:space="preserve"> [1452 znaków]</w:t>
      </w:r>
    </w:p>
    <w:p>
      <w:pPr>
        <w:spacing w:after="60"/>
      </w:pPr>
      <w:r>
        <w:rPr>
          <w:b w:val="0"/>
        </w:rPr>
        <w:t>Konsorcjum tworzą Everest11 jako Lider, który wdroży rezultat projektu we własnej działalności, oraz Politechnika Rzeszowska jako organizacja badawcza, finansowana w 100% i niewykazująca przychodów z projektu. Dane Lidera przeniesiono z arkusza Opłacalność jego modelu, a dane PRz (koszty operacyjne 30, 531, 163 i 18 tys. zł oraz nakłady 223 i 70 tys. zł w latach 2026-2029) z arkusza Opłacalność modelu PRz. Oba podmioty przyjęły te same daty rozpoczęcia i zakończenia projektu w arkuszu Założenia, zgodnie z Instrukcją.</w:t>
      </w:r>
    </w:p>
    <w:p>
      <w:pPr>
        <w:spacing w:after="60"/>
      </w:pPr>
      <w:r>
        <w:rPr>
          <w:b w:val="0"/>
        </w:rPr>
        <w:t>Łączna wartość dofinansowania to 3 998 262 zł, z czego Everest11 2 964 296 zł i PRz 1 033 966 zł. Dotacja PRz w arkuszu wynosi 1 035 tys. zł, ponieważ suma kwot rocznych zaokrąglonych do tysiąca złotych (30, 531, 386 i 88 tys. zł) różni się o 1 tys. zł od kwoty z wniosku, co wynika z zaokrągleń opisanych w pkt 11 Instrukcji. Koszty PRz są w każdym roku w całości pokryte dotacją, więc jej udział nie wpływa na przepływy pieniężne konsorcjum, a wyniki opłacalności całego konsorcjum pokrywają się z wynikami Lidera: NPV dodatnie od 2034 r. (+1 445 tys. zł z dotacją), IRR 20% w 2034 r. i 40,5% w 2039 r.</w:t>
      </w:r>
    </w:p>
    <w:p>
      <w:pPr>
        <w:spacing w:after="60"/>
      </w:pPr>
      <w:r>
        <w:rPr>
          <w:b w:val="0"/>
        </w:rPr>
        <w:t>Wydatki niekwalifikowalne PRz w wysokości 33 971 zł wykazane we wniosku (pkt 4.1) pokrywa PRz ze środków własnych i nie zostały one ujęte w modelu. W modelu nie ujęto sprzedaży ani zakupu wyników prac B+R między członkami konsorcjum, a planowane przeniesienie praw PRz do Lidera opisano w komentarzu do arkusza Finansowanie.</w:t>
      </w:r>
    </w:p>
    <w:p>
      <w:pPr>
        <w:pStyle w:val="Heading2"/>
      </w:pPr>
      <w:r>
        <w:t>9.12 Arkusze bez pola Komentarz</w:t>
      </w:r>
    </w:p>
    <w:p>
      <w:pPr>
        <w:spacing w:after="60"/>
      </w:pPr>
      <w:r>
        <w:rPr>
          <w:b w:val="0"/>
        </w:rPr>
        <w:t>Arkusze Dane Wnioskodawcy, Zaliczka-refundacja, Konsorcja (Dane wejściowe), Opłacalność - Konsorcjum (część liczbowa) i Zaliczka-refundacja - Konsorcjum nie mają pola Komentarz, a Instrukcja nie wymaga w nich opisu. Informacje o harmonogramie płatności znajdują się w komentarzu do arkusza Finansowanie (czwarty od końca akapit), a dane konsorcjum w komentarzu do arkusza Opłacalność - Konsorcjum.</w:t>
      </w:r>
    </w:p>
    <w:p>
      <w:pPr>
        <w:pStyle w:val="Heading2"/>
      </w:pPr>
      <w:r>
        <w:t>9.13 Uwagi i decyzje do podjęcia</w:t>
      </w:r>
    </w:p>
    <w:p>
      <w:pPr>
        <w:pStyle w:val="ListBullet"/>
      </w:pPr>
      <w:r>
        <w:rPr>
          <w:b/>
        </w:rPr>
        <w:t>Sprzedaż zestawów po 2034 r.</w:t>
      </w:r>
      <w:r>
        <w:rPr>
          <w:b w:val="0"/>
        </w:rPr>
        <w:t xml:space="preserve"> Model utrzymuje od 2035 r. 540 zestawów rocznie przy płaskiej subskrypcji (730 pojazdów średniorocznie). Przy odpływie klientów 8% i bazie 1 000 pojazdów sprzedaż zestawów w stanie ustalonym byłaby bliższa 80 sztukom rocznie, więc przychód ze sprzętu w latach 2035-2039 (4 050 tys. zł rocznie) może zostać zakwestionowany przez eksperta. Komentarz opisuje to neutralnie („wolumeny z 2034 r. bez dalszego wzrostu”). Do decyzji: zostawić albo obniżyć sprzedaż zestawów od 2035 r. do ok. 80 sztuk. Przychód spadłby wtedy o ok. 3,45 mln zł rocznie, wynik operacyjny o ok. 1,2 mln zł rocznie (marża 35% na zestawie), a NPV w 2039 r. o ok. 3,9 mln zł, do ok. 6,9 mln zł z dotacją i ok. 4,1 mln zł bez dotacji, czyli nadal dodatnie (rachunek przybliżony).</w:t>
      </w:r>
    </w:p>
    <w:p>
      <w:pPr>
        <w:pStyle w:val="ListBullet"/>
      </w:pPr>
      <w:r>
        <w:rPr>
          <w:b/>
        </w:rPr>
        <w:t>Aparatura w arkuszu Środki trwałe.</w:t>
      </w:r>
      <w:r>
        <w:rPr>
          <w:b w:val="0"/>
        </w:rPr>
        <w:t xml:space="preserve"> Model ujmuje 57,1 tys. zł jako zakup z dofinansowaniem 80%, a przypis do Instrukcji mówi, że w projektach B+R dofinansowanie dotyczy amortyzacji. Kwota dofinansowania jest taka sama, bo aparatura jest zużywana w projekcie, a komentarz to wyjaśnia. Można zmienić w modelu opcję na „dofinansowanie amortyzacji: tak”, ale to zmieni rozkład w latach, nie sumę.</w:t>
      </w:r>
    </w:p>
    <w:p>
      <w:pPr>
        <w:pStyle w:val="ListBullet"/>
      </w:pPr>
      <w:r>
        <w:rPr>
          <w:b/>
        </w:rPr>
        <w:t>Dane do uzupełnienia.</w:t>
      </w:r>
      <w:r>
        <w:rPr>
          <w:b w:val="0"/>
        </w:rPr>
        <w:t xml:space="preserve"> Data Warunkowej Umowy Inwestycyjnej, nazwa banku, data i kwota ze świadectwa banku oraz potwierdzenie źródła sfinansowania nabycia praw PRz. Zdanie, że umowa i zaświadczenie są załączone do wniosku, trzeba sprawdzić w LSI.</w:t>
      </w:r>
    </w:p>
    <w:p>
      <w:pPr>
        <w:pStyle w:val="ListBullet"/>
      </w:pPr>
      <w:r>
        <w:rPr>
          <w:b/>
        </w:rPr>
        <w:t>Liczby bez źródła.</w:t>
      </w:r>
      <w:r>
        <w:rPr>
          <w:b w:val="0"/>
        </w:rPr>
        <w:t xml:space="preserve"> Rynek 200 tys. naczep i 12 tys. spedytorów mają źródła w pkt 1.3 wniosku w wersji od działu technicznego (D20 można zamknąć). Zdanie o przedziale odpływu klientów 5-12% usunęłam, bo nie ma źródła. Koszty komponentów zestawu (4 875 zł) i zespół komercjalizacji to propozycja D53, którą muszą zatwierdzić dział techniczny i właścicielka.</w:t>
      </w:r>
    </w:p>
    <w:p>
      <w:pPr>
        <w:pStyle w:val="ListBullet"/>
      </w:pPr>
      <w:r>
        <w:rPr>
          <w:b/>
        </w:rPr>
        <w:t>Teksty we wniosku poza modelem.</w:t>
      </w:r>
      <w:r>
        <w:rPr>
          <w:b w:val="0"/>
        </w:rPr>
        <w:t xml:space="preserve"> W opisie opłacalności wniosek (wersja C) podaje IRR ok. 26%, a model pokazuje 20% w 2034 r. i 40,5% w 2039 r., oraz minimum środków pieniężnych ok. 2,6 mln zł zamiast ok. 0,6 mln zł (2026 r.). Zapisałam to w rejestrze (N87).</w:t>
      </w:r>
    </w:p>
    <w:p>
      <w:pPr>
        <w:pStyle w:val="ListBullet"/>
      </w:pPr>
      <w:r>
        <w:rPr>
          <w:b/>
        </w:rPr>
        <w:t>Model PRz.</w:t>
      </w:r>
      <w:r>
        <w:rPr>
          <w:b w:val="0"/>
        </w:rPr>
        <w:t xml:space="preserve"> Komentarze do arkuszy w osobnym modelu PRz (plik PRz) nie są objęte tym zestawieniem. Jeśli ekspert zarzucił ogólność także im, potrzebne będą dane od PRz.</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