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Calibri" w:cs="Calibri" w:eastAsia="Calibri" w:hAnsi="Calibri"/>
          <w:b/>
          <w:bCs/>
          <w:sz w:val="20"/>
          <w:szCs w:val="20"/>
        </w:rPr>
        <w:t xml:space="preserve">MEGALOG Spółka z ograniczoną odpowiedzialnością</w:t>
      </w:r>
    </w:p>
    <w:p>
      <w:pPr>
        <w:spacing w:after="0" w:line="276"/>
      </w:pPr>
      <w:r>
        <w:rPr>
          <w:rFonts w:ascii="Calibri" w:cs="Calibri" w:eastAsia="Calibri" w:hAnsi="Calibri"/>
          <w:sz w:val="20"/>
          <w:szCs w:val="20"/>
        </w:rPr>
        <w:t xml:space="preserve">ul. Tysiąclecia 1, 06-400 Ciechanów</w:t>
      </w:r>
    </w:p>
    <w:p>
      <w:pPr>
        <w:spacing w:after="240" w:line="276"/>
      </w:pPr>
      <w:r>
        <w:rPr>
          <w:rFonts w:ascii="Calibri" w:cs="Calibri" w:eastAsia="Calibri" w:hAnsi="Calibri"/>
          <w:sz w:val="20"/>
          <w:szCs w:val="20"/>
        </w:rPr>
        <w:t xml:space="preserve">KRS 0000887792, NIP 5662027377, REGON 388383405</w:t>
      </w:r>
    </w:p>
    <w:p>
      <w:pPr>
        <w:spacing w:after="240" w:line="276"/>
        <w:jc w:val="right"/>
      </w:pPr>
      <w:r>
        <w:rPr>
          <w:rFonts w:ascii="Calibri" w:cs="Calibri" w:eastAsia="Calibri" w:hAnsi="Calibri"/>
          <w:sz w:val="20"/>
          <w:szCs w:val="20"/>
        </w:rPr>
        <w:t xml:space="preserve">Ciechanów, dnia ……………… 2026 r.</w:t>
      </w:r>
    </w:p>
    <w:p>
      <w:pPr>
        <w:spacing w:after="0" w:line="276"/>
        <w:ind w:left="4536"/>
      </w:pPr>
      <w:r>
        <w:rPr>
          <w:rFonts w:ascii="Calibri" w:cs="Calibri" w:eastAsia="Calibri" w:hAnsi="Calibri"/>
          <w:b/>
          <w:bCs/>
          <w:sz w:val="20"/>
          <w:szCs w:val="20"/>
        </w:rPr>
        <w:t xml:space="preserve">Narodowy Fundusz Ochrony Środowiska i Gospodarki Wodnej – Krajowy Operator Funduszu Modernizacyjnego</w:t>
      </w:r>
    </w:p>
    <w:p>
      <w:pPr>
        <w:spacing w:after="0" w:line="276"/>
        <w:ind w:left="4536"/>
      </w:pPr>
      <w:r>
        <w:rPr>
          <w:rFonts w:ascii="Calibri" w:cs="Calibri" w:eastAsia="Calibri" w:hAnsi="Calibri"/>
          <w:sz w:val="20"/>
          <w:szCs w:val="20"/>
        </w:rPr>
        <w:t xml:space="preserve">Departament Elektromobilności i Beneficjenta Indywidualnego</w:t>
      </w:r>
    </w:p>
    <w:p>
      <w:pPr>
        <w:spacing w:after="0" w:line="276"/>
        <w:ind w:left="4536"/>
      </w:pPr>
      <w:r>
        <w:rPr>
          <w:rFonts w:ascii="Calibri" w:cs="Calibri" w:eastAsia="Calibri" w:hAnsi="Calibri"/>
          <w:sz w:val="20"/>
          <w:szCs w:val="20"/>
        </w:rPr>
        <w:t xml:space="preserve">Pan Piotr Stępiński, Dyrektor</w:t>
      </w:r>
    </w:p>
    <w:p>
      <w:pPr>
        <w:spacing w:after="240" w:line="276"/>
        <w:ind w:left="4536"/>
      </w:pPr>
      <w:r>
        <w:rPr>
          <w:rFonts w:ascii="Calibri" w:cs="Calibri" w:eastAsia="Calibri" w:hAnsi="Calibri"/>
          <w:sz w:val="20"/>
          <w:szCs w:val="20"/>
        </w:rPr>
        <w:t xml:space="preserve">ul. Pańska 97, 00-834 Warszawa</w:t>
      </w:r>
    </w:p>
    <w:p>
      <w:pPr>
        <w:spacing w:after="200" w:line="276"/>
      </w:pPr>
      <w:r>
        <w:rPr>
          <w:rFonts w:ascii="Calibri" w:cs="Calibri" w:eastAsia="Calibri" w:hAnsi="Calibri"/>
          <w:b/>
          <w:bCs/>
          <w:sz w:val="20"/>
          <w:szCs w:val="20"/>
        </w:rPr>
        <w:t xml:space="preserve">Dotyczy: </w:t>
      </w:r>
      <w:r>
        <w:rPr>
          <w:rFonts w:ascii="Calibri" w:cs="Calibri" w:eastAsia="Calibri" w:hAnsi="Calibri"/>
          <w:sz w:val="20"/>
          <w:szCs w:val="20"/>
        </w:rPr>
        <w:t xml:space="preserve">Umowy nr 393/2026/Wn7/OA-IN-FM/D z dnia 30.09.2026 r. o dofinansowanie realizacji Inwestycji pn. „Budowa stacji ładowania dla pojazdów kat. N2/N3 w bazie eksploatacyjnej MEGALOG sp. z o.o. w Ciechanowie przy ul. Tysiąclecia 1” (wniosek nr 1099/2025) – </w:t>
      </w:r>
      <w:r>
        <w:rPr>
          <w:rFonts w:ascii="Calibri" w:cs="Calibri" w:eastAsia="Calibri" w:hAnsi="Calibri"/>
          <w:b/>
          <w:bCs/>
          <w:sz w:val="20"/>
          <w:szCs w:val="20"/>
        </w:rPr>
        <w:t xml:space="preserve">wniosek o zmianę Umowy oraz o zgodę na zmianę Harmonogramu rzeczowo-finansowego</w:t>
      </w:r>
    </w:p>
    <w:p>
      <w:pPr>
        <w:spacing w:after="120" w:line="276"/>
      </w:pPr>
      <w:r>
        <w:rPr>
          <w:rFonts w:ascii="Calibri" w:cs="Calibri" w:eastAsia="Calibri" w:hAnsi="Calibri"/>
          <w:sz w:val="20"/>
          <w:szCs w:val="20"/>
        </w:rPr>
        <w:t xml:space="preserve">Szanowny Panie Dyrektorze,</w:t>
      </w:r>
    </w:p>
    <w:p>
      <w:pPr>
        <w:spacing w:after="120" w:line="276"/>
      </w:pPr>
      <w:r>
        <w:rPr>
          <w:rFonts w:ascii="Calibri" w:cs="Calibri" w:eastAsia="Calibri" w:hAnsi="Calibri"/>
          <w:sz w:val="20"/>
          <w:szCs w:val="20"/>
        </w:rPr>
        <w:t xml:space="preserve">MEGALOG sp. z o.o. (dalej: Beneficjent), działając na podstawie ust. 18 lit. b Warunków Szczególnych oraz § 7 i § 19 Warunków Ogólnych Umowy, zwraca się z wnioskiem o:</w:t>
      </w:r>
    </w:p>
    <w:p>
      <w:pPr>
        <w:spacing w:after="120" w:line="276"/>
        <w:ind w:left="340" w:hanging="340"/>
      </w:pPr>
      <w:r>
        <w:rPr>
          <w:rFonts w:ascii="Calibri" w:cs="Calibri" w:eastAsia="Calibri" w:hAnsi="Calibri"/>
          <w:b/>
          <w:bCs/>
          <w:sz w:val="20"/>
          <w:szCs w:val="20"/>
        </w:rPr>
        <w:t xml:space="preserve">1. </w:t>
      </w:r>
      <w:r>
        <w:rPr>
          <w:rFonts w:ascii="Calibri" w:cs="Calibri" w:eastAsia="Calibri" w:hAnsi="Calibri"/>
          <w:b/>
          <w:bCs/>
          <w:sz w:val="20"/>
          <w:szCs w:val="20"/>
        </w:rPr>
        <w:t xml:space="preserve">zmianę Umowy</w:t>
      </w:r>
      <w:r>
        <w:rPr>
          <w:rFonts w:ascii="Calibri" w:cs="Calibri" w:eastAsia="Calibri" w:hAnsi="Calibri"/>
          <w:sz w:val="20"/>
          <w:szCs w:val="20"/>
        </w:rPr>
        <w:t xml:space="preserve"> (aneks) w zakresie: (a) wydłużenia o 12 miesięcy terminów określonych w ust. 4, 6 i 7 Warunków Szczególnych, (b) zmiany Harmonogramu wypłat – refundacja (ust. 14 Warunków Szczególnych), (c) zmiany numeru rachunku bankowego (ust. 13 Warunków Szczególnych);</w:t>
      </w:r>
    </w:p>
    <w:p>
      <w:pPr>
        <w:spacing w:after="120" w:line="276"/>
        <w:ind w:left="340" w:hanging="340"/>
      </w:pPr>
      <w:r>
        <w:rPr>
          <w:rFonts w:ascii="Calibri" w:cs="Calibri" w:eastAsia="Calibri" w:hAnsi="Calibri"/>
          <w:b/>
          <w:bCs/>
          <w:sz w:val="20"/>
          <w:szCs w:val="20"/>
        </w:rPr>
        <w:t xml:space="preserve">2. </w:t>
      </w:r>
      <w:r>
        <w:rPr>
          <w:rFonts w:ascii="Calibri" w:cs="Calibri" w:eastAsia="Calibri" w:hAnsi="Calibri"/>
          <w:b/>
          <w:bCs/>
          <w:sz w:val="20"/>
          <w:szCs w:val="20"/>
        </w:rPr>
        <w:t xml:space="preserve">wyrażenie zgody na zmianę Harmonogramu rzeczowo-finansowego</w:t>
      </w:r>
      <w:r>
        <w:rPr>
          <w:rFonts w:ascii="Calibri" w:cs="Calibri" w:eastAsia="Calibri" w:hAnsi="Calibri"/>
          <w:sz w:val="20"/>
          <w:szCs w:val="20"/>
        </w:rPr>
        <w:t xml:space="preserve"> (§ 7 ust. 1 Warunków Ogólnych) zgodnie z załączonym, zaktualizowanym dokumentem.</w:t>
      </w:r>
    </w:p>
    <w:p>
      <w:pPr>
        <w:keepNext/>
        <w:spacing w:after="100" w:before="240"/>
      </w:pPr>
      <w:r>
        <w:rPr>
          <w:rFonts w:ascii="Calibri" w:cs="Calibri" w:eastAsia="Calibri" w:hAnsi="Calibri"/>
          <w:b/>
          <w:bCs/>
          <w:sz w:val="23"/>
          <w:szCs w:val="23"/>
        </w:rPr>
        <w:t xml:space="preserve">1. Wydłużenie terminów realizacji Inwestycji</w:t>
      </w:r>
    </w:p>
    <w:p>
      <w:pPr>
        <w:keepNext/>
        <w:spacing w:after="120" w:line="276"/>
      </w:pPr>
      <w:r>
        <w:rPr>
          <w:rFonts w:ascii="Calibri" w:cs="Calibri" w:eastAsia="Calibri" w:hAnsi="Calibri"/>
          <w:sz w:val="20"/>
          <w:szCs w:val="20"/>
        </w:rPr>
        <w:t xml:space="preserve">Wnioskujemy o zmianę następujących terminów: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5038"/>
        <w:gridCol w:w="1900"/>
        <w:gridCol w:w="1900"/>
      </w:tblGrid>
      <w:tr>
        <w:trPr>
          <w:cantSplit/>
          <w:tblHeader/>
        </w:trPr>
        <w:tc>
          <w:tcPr>
            <w:tcW w:type="dxa" w:w="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Ust. WS</w:t>
            </w:r>
          </w:p>
        </w:tc>
        <w:tc>
          <w:tcPr>
            <w:tcW w:type="dxa" w:w="50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left"/>
            </w:pPr>
            <w:r>
              <w:rPr>
                <w:rFonts w:ascii="Calibri" w:cs="Calibri" w:eastAsia="Calibri" w:hAnsi="Calibri"/>
                <w:b/>
                <w:bCs/>
                <w:sz w:val="19"/>
                <w:szCs w:val="19"/>
              </w:rPr>
              <w:t xml:space="preserve">Termin</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Obecnie</w:t>
            </w:r>
          </w:p>
        </w:tc>
        <w:tc>
          <w:tcPr>
            <w:tcW w:type="dxa" w:w="1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Wnioskowany</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4</w:t>
            </w:r>
          </w:p>
        </w:tc>
        <w:tc>
          <w:tcPr>
            <w:tcW w:type="dxa" w:w="503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Termin zakończenia realizacji Inwestycji</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31.12.2026 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31.12.2027 r.</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6</w:t>
            </w:r>
          </w:p>
        </w:tc>
        <w:tc>
          <w:tcPr>
            <w:tcW w:type="dxa" w:w="503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Termin osiągnięcia Efektu rzeczowego</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31.12.2026 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31.12.2027 r.</w:t>
            </w:r>
          </w:p>
        </w:tc>
      </w:tr>
      <w:tr>
        <w:trPr>
          <w:cantSplit/>
          <w:tblHeader w:val="false"/>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7</w:t>
            </w:r>
          </w:p>
        </w:tc>
        <w:tc>
          <w:tcPr>
            <w:tcW w:type="dxa" w:w="503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Termin osiągnięcia Efektu ekologicznego</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31.12.2026 r.</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31.12.2027 r.</w:t>
            </w:r>
          </w:p>
        </w:tc>
      </w:tr>
    </w:tbl>
    <w:p>
      <w:pPr>
        <w:spacing w:after="60" w:line="276"/>
      </w:pPr>
      <w:r>
        <w:rPr>
          <w:rFonts w:ascii="Calibri" w:cs="Calibri" w:eastAsia="Calibri" w:hAnsi="Calibri"/>
          <w:sz w:val="20"/>
          <w:szCs w:val="20"/>
        </w:rPr>
        <w:t xml:space="preserve"/>
      </w:r>
    </w:p>
    <w:p>
      <w:pPr>
        <w:spacing w:after="120" w:line="276"/>
      </w:pPr>
      <w:r>
        <w:rPr>
          <w:rFonts w:ascii="Calibri" w:cs="Calibri" w:eastAsia="Calibri" w:hAnsi="Calibri"/>
          <w:b/>
          <w:bCs/>
          <w:sz w:val="20"/>
          <w:szCs w:val="20"/>
        </w:rPr>
        <w:t xml:space="preserve">Uzasadnienie. </w:t>
      </w:r>
      <w:r>
        <w:rPr>
          <w:rFonts w:ascii="Calibri" w:cs="Calibri" w:eastAsia="Calibri" w:hAnsi="Calibri"/>
          <w:sz w:val="20"/>
          <w:szCs w:val="20"/>
        </w:rPr>
        <w:t xml:space="preserve">Terminy realizacji Inwestycji zostały przyjęte na etapie wniosku o dofinansowanie (złożonego 25.08.2025 r., zaktualizowanego 02.02.2026 r.), przy założeniu, że rozstrzygnięcie konkursu i zawarcie Umowy nastąpią wcześniej niż nastąpiły faktycznie. Rozstrzygnięcie konkursu i podpisanie Umowy miały miejsce później niż pierwotnie zakładano – Umowę zawarto 30.09.2026 r., czyli na trzy miesiące przed upływem terminu zakończenia realizacji Inwestycji. Pozostały okres nie pozwala na zrealizowanie całego zakresu rzeczowego (zamówienie i dostawa stacji ładowania dużej mocy, wykonanie infrastruktury zasilającej, odbiory techniczne i dopuszczenie stacji do eksploatacji) w dotychczasowych terminach.</w:t>
      </w:r>
    </w:p>
    <w:p>
      <w:pPr>
        <w:spacing w:after="120" w:line="276"/>
      </w:pPr>
      <w:r>
        <w:rPr>
          <w:rFonts w:ascii="Calibri" w:cs="Calibri" w:eastAsia="Calibri" w:hAnsi="Calibri"/>
          <w:sz w:val="20"/>
          <w:szCs w:val="20"/>
        </w:rPr>
        <w:t xml:space="preserve">Wnioskowane wydłużenie mieści się w limicie 12 miesięcy przewidzianym w ust. 18 lit. b Warunków Szczególnych i nie wykracza poza graniczny termin określony w pkt 6 ust. 1 programu priorytetowego (31.12.2027 r.). Wydłużenie nie wpływa na kwotę Dotacji ani na zakres i wielkość Efektu rzeczowego i Efektu ekologicznego.</w:t>
      </w:r>
    </w:p>
    <w:p>
      <w:pPr>
        <w:keepNext/>
        <w:spacing w:after="100" w:before="240"/>
      </w:pPr>
      <w:r>
        <w:rPr>
          <w:rFonts w:ascii="Calibri" w:cs="Calibri" w:eastAsia="Calibri" w:hAnsi="Calibri"/>
          <w:b/>
          <w:bCs/>
          <w:sz w:val="23"/>
          <w:szCs w:val="23"/>
        </w:rPr>
        <w:t xml:space="preserve">2. Harmonogram wypłat – refundacja</w:t>
      </w:r>
    </w:p>
    <w:p>
      <w:pPr>
        <w:keepNext/>
        <w:spacing w:after="120" w:line="276"/>
      </w:pPr>
      <w:r>
        <w:rPr>
          <w:rFonts w:ascii="Calibri" w:cs="Calibri" w:eastAsia="Calibri" w:hAnsi="Calibri"/>
          <w:sz w:val="20"/>
          <w:szCs w:val="20"/>
        </w:rPr>
        <w:t xml:space="preserve">W związku z wydłużeniem terminów oraz zmianą rozłożenia wydatków w Harmonogramie rzeczowo-finansowym (§ 7 ust. 4 Warunków Ogólnych) wnosimy o zmianę ust. 14 Warunków Szczególnych w następujący sposób:</w:t>
      </w:r>
    </w:p>
    <w:p>
      <w:pPr>
        <w:keepNext/>
        <w:spacing w:after="60" w:line="276"/>
      </w:pPr>
      <w:r>
        <w:rPr>
          <w:rFonts w:ascii="Calibri" w:cs="Calibri" w:eastAsia="Calibri" w:hAnsi="Calibri"/>
          <w:b/>
          <w:bCs/>
          <w:sz w:val="20"/>
          <w:szCs w:val="20"/>
        </w:rPr>
        <w:t xml:space="preserve">Obecnie: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2200"/>
        <w:gridCol w:w="2200"/>
        <w:gridCol w:w="2000"/>
        <w:gridCol w:w="2288"/>
      </w:tblGrid>
      <w:tr>
        <w:trPr>
          <w:cantSplit/>
          <w:tblHeader/>
        </w:trPr>
        <w:tc>
          <w:tcPr>
            <w:tcW w:type="dxa" w:w="9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Lp.</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right"/>
            </w:pPr>
            <w:r>
              <w:rPr>
                <w:rFonts w:ascii="Calibri" w:cs="Calibri" w:eastAsia="Calibri" w:hAnsi="Calibri"/>
                <w:b/>
                <w:bCs/>
                <w:sz w:val="19"/>
                <w:szCs w:val="19"/>
              </w:rPr>
              <w:t xml:space="preserve">Kwota (zł)</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right"/>
            </w:pPr>
            <w:r>
              <w:rPr>
                <w:rFonts w:ascii="Calibri" w:cs="Calibri" w:eastAsia="Calibri" w:hAnsi="Calibri"/>
                <w:b/>
                <w:bCs/>
                <w:sz w:val="19"/>
                <w:szCs w:val="19"/>
              </w:rPr>
              <w:t xml:space="preserve">Fundusz Modernizacyjny (zł)</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Od dnia – do dnia</w:t>
            </w:r>
          </w:p>
        </w:tc>
        <w:tc>
          <w:tcPr>
            <w:tcW w:type="dxa" w:w="228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left"/>
            </w:pPr>
            <w:r>
              <w:rPr>
                <w:rFonts w:ascii="Calibri" w:cs="Calibri" w:eastAsia="Calibri" w:hAnsi="Calibri"/>
                <w:b/>
                <w:bCs/>
                <w:sz w:val="19"/>
                <w:szCs w:val="19"/>
              </w:rPr>
              <w:t xml:space="preserve">Uwagi</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3 840 470,00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3 840 470,00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01.12.2026 – 20.12.2026</w:t>
            </w:r>
          </w:p>
        </w:tc>
        <w:tc>
          <w:tcPr>
            <w:tcW w:type="dxa" w:w="228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202 130,00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202 130,00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01.02.2027 – 28.02.2027</w:t>
            </w:r>
          </w:p>
        </w:tc>
        <w:tc>
          <w:tcPr>
            <w:tcW w:type="dxa" w:w="228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Płatność końcowa</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bCs/>
                <w:sz w:val="19"/>
                <w:szCs w:val="19"/>
              </w:rPr>
              <w:t xml:space="preserve">Razem</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bCs/>
                <w:sz w:val="19"/>
                <w:szCs w:val="19"/>
              </w:rPr>
              <w:t xml:space="preserve">4 042 600,00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bCs/>
                <w:sz w:val="19"/>
                <w:szCs w:val="19"/>
              </w:rPr>
              <w:t xml:space="preserve">4 042 600,00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bCs/>
                <w:sz w:val="19"/>
                <w:szCs w:val="19"/>
              </w:rPr>
              <w:t xml:space="preserve"/>
            </w:r>
          </w:p>
        </w:tc>
        <w:tc>
          <w:tcPr>
            <w:tcW w:type="dxa" w:w="228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bCs/>
                <w:sz w:val="19"/>
                <w:szCs w:val="19"/>
              </w:rPr>
              <w:t xml:space="preserve"/>
            </w:r>
          </w:p>
        </w:tc>
      </w:tr>
    </w:tbl>
    <w:p>
      <w:pPr>
        <w:spacing w:after="60" w:line="276"/>
      </w:pPr>
      <w:r>
        <w:rPr>
          <w:rFonts w:ascii="Calibri" w:cs="Calibri" w:eastAsia="Calibri" w:hAnsi="Calibri"/>
          <w:sz w:val="20"/>
          <w:szCs w:val="20"/>
        </w:rPr>
        <w:t xml:space="preserve"/>
      </w:r>
    </w:p>
    <w:p>
      <w:pPr>
        <w:keepNext/>
        <w:spacing w:after="60" w:line="276"/>
      </w:pPr>
      <w:r>
        <w:rPr>
          <w:rFonts w:ascii="Calibri" w:cs="Calibri" w:eastAsia="Calibri" w:hAnsi="Calibri"/>
          <w:b/>
          <w:bCs/>
          <w:sz w:val="20"/>
          <w:szCs w:val="20"/>
        </w:rPr>
        <w:t xml:space="preserve">Wnioskowany: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0"/>
        <w:gridCol w:w="2200"/>
        <w:gridCol w:w="2200"/>
        <w:gridCol w:w="2000"/>
        <w:gridCol w:w="2288"/>
      </w:tblGrid>
      <w:tr>
        <w:trPr>
          <w:cantSplit/>
          <w:tblHeader/>
        </w:trPr>
        <w:tc>
          <w:tcPr>
            <w:tcW w:type="dxa" w:w="95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Lp.</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right"/>
            </w:pPr>
            <w:r>
              <w:rPr>
                <w:rFonts w:ascii="Calibri" w:cs="Calibri" w:eastAsia="Calibri" w:hAnsi="Calibri"/>
                <w:b/>
                <w:bCs/>
                <w:sz w:val="19"/>
                <w:szCs w:val="19"/>
              </w:rPr>
              <w:t xml:space="preserve">Kwota (zł)</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right"/>
            </w:pPr>
            <w:r>
              <w:rPr>
                <w:rFonts w:ascii="Calibri" w:cs="Calibri" w:eastAsia="Calibri" w:hAnsi="Calibri"/>
                <w:b/>
                <w:bCs/>
                <w:sz w:val="19"/>
                <w:szCs w:val="19"/>
              </w:rPr>
              <w:t xml:space="preserve">Fundusz Modernizacyjny (zł)</w:t>
            </w:r>
          </w:p>
        </w:tc>
        <w:tc>
          <w:tcPr>
            <w:tcW w:type="dxa" w:w="2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Od dnia – do dnia</w:t>
            </w:r>
          </w:p>
        </w:tc>
        <w:tc>
          <w:tcPr>
            <w:tcW w:type="dxa" w:w="228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left"/>
            </w:pPr>
            <w:r>
              <w:rPr>
                <w:rFonts w:ascii="Calibri" w:cs="Calibri" w:eastAsia="Calibri" w:hAnsi="Calibri"/>
                <w:b/>
                <w:bCs/>
                <w:sz w:val="19"/>
                <w:szCs w:val="19"/>
              </w:rPr>
              <w:t xml:space="preserve">Uwagi</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2 132 445,00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2 132 445,00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01.12.2026 – 20.12.2026</w:t>
            </w:r>
          </w:p>
        </w:tc>
        <w:tc>
          <w:tcPr>
            <w:tcW w:type="dxa" w:w="228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1 708 025,00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1 708 025,00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01.08.2027 – 20.08.2027</w:t>
            </w:r>
          </w:p>
        </w:tc>
        <w:tc>
          <w:tcPr>
            <w:tcW w:type="dxa" w:w="228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3</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202 130,00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202 130,00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val="false"/>
                <w:bCs w:val="false"/>
                <w:sz w:val="19"/>
                <w:szCs w:val="19"/>
              </w:rPr>
              <w:t xml:space="preserve">01.12.2027 – 20.12.2027</w:t>
            </w:r>
          </w:p>
        </w:tc>
        <w:tc>
          <w:tcPr>
            <w:tcW w:type="dxa" w:w="228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Płatność końcowa (5%)</w:t>
            </w:r>
          </w:p>
        </w:tc>
      </w:tr>
      <w:tr>
        <w:trPr>
          <w:cantSplit/>
          <w:tblHeader w:val="false"/>
        </w:trPr>
        <w:tc>
          <w:tcPr>
            <w:tcW w:type="dxa" w:w="95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bCs/>
                <w:sz w:val="19"/>
                <w:szCs w:val="19"/>
              </w:rPr>
              <w:t xml:space="preserve">Razem</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bCs/>
                <w:sz w:val="19"/>
                <w:szCs w:val="19"/>
              </w:rPr>
              <w:t xml:space="preserve">4 042 600,00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bCs/>
                <w:sz w:val="19"/>
                <w:szCs w:val="19"/>
              </w:rPr>
              <w:t xml:space="preserve">4 042 600,00</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center"/>
            </w:pPr>
            <w:r>
              <w:rPr>
                <w:rFonts w:ascii="Calibri" w:cs="Calibri" w:eastAsia="Calibri" w:hAnsi="Calibri"/>
                <w:b/>
                <w:bCs/>
                <w:sz w:val="19"/>
                <w:szCs w:val="19"/>
              </w:rPr>
              <w:t xml:space="preserve"/>
            </w:r>
          </w:p>
        </w:tc>
        <w:tc>
          <w:tcPr>
            <w:tcW w:type="dxa" w:w="228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bCs/>
                <w:sz w:val="19"/>
                <w:szCs w:val="19"/>
              </w:rPr>
              <w:t xml:space="preserve"/>
            </w:r>
          </w:p>
        </w:tc>
      </w:tr>
    </w:tbl>
    <w:p>
      <w:pPr>
        <w:spacing w:after="60" w:line="276"/>
      </w:pPr>
      <w:r>
        <w:rPr>
          <w:rFonts w:ascii="Calibri" w:cs="Calibri" w:eastAsia="Calibri" w:hAnsi="Calibri"/>
          <w:sz w:val="20"/>
          <w:szCs w:val="20"/>
        </w:rPr>
        <w:t xml:space="preserve"/>
      </w:r>
    </w:p>
    <w:p>
      <w:pPr>
        <w:spacing w:after="120" w:line="276"/>
      </w:pPr>
      <w:r>
        <w:rPr>
          <w:rFonts w:ascii="Calibri" w:cs="Calibri" w:eastAsia="Calibri" w:hAnsi="Calibri"/>
          <w:sz w:val="20"/>
          <w:szCs w:val="20"/>
        </w:rPr>
        <w:t xml:space="preserve">Łączna kwota Dotacji oraz kwota płatności końcowej (5% Dotacji) pozostają bez zmian. Kwoty poszczególnych wypłat wynikają z rozkładu wydatków kwalifikowanych w zaktualizowanym Harmonogramie rzeczowo-finansowym (wydatki IV kwartału 2026 r. – 2 132 445 zł).</w:t>
      </w:r>
    </w:p>
    <w:p>
      <w:pPr>
        <w:keepNext/>
        <w:spacing w:after="100" w:before="240"/>
      </w:pPr>
      <w:r>
        <w:rPr>
          <w:rFonts w:ascii="Calibri" w:cs="Calibri" w:eastAsia="Calibri" w:hAnsi="Calibri"/>
          <w:b/>
          <w:bCs/>
          <w:sz w:val="23"/>
          <w:szCs w:val="23"/>
        </w:rPr>
        <w:t xml:space="preserve">3. Zmiana numeru rachunku bankowego</w:t>
      </w:r>
    </w:p>
    <w:p>
      <w:pPr>
        <w:keepNext/>
        <w:spacing w:after="120" w:line="276"/>
      </w:pPr>
      <w:r>
        <w:rPr>
          <w:rFonts w:ascii="Calibri" w:cs="Calibri" w:eastAsia="Calibri" w:hAnsi="Calibri"/>
          <w:sz w:val="20"/>
          <w:szCs w:val="20"/>
        </w:rPr>
        <w:t xml:space="preserve">Wnosimy o zmianę rachunku bankowego Beneficjenta właściwego do wypłaty środków z Dotacji – refundacja (ust. 13 Warunków Szczególnych):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left"/>
            </w:pPr>
            <w:r>
              <w:rPr>
                <w:rFonts w:ascii="Calibri" w:cs="Calibri" w:eastAsia="Calibri" w:hAnsi="Calibri"/>
                <w:b/>
                <w:bCs/>
                <w:sz w:val="19"/>
                <w:szCs w:val="19"/>
              </w:rPr>
              <w:t xml:space="preserve"/>
            </w:r>
          </w:p>
        </w:tc>
        <w:tc>
          <w:tcPr>
            <w:tcW w:type="dxa" w:w="74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left"/>
            </w:pPr>
            <w:r>
              <w:rPr>
                <w:rFonts w:ascii="Calibri" w:cs="Calibri" w:eastAsia="Calibri" w:hAnsi="Calibri"/>
                <w:b/>
                <w:bCs/>
                <w:sz w:val="19"/>
                <w:szCs w:val="19"/>
              </w:rPr>
              <w:t xml:space="preserve">Rachunek</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Obecnie</w:t>
            </w:r>
          </w:p>
        </w:tc>
        <w:tc>
          <w:tcPr>
            <w:tcW w:type="dxa" w:w="743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63 1050 1139 1000 0090 8713 6769 (ING Bank Śląski)</w:t>
            </w:r>
          </w:p>
        </w:tc>
      </w:tr>
      <w:tr>
        <w:trPr>
          <w:cantSplit/>
          <w:tblHeader w:val="false"/>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Wnioskowany</w:t>
            </w:r>
          </w:p>
        </w:tc>
        <w:tc>
          <w:tcPr>
            <w:tcW w:type="dxa" w:w="743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87 8230 0007 2006 3000 0649 0002 – Bank Spółdzielczy w Płońsku, ul. Płocka 28, 09-100 Płońsk (KRS 0000049877, NIP 567-00-05-918, REGON 000508945)</w:t>
            </w:r>
          </w:p>
        </w:tc>
      </w:tr>
    </w:tbl>
    <w:p>
      <w:pPr>
        <w:spacing w:after="60" w:line="276"/>
      </w:pPr>
      <w:r>
        <w:rPr>
          <w:rFonts w:ascii="Calibri" w:cs="Calibri" w:eastAsia="Calibri" w:hAnsi="Calibri"/>
          <w:sz w:val="20"/>
          <w:szCs w:val="20"/>
        </w:rPr>
        <w:t xml:space="preserve"/>
      </w:r>
    </w:p>
    <w:p>
      <w:pPr>
        <w:spacing w:after="120" w:line="276"/>
      </w:pPr>
      <w:r>
        <w:rPr>
          <w:rFonts w:ascii="Calibri" w:cs="Calibri" w:eastAsia="Calibri" w:hAnsi="Calibri"/>
          <w:sz w:val="20"/>
          <w:szCs w:val="20"/>
        </w:rPr>
        <w:t xml:space="preserve">Zwracamy się o możliwie szybkie rozpatrzenie wniosku w tym zakresie. Na prośbę NFOŚiGW przedstawimy potwierdzenie banku dotyczące rachunku.</w:t>
      </w:r>
    </w:p>
    <w:p>
      <w:pPr>
        <w:keepNext/>
        <w:spacing w:after="100" w:before="240"/>
      </w:pPr>
      <w:r>
        <w:rPr>
          <w:rFonts w:ascii="Calibri" w:cs="Calibri" w:eastAsia="Calibri" w:hAnsi="Calibri"/>
          <w:b/>
          <w:bCs/>
          <w:sz w:val="23"/>
          <w:szCs w:val="23"/>
        </w:rPr>
        <w:t xml:space="preserve">4. Zmiana Harmonogramu rzeczowo-finansowego (§ 7 Warunków Ogólnych)</w:t>
      </w:r>
    </w:p>
    <w:p>
      <w:pPr>
        <w:spacing w:after="120" w:line="276"/>
      </w:pPr>
      <w:r>
        <w:rPr>
          <w:rFonts w:ascii="Calibri" w:cs="Calibri" w:eastAsia="Calibri" w:hAnsi="Calibri"/>
          <w:sz w:val="20"/>
          <w:szCs w:val="20"/>
        </w:rPr>
        <w:t xml:space="preserve">Zmiana polega na przesunięciu środków pomiędzy pozycjami Harmonogramu, przy zachowaniu niezmienionej łącznej kwoty kosztów całkowitych (4 972 398 zł), kosztów kwalifikowanych (4 042 600 zł), wkładu własnego (929 798 zł) oraz dofinansowania (4 042 600 zł). Uwzględnia ona także wydłużenie terminu realizacji – wydatki rozłożono na IV kwartał 2026 r. oraz kwartały 2027 r.</w:t>
      </w:r>
    </w:p>
    <w:p>
      <w:pPr>
        <w:keepNext/>
        <w:spacing w:after="120" w:line="276"/>
      </w:pPr>
      <w:r>
        <w:rPr>
          <w:rFonts w:ascii="Calibri" w:cs="Calibri" w:eastAsia="Calibri" w:hAnsi="Calibri"/>
          <w:sz w:val="20"/>
          <w:szCs w:val="20"/>
        </w:rPr>
        <w:t xml:space="preserve">Zestawienie zmian wartości pozycji (różnica między Harmonogramem zmienionym a obecnym):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780"/>
        <w:gridCol w:w="1780"/>
        <w:gridCol w:w="1778"/>
      </w:tblGrid>
      <w:tr>
        <w:trPr>
          <w:cantSplit/>
          <w:tblHeader/>
        </w:trPr>
        <w:tc>
          <w:tcPr>
            <w:tcW w:type="dxa" w:w="4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left"/>
            </w:pPr>
            <w:r>
              <w:rPr>
                <w:rFonts w:ascii="Calibri" w:cs="Calibri" w:eastAsia="Calibri" w:hAnsi="Calibri"/>
                <w:b/>
                <w:bCs/>
                <w:sz w:val="19"/>
                <w:szCs w:val="19"/>
              </w:rPr>
              <w:t xml:space="preserve">Pozycja HRF</w:t>
            </w:r>
          </w:p>
        </w:tc>
        <w:tc>
          <w:tcPr>
            <w:tcW w:type="dxa" w:w="178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right"/>
            </w:pPr>
            <w:r>
              <w:rPr>
                <w:rFonts w:ascii="Calibri" w:cs="Calibri" w:eastAsia="Calibri" w:hAnsi="Calibri"/>
                <w:b/>
                <w:bCs/>
                <w:sz w:val="19"/>
                <w:szCs w:val="19"/>
              </w:rPr>
              <w:t xml:space="preserve">Zmiana kosztów całkowitych</w:t>
            </w:r>
          </w:p>
        </w:tc>
        <w:tc>
          <w:tcPr>
            <w:tcW w:type="dxa" w:w="178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right"/>
            </w:pPr>
            <w:r>
              <w:rPr>
                <w:rFonts w:ascii="Calibri" w:cs="Calibri" w:eastAsia="Calibri" w:hAnsi="Calibri"/>
                <w:b/>
                <w:bCs/>
                <w:sz w:val="19"/>
                <w:szCs w:val="19"/>
              </w:rPr>
              <w:t xml:space="preserve">Zmiana kosztów kwalifikowanych</w:t>
            </w:r>
          </w:p>
        </w:tc>
        <w:tc>
          <w:tcPr>
            <w:tcW w:type="dxa" w:w="177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keepNext/>
              <w:jc w:val="right"/>
            </w:pPr>
            <w:r>
              <w:rPr>
                <w:rFonts w:ascii="Calibri" w:cs="Calibri" w:eastAsia="Calibri" w:hAnsi="Calibri"/>
                <w:b/>
                <w:bCs/>
                <w:sz w:val="19"/>
                <w:szCs w:val="19"/>
              </w:rPr>
              <w:t xml:space="preserve">Zmiana dofinansowania</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[3.1] Budowa linii zasilającej SN</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−539 355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−438 500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−438 500 zł</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[3.2] Posadowienie stacji kontenerowej SN/nN</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+45 155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+36 712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+36 712 zł</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[3.3] Budowa rozdzielni SN 3-polowej</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+139 260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+113 220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+113 220 zł</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[3.4] Transformator suchy 2,5 MVA</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+53 124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+43 190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+43 190 zł</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[3.5] Budowa rozdzielni nN</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+122 943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+99 953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+99 953 zł</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[3.6] Pozostałe wyposażenie</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+18 973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+15 425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+15 425 zł</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[5.3] Kable AC nN</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+61 500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+50 000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+50 000 zł</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val="false"/>
                <w:bCs w:val="false"/>
                <w:sz w:val="19"/>
                <w:szCs w:val="19"/>
              </w:rPr>
              <w:t xml:space="preserve">[5.4] Kable DC</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+98 400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+80 000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val="false"/>
                <w:bCs w:val="false"/>
                <w:sz w:val="19"/>
                <w:szCs w:val="19"/>
              </w:rPr>
              <w:t xml:space="preserve">+80 000 zł</w:t>
            </w:r>
          </w:p>
        </w:tc>
      </w:tr>
      <w:tr>
        <w:trPr>
          <w:cantSplit/>
          <w:tblHeader w:val="false"/>
        </w:trPr>
        <w:tc>
          <w:tcPr>
            <w:tcW w:type="dxa" w:w="430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left"/>
            </w:pPr>
            <w:r>
              <w:rPr>
                <w:rFonts w:ascii="Calibri" w:cs="Calibri" w:eastAsia="Calibri" w:hAnsi="Calibri"/>
                <w:b/>
                <w:bCs/>
                <w:sz w:val="19"/>
                <w:szCs w:val="19"/>
              </w:rPr>
              <w:t xml:space="preserve">Razem</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bCs/>
                <w:sz w:val="19"/>
                <w:szCs w:val="19"/>
              </w:rPr>
              <w:t xml:space="preserve">0 zł</w:t>
            </w:r>
          </w:p>
        </w:tc>
        <w:tc>
          <w:tcPr>
            <w:tcW w:type="dxa" w:w="1780"/>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bCs/>
                <w:sz w:val="19"/>
                <w:szCs w:val="19"/>
              </w:rPr>
              <w:t xml:space="preserve">0 zł</w:t>
            </w:r>
          </w:p>
        </w:tc>
        <w:tc>
          <w:tcPr>
            <w:tcW w:type="dxa" w:w="1778"/>
            <w:tcBorders>
              <w:top w:val="single" w:color="808080" w:sz="4"/>
              <w:left w:val="single" w:color="808080" w:sz="4"/>
              <w:bottom w:val="single" w:color="808080" w:sz="4"/>
              <w:right w:val="single" w:color="808080" w:sz="4"/>
            </w:tcBorders>
            <w:tcMar>
              <w:top w:type="dxa" w:w="60"/>
              <w:left w:type="dxa" w:w="90"/>
              <w:bottom w:type="dxa" w:w="60"/>
              <w:right w:type="dxa" w:w="90"/>
            </w:tcMar>
          </w:tcPr>
          <w:p>
            <w:pPr>
              <w:keepNext/>
              <w:jc w:val="right"/>
            </w:pPr>
            <w:r>
              <w:rPr>
                <w:rFonts w:ascii="Calibri" w:cs="Calibri" w:eastAsia="Calibri" w:hAnsi="Calibri"/>
                <w:b/>
                <w:bCs/>
                <w:sz w:val="19"/>
                <w:szCs w:val="19"/>
              </w:rPr>
              <w:t xml:space="preserve">0 zł</w:t>
            </w:r>
          </w:p>
        </w:tc>
      </w:tr>
    </w:tbl>
    <w:p>
      <w:pPr>
        <w:spacing w:after="60" w:line="276"/>
      </w:pPr>
      <w:r>
        <w:rPr>
          <w:rFonts w:ascii="Calibri" w:cs="Calibri" w:eastAsia="Calibri" w:hAnsi="Calibri"/>
          <w:sz w:val="20"/>
          <w:szCs w:val="20"/>
        </w:rPr>
        <w:t xml:space="preserve"/>
      </w:r>
    </w:p>
    <w:p>
      <w:pPr>
        <w:spacing w:after="120" w:line="276"/>
      </w:pPr>
      <w:r>
        <w:rPr>
          <w:rFonts w:ascii="Calibri" w:cs="Calibri" w:eastAsia="Calibri" w:hAnsi="Calibri"/>
          <w:b/>
          <w:bCs/>
          <w:sz w:val="20"/>
          <w:szCs w:val="20"/>
        </w:rPr>
        <w:t xml:space="preserve">Uzasadnienie. </w:t>
      </w:r>
      <w:r>
        <w:rPr>
          <w:rFonts w:ascii="Calibri" w:cs="Calibri" w:eastAsia="Calibri" w:hAnsi="Calibri"/>
          <w:sz w:val="20"/>
          <w:szCs w:val="20"/>
        </w:rPr>
        <w:t xml:space="preserve">Zmiany wynikają z konieczności dostosowania zakresu rzeczowego do rzeczywistych potrzeb technicznych Inwestycji, w szczególności:</w:t>
      </w:r>
    </w:p>
    <w:p>
      <w:pPr>
        <w:pStyle w:val="ListParagraph"/>
        <w:numPr>
          <w:ilvl w:val="0"/>
          <w:numId w:val="2"/>
        </w:numPr>
        <w:spacing w:after="80" w:line="276"/>
      </w:pPr>
      <w:r>
        <w:rPr>
          <w:rFonts w:ascii="Calibri" w:cs="Calibri" w:eastAsia="Calibri" w:hAnsi="Calibri"/>
          <w:b/>
          <w:bCs/>
          <w:sz w:val="20"/>
          <w:szCs w:val="20"/>
        </w:rPr>
        <w:t xml:space="preserve">Warunki przyłączenia określone przez OSD. </w:t>
      </w:r>
      <w:r>
        <w:rPr>
          <w:rFonts w:ascii="Calibri" w:cs="Calibri" w:eastAsia="Calibri" w:hAnsi="Calibri"/>
          <w:sz w:val="20"/>
          <w:szCs w:val="20"/>
        </w:rPr>
        <w:t xml:space="preserve">W pozycji [3.1] ograniczono zakres budowy linii zasilającej SN (do 103 mb); uwolnione środki przeznaczono na pokrycie zwiększonych kosztów pozycji [3.2]–[3.6] oraz [5.3]–[5.4]. W pozycji [3.6] uwzględniono wykonanie linii zasilającej SN w technologii kablowej zamiast napowietrznej.</w:t>
      </w:r>
    </w:p>
    <w:p>
      <w:pPr>
        <w:pStyle w:val="ListParagraph"/>
        <w:numPr>
          <w:ilvl w:val="0"/>
          <w:numId w:val="2"/>
        </w:numPr>
        <w:spacing w:after="80" w:line="276"/>
      </w:pPr>
      <w:r>
        <w:rPr>
          <w:rFonts w:ascii="Calibri" w:cs="Calibri" w:eastAsia="Calibri" w:hAnsi="Calibri"/>
          <w:b/>
          <w:bCs/>
          <w:sz w:val="20"/>
          <w:szCs w:val="20"/>
        </w:rPr>
        <w:t xml:space="preserve">Doprecyzowanie wyposażenia. </w:t>
      </w:r>
      <w:r>
        <w:rPr>
          <w:rFonts w:ascii="Calibri" w:cs="Calibri" w:eastAsia="Calibri" w:hAnsi="Calibri"/>
          <w:sz w:val="20"/>
          <w:szCs w:val="20"/>
        </w:rPr>
        <w:t xml:space="preserve">Na etapie przygotowania wniosku o dofinansowanie (2025 r.) szczegółowy zakres układu zasilania nie mógł zostać w pełni określony; został on doprecyzowany dopiero w toku uzgodnień z OSD i doboru rozwiązań technicznych. Okazało się, że prawidłowe funkcjonowanie układu wymaga m.in. kompensatorów mocy, przekładników oraz zabezpieczeń różnicowoprądowych, wynikających z wymagań technicznych projektowanego układu.</w:t>
      </w:r>
    </w:p>
    <w:p>
      <w:pPr>
        <w:pStyle w:val="ListParagraph"/>
        <w:numPr>
          <w:ilvl w:val="0"/>
          <w:numId w:val="2"/>
        </w:numPr>
        <w:spacing w:after="80" w:line="276"/>
      </w:pPr>
      <w:r>
        <w:rPr>
          <w:rFonts w:ascii="Calibri" w:cs="Calibri" w:eastAsia="Calibri" w:hAnsi="Calibri"/>
          <w:b/>
          <w:bCs/>
          <w:sz w:val="20"/>
          <w:szCs w:val="20"/>
        </w:rPr>
        <w:t xml:space="preserve">Długości okablowania. </w:t>
      </w:r>
      <w:r>
        <w:rPr>
          <w:rFonts w:ascii="Calibri" w:cs="Calibri" w:eastAsia="Calibri" w:hAnsi="Calibri"/>
          <w:sz w:val="20"/>
          <w:szCs w:val="20"/>
        </w:rPr>
        <w:t xml:space="preserve">W pozycji [5.3] długość kabli AC zwiększono z 600 do 700 mb, a w pozycji [5.4] długość kabli DC z 160 do 320 mb – ze względu na rzeczywiste odległości i przebieg tras kablowych oraz wymagania techniczne producentów. W pozycji [5.4] zwiększenie wynika z konieczności zastosowania dwóch przewodów równoległych na każdy biegun (dodatni i ujemny). Ceny jednostkowe wynoszą odpowiednio 200 zł/mb ([5.3]) i 375 zł/mb ([5.4]).</w:t>
      </w:r>
    </w:p>
    <w:p>
      <w:pPr>
        <w:pStyle w:val="ListParagraph"/>
        <w:numPr>
          <w:ilvl w:val="0"/>
          <w:numId w:val="2"/>
        </w:numPr>
        <w:spacing w:after="80" w:line="276"/>
      </w:pPr>
      <w:r>
        <w:rPr>
          <w:rFonts w:ascii="Calibri" w:cs="Calibri" w:eastAsia="Calibri" w:hAnsi="Calibri"/>
          <w:b/>
          <w:bCs/>
          <w:sz w:val="20"/>
          <w:szCs w:val="20"/>
        </w:rPr>
        <w:t xml:space="preserve">Zmiana cen. </w:t>
      </w:r>
      <w:r>
        <w:rPr>
          <w:rFonts w:ascii="Calibri" w:cs="Calibri" w:eastAsia="Calibri" w:hAnsi="Calibri"/>
          <w:sz w:val="20"/>
          <w:szCs w:val="20"/>
        </w:rPr>
        <w:t xml:space="preserve">Pozostała część wzrostu wartości kosztorysowych wynika z niekorzystnych zmian cen materiałów i urządzeń od czasu złożenia wniosku w 2025 r. – przede wszystkim wzrostu ceny miedzi (szacowanego na ok. 50%), a także stali i aluminium wykorzystywanych do produkcji kabli, urządzeń i osprzętu elektroenergetycznego – oraz wzrostu kosztów transportu, dostaw i robocizny.</w:t>
      </w:r>
    </w:p>
    <w:p>
      <w:pPr>
        <w:spacing w:after="120" w:line="276"/>
      </w:pPr>
      <w:r>
        <w:rPr>
          <w:rFonts w:ascii="Calibri" w:cs="Calibri" w:eastAsia="Calibri" w:hAnsi="Calibri"/>
          <w:b/>
          <w:bCs/>
          <w:sz w:val="20"/>
          <w:szCs w:val="20"/>
        </w:rPr>
        <w:t xml:space="preserve">Przewidywany wpływ zmiany na realizację Inwestycji (§ 7 ust. 3 Warunków Ogólnych). </w:t>
      </w:r>
      <w:r>
        <w:rPr>
          <w:rFonts w:ascii="Calibri" w:cs="Calibri" w:eastAsia="Calibri" w:hAnsi="Calibri"/>
          <w:sz w:val="20"/>
          <w:szCs w:val="20"/>
        </w:rPr>
        <w:t xml:space="preserve">Zmiana nie wpływa na Efekt rzeczowy (6 ogólnodostępnych stacji ładowania DC o mocy 360 kW każda, łącznie 2,16 MW) ani na Efekt ekologiczny (zmniejszenie emisji CO₂ o 6 840 Mg/rok). Nie zmienia kwoty Dotacji, wkładu własnego Beneficjenta ani udziału dofinansowania w kosztach kwalifikowanych. Wpływ na realizację finansową ogranicza się do przesunięć wskazanych w tabeli oraz do nowego rozkładu wydatków w czasie.</w:t>
      </w:r>
    </w:p>
    <w:p>
      <w:pPr>
        <w:spacing w:after="120" w:line="276"/>
      </w:pPr>
      <w:r>
        <w:rPr>
          <w:rFonts w:ascii="Calibri" w:cs="Calibri" w:eastAsia="Calibri" w:hAnsi="Calibri"/>
          <w:sz w:val="20"/>
          <w:szCs w:val="20"/>
        </w:rPr>
        <w:t xml:space="preserve">W załączeniu przekazujemy zaktualizowany Harmonogram rzeczowo-finansowy. Jesteśmy do dyspozycji w razie uwag lub potrzeby uzupełnień.</w:t>
      </w:r>
    </w:p>
    <w:p>
      <w:pPr>
        <w:spacing w:after="200" w:line="276"/>
      </w:pPr>
      <w:r>
        <w:rPr>
          <w:rFonts w:ascii="Calibri" w:cs="Calibri" w:eastAsia="Calibri" w:hAnsi="Calibri"/>
          <w:sz w:val="20"/>
          <w:szCs w:val="20"/>
        </w:rPr>
        <w:t xml:space="preserve">Z poważaniem,</w:t>
      </w:r>
    </w:p>
    <w:p>
      <w:pPr>
        <w:spacing w:after="0" w:line="276"/>
      </w:pPr>
      <w:r>
        <w:rPr>
          <w:rFonts w:ascii="Calibri" w:cs="Calibri" w:eastAsia="Calibri" w:hAnsi="Calibri"/>
          <w:b/>
          <w:bCs/>
          <w:sz w:val="20"/>
          <w:szCs w:val="20"/>
        </w:rPr>
        <w:t xml:space="preserve">Piotr Kaźmierczak</w:t>
      </w:r>
    </w:p>
    <w:p>
      <w:pPr>
        <w:spacing w:after="0" w:line="276"/>
      </w:pPr>
      <w:r>
        <w:rPr>
          <w:rFonts w:ascii="Calibri" w:cs="Calibri" w:eastAsia="Calibri" w:hAnsi="Calibri"/>
          <w:sz w:val="20"/>
          <w:szCs w:val="20"/>
        </w:rPr>
        <w:t xml:space="preserve">Prezes Zarządu MEGALOG sp. z o.o.</w:t>
      </w:r>
    </w:p>
    <w:p>
      <w:pPr>
        <w:spacing w:after="160" w:line="276"/>
      </w:pPr>
      <w:r>
        <w:rPr>
          <w:rFonts w:ascii="Calibri" w:cs="Calibri" w:eastAsia="Calibri" w:hAnsi="Calibri"/>
          <w:i/>
          <w:iCs/>
          <w:sz w:val="20"/>
          <w:szCs w:val="20"/>
        </w:rPr>
        <w:t xml:space="preserve">(dokument podpisany kwalifikowanym podpisem elektronicznym)</w:t>
      </w:r>
    </w:p>
    <w:p>
      <w:pPr>
        <w:spacing w:after="60" w:line="276"/>
      </w:pPr>
      <w:r>
        <w:rPr>
          <w:rFonts w:ascii="Calibri" w:cs="Calibri" w:eastAsia="Calibri" w:hAnsi="Calibri"/>
          <w:b/>
          <w:bCs/>
          <w:sz w:val="20"/>
          <w:szCs w:val="20"/>
        </w:rPr>
        <w:t xml:space="preserve">Załączniki:</w:t>
      </w:r>
    </w:p>
    <w:p>
      <w:pPr>
        <w:spacing w:after="200" w:line="276"/>
      </w:pPr>
      <w:r>
        <w:rPr>
          <w:rFonts w:ascii="Calibri" w:cs="Calibri" w:eastAsia="Calibri" w:hAnsi="Calibri"/>
          <w:sz w:val="20"/>
          <w:szCs w:val="20"/>
        </w:rPr>
        <w:t xml:space="preserve">1. Zaktualizowany Harmonogram rzeczowo-finansowy (HRF) dla Umowy nr 393/2026/Wn7/OA-IN-FM/D.</w:t>
      </w:r>
    </w:p>
    <w:p>
      <w:pPr>
        <w:spacing w:after="0" w:line="276"/>
      </w:pPr>
      <w:r>
        <w:rPr>
          <w:rFonts w:ascii="Calibri" w:cs="Calibri" w:eastAsia="Calibri" w:hAnsi="Calibri"/>
          <w:b/>
          <w:bCs/>
          <w:sz w:val="20"/>
          <w:szCs w:val="20"/>
        </w:rPr>
        <w:t xml:space="preserve">Osoba do kontaktu: </w:t>
      </w:r>
      <w:r>
        <w:rPr>
          <w:rFonts w:ascii="Calibri" w:cs="Calibri" w:eastAsia="Calibri" w:hAnsi="Calibri"/>
          <w:sz w:val="20"/>
          <w:szCs w:val="20"/>
        </w:rPr>
        <w:t xml:space="preserve">Ewa Retajczyk, tel. 601 130 273, e-mail: retajczyke@gmail.com</w:t>
      </w:r>
    </w:p>
    <w:sectPr>
      <w:footerReference w:type="default" r:id="rId7"/>
      <w:pgSz w:w="11906" w:h="16838" w:orient="portrait"/>
      <w:pgMar w:top="800" w:right="1134" w:bottom="8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7"/>
        <w:szCs w:val="17"/>
      </w:rPr>
      <w:t xml:space="preserve">Strona </w:t>
    </w:r>
    <w:r>
      <w:rPr>
        <w:rFonts w:ascii="Calibri" w:cs="Calibri" w:eastAsia="Calibri" w:hAnsi="Calibri"/>
        <w:sz w:val="17"/>
        <w:szCs w:val="17"/>
      </w:rPr>
      <w:fldChar w:fldCharType="begin"/>
      <w:instrText xml:space="preserve">PAGE</w:instrText>
      <w:fldChar w:fldCharType="separate"/>
      <w:fldChar w:fldCharType="end"/>
    </w:r>
    <w:r>
      <w:rPr>
        <w:rFonts w:ascii="Calibri" w:cs="Calibri" w:eastAsia="Calibri" w:hAnsi="Calibri"/>
        <w:sz w:val="17"/>
        <w:szCs w:val="17"/>
      </w:rPr>
      <w:t xml:space="preserve"> z </w:t>
    </w:r>
    <w:r>
      <w:rPr>
        <w:rFonts w:ascii="Calibri" w:cs="Calibri" w:eastAsia="Calibri" w:hAnsi="Calibri"/>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2026-10-22T11:50:24.823Z</dcterms:created>
  <dcterms:modified xsi:type="dcterms:W3CDTF">2026-10-22T11:50:24.823Z</dcterms:modified>
</cp:coreProperties>
</file>

<file path=docProps/custom.xml><?xml version="1.0" encoding="utf-8"?>
<Properties xmlns="http://schemas.openxmlformats.org/officeDocument/2006/custom-properties" xmlns:vt="http://schemas.openxmlformats.org/officeDocument/2006/docPropsVTypes"/>
</file>