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Zmiany do wprowadzenia w plikach zamkniętych i w LSI</w:t>
      </w:r>
    </w:p>
    <w:p>
      <w:r>
        <w:rPr>
          <w:b w:val="0"/>
        </w:rPr>
        <w:t>Wniosek FENG.01.01-IP.01-A1RR/26, CargoDT. Zestawienie dotyczy plików, których nie korygujemy: Sekcja_1.3_i_ceny.docx, Poprawki_do_wklejenia_WP01-WP03.docx i Opisy_zadan_z_kamieniami_milowymi.docx. Powód zmian: odpowiedzi księgowej z 05.10.2026, odpis KRS z 05.10.2026 i Twoje decyzje D47 do D49. Każda pozycja podaje plik, miejsce, dotychczasowy zapis i nowy zapis do wklejenia w odpowiednim polu LSI.</w:t>
      </w:r>
    </w:p>
    <w:p>
      <w:pPr>
        <w:pStyle w:val="Heading1"/>
      </w:pPr>
      <w:r>
        <w:t>1. Powód zmian w skrócie</w:t>
      </w:r>
    </w:p>
    <w:p>
      <w:pPr>
        <w:pStyle w:val="ListBullet"/>
      </w:pPr>
      <w:r>
        <w:rPr>
          <w:b/>
        </w:rPr>
        <w:t>Sprzedaż Everest11:</w:t>
      </w:r>
      <w:r>
        <w:rPr>
          <w:b w:val="0"/>
        </w:rPr>
        <w:t xml:space="preserve"> w 2025 r. 95% Amazon i 5% Nara Motors, w pierwszym półroczu 2026 r. 100% Amazon. Nie ma bazy „ponad 50 aktywnych kontrahentów”, więc to sformułowanie znika.</w:t>
      </w:r>
    </w:p>
    <w:p>
      <w:pPr>
        <w:pStyle w:val="ListBullet"/>
      </w:pPr>
      <w:r>
        <w:rPr>
          <w:b/>
        </w:rPr>
        <w:t>Natanek Logistics:</w:t>
      </w:r>
      <w:r>
        <w:rPr>
          <w:b w:val="0"/>
        </w:rPr>
        <w:t xml:space="preserve"> powiązany z przyszłym Inwestorem, główny dostawca usług transportowych Everest11 (ok. 95% zakupów usług), partner testowy i jeden z trzech operatorów z listami intencyjnymi. Nie jest „niezależnym klientem”.</w:t>
      </w:r>
    </w:p>
    <w:p>
      <w:pPr>
        <w:pStyle w:val="ListBullet"/>
      </w:pPr>
      <w:r>
        <w:rPr>
          <w:b/>
        </w:rPr>
        <w:t>Dwaj pozostali operatorzy z listami intencyjnymi</w:t>
      </w:r>
      <w:r>
        <w:rPr>
          <w:b w:val="0"/>
        </w:rPr>
        <w:t xml:space="preserve"> (Hubert Lizak SZYK, Transport Towarowy Paweł Łazarczyk, razem 30 naczep) nie są powiązani z Inwestorem ani z Everest11.</w:t>
      </w:r>
    </w:p>
    <w:p>
      <w:pPr>
        <w:pStyle w:val="Heading1"/>
      </w:pPr>
      <w:r>
        <w:t>2. Sekcja_1.3_i_ceny.docx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Część VI „Segmenty i wejście na rynek”, pierwsze zdanie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„…a kanałem baza ponad 50 aktywnych kontrahentów spedycyjnych Everest11, z którymi spółka prowadzi bieżącą współpracę.”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„…a kanałem sprzedaż bezpośrednia do operatorów transportowych: trzej z nich podpisali listy intencyjne, a kolejni uczestniczyli w 15 rozmowach handlowych w okresie marzec-maj 2026.”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Rynek docelowy (innowacja produktowa), zdanie o barierze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„…a odpowie na nią bezpośredni kanał sprzedaży przez bazę ponad 50 klientów Everest11.”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„…a odpowie na nią sprzedaż bezpośrednia do operatorów transportowych.”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Rynek docelowy, zdanie o listach intencyjnych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„Trzej operatorzy z bazy klientów, Krajowe i Międzynarodowe Usługi Transportowe Hubert Lizak SZYK, Natanek Logistics i Transport Towarowy Paweł Łazarczyk, podpisali listy intencyjne na łącznie 50 naczep (20, 20 i 10), co stanowi pierwszy próg sprzedaży w 2030 r.”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„Trzej operatorzy transportowi, Krajowe i Międzynarodowe Usługi Transportowe Hubert Lizak SZYK, Natanek Logistics i Transport Towarowy Paweł Łazarczyk, podpisali listy intencyjne na łącznie 50 naczep (20, 20 i 10), co stanowi pierwszy próg sprzedaży w 2030 r. Natanek Logistics (20 naczep) jest podmiotem powiązanym z przyszłym Inwestorem, Zbigniewem Natankiem. Pozostali dwaj operatorzy (30 naczep) nie są powiązani z Inwestorem ani z Everest11.”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Plan wprowadzenia na rynek, zdanie o sprzedaży bezpośredniej (Michał Hajduk)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„…do bazy ponad 50 kontrahentów Everest11, w kontakcie bezpośrednim…”</w:t>
            </w:r>
          </w:p>
        </w:tc>
        <w:tc>
          <w:tcPr>
            <w:tcW w:type="dxa" w:w="3855"/>
          </w:tcPr>
          <w:p>
            <w:r/>
            <w:r>
              <w:rPr>
                <w:b w:val="0"/>
                <w:sz w:val="18"/>
              </w:rPr>
              <w:t>„…do operatorów transportowych, w kontakcie bezpośrednim…”</w:t>
            </w:r>
          </w:p>
        </w:tc>
      </w:tr>
    </w:tbl>
    <w:p/>
    <w:p>
      <w:pPr>
        <w:pStyle w:val="Heading1"/>
      </w:pPr>
      <w:r>
        <w:t>3. Poprawki_do_wklejenia_WP01-WP03.docx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„Opis ryzyka” (limit 2000, nowy tekst ma 1171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Cały dotychczasowy tekst, w tym zdanie „Natanek Logistics jest jednym z trzech niezależnych potwierdzonych klientów (listy intencyjne), co ogranicza skalę zależności.” i „Prawdopodobieństwo: niskie.”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Etap: cały okres realizacji i wdrożenie. Natanek Logistics jest powiązany z przyszłym Inwestorem (Zbigniew Natanek obejmie do 20% udziałów Everest11) i jednocześnie jest głównym dostawcą usług Everest11: ok. 95% zakupów usług, czyli ok. 13,4 mln zł w 2025 r. i ok. 8,4 mln zł w pierwszym półroczu 2026 r., to usługi transportowe od tego podmiotu. Natanek Logistics udostępni też flotę testową w Z9 i jest jednym z trzech operatorów, którzy podpisali listy intencyjne na zakup CargoDT (20 z 50 naczep). Transakcje z tym podmiotem mogą zostać zakwestionowane jako niezgodne z warunkami rynkowymi (przepisy CIT o podmiotach powiązanych, próg 25% udziałów, zasady pomocy publicznej i racjonalność wydatków), a duża zależność od jednego dostawcy zwiększa skutki takiego zakwestionowania albo zakłócenia współpracy. Prawdopodobieństwo: niskie do średniego. Wpływ: kwestionowanie wydatków lub przychodów, opóźnienie rozliczeń, ryzyko reputacyjne i ryzyko ciągłości usług transportowych. Zakupy usług transportowych dotyczą zwykłej działalności przewozowej Everest11 i nie są kosztami kwalifikowalnymi projektu. Wpływ na prace B+R: ograniczony do dostępności floty testowej w Z9.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„Zapobieganie ryzyku” (nowy tekst ma 1244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Cztery punkty mitygacji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Mitygacja: 1) skala zależności jest ujawniona i monitorowana: udział Natanek Logistics w zakupach usług Everest11 jest raportowany raz na kwartał w ocenie transakcji, a Everest11 utrzymuje alternatywnych dostawców usług transportowych spośród dotychczasowych dostawców spedycyjno-logistycznych i zwiększa ich udział, jeśli ceny Natanek Logistics odbiegają od rynkowych; 2) wszystkie transakcje z podmiotami powiązanymi z Inwestorem zawierane na warunkach rynkowych, weryfikowanych tą samą metodą, jaką stosujemy do cen rynkowych praw majątkowych między konsorcjantami: rozeznanie rynku (porównanie ofert innych przewoźników), niezależna wycena albo negocjacje w warunkach pełnej konkurencji; 3) umowa partnerska dotycząca floty testowej udokumentowana odniesieniem do porównywalnych ofert rynkowych (koszty wynajmu floty u innych podmiotów) oraz wpisana do rejestru transakcji; 4) formalne wskazanie, czy Everest11 i Natanek Logistics są powiązane w rozumieniu przepisów CIT (próg 25% udziałów; Inwestor obejmie maksymalnie 20%), niezależnie od tego deklaracja warunków rynkowych i dokumentacja transakcji; 5) niezależność walidacji zabezpieczona ścieżką audytu Z9 (D05) i dywersyfikacją floty (R11). Ocena transakcji prowadzona raz na kwartał.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R11, plan zastępczy, punkt 1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„…umowa partnerska z drugim przewoźnikiem spośród ponad 50 aktywnych kontrahentów Everest11 (współpraca od 2021 r.)…”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„…umowa partnerska z drugim przewoźnikiem spośród dotychczasowych dostawców usług transportowych Everest11…”</w:t>
            </w:r>
          </w:p>
        </w:tc>
      </w:tr>
    </w:tbl>
    <w:p/>
    <w:p>
      <w:pPr>
        <w:pStyle w:val="Heading1"/>
      </w:pPr>
      <w:r>
        <w:t>4. Opisy_zadan_z_kamieniami_milowymi.docx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Dotychczasowy zapis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18"/>
              </w:rPr>
              <w:t>Nowy zapis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„Opis ryzyka” (nowy tekst ma 1183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Cały dotychczasowy tekst (zdanie o „niezależnych, potwierdzonych klientach” i „Prawdopodobieństwo jest niskie”)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Ryzyko dotyczy całego okresu realizacji i wdrożenia. Natanek Logistics jest powiązany z przyszłym Inwestorem (Zbigniew Natanek obejmie do 20% udziałów Everest11) i jednocześnie jest głównym dostawcą usług Everest11: ok. 95% zakupów usług, czyli ok. 13,4 mln zł w 2025 r. i ok. 8,4 mln zł w pierwszym półroczu 2026 r., to usługi transportowe od tego podmiotu. Natanek Logistics udostępni też flotę testową w Z9 i jest jednym z trzech operatorów, którzy podpisali listy intencyjne na zakup CargoDT (20 z 50 naczep). Transakcje z tym podmiotem mogą zostać zakwestionowane jako niezgodne z warunkami rynkowymi (przepisy CIT o podmiotach powiązanych, próg 25% udziałów, zasady pomocy publicznej i racjonalność wydatków), a duża zależność od jednego dostawcy zwiększa skutki takiego zakwestionowania albo zakłócenia współpracy. Prawdopodobieństwo: niskie do średniego. Wpływ: kwestionowanie wydatków lub przychodów, opóźnienie rozliczeń, ryzyko reputacyjne i ryzyko ciągłości usług transportowych. Zakupy usług transportowych dotyczą zwykłej działalności przewozowej Everest11 i nie są kosztami kwalifikowalnymi projektu. Wpływ na prace B+R: ograniczony do dostępności floty testowej w Z9.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Ryzyko R12, pole „Sposoby zapobiegania i minimalizacji skutków” (nowy tekst ma 1332 znaków)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Cztery działania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Ryzyko ograniczamy pięcioma działaniami. Po pierwsze, skala zależności jest ujawniona i monitorowana: udział Natanek Logistics w zakupach usług Everest11 jest raportowany raz na kwartał w ocenie transakcji, a Everest11 utrzymuje alternatywnych dostawców usług transportowych spośród dotychczasowych dostawców spedycyjno-logistycznych i zwiększa ich udział, jeśli ceny Natanek Logistics odbiegają od rynkowych. Po drugie, wszystkie transakcje z podmiotami powiązanymi z Inwestorem zawieramy na warunkach rynkowych, weryfikowanych tą samą metodą, którą stosujemy do cen rynkowych praw majątkowych między konsorcjantami: rozeznaniem rynku (porównaniem ofert innych przewoźników), niezależną wyceną albo negocjacjami w warunkach pełnej konkurencji. Po trzecie, umowę partnerską dotyczącą floty testowej dokumentujemy odniesieniem do porównywalnych ofert rynkowych (koszty wynajmu floty u innych podmiotów) i wpisujemy do rejestru transakcji. Po czwarte, formalnie ustalamy, czy Everest11 i Natanek Logistics są powiązane w rozumieniu przepisów o podatku dochodowym (próg 25% udziałów, a Inwestor obejmie najwyżej 20%), a niezależnie od wyniku dokumentujemy warunki rynkowe transakcji. Po piąte, niezależność walidacji zabezpiecza ścieżka audytu z zadania Z9 i dywersyfikacja floty (R11). Ocena transakcji jest prowadzona raz na kwartał.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Zadanie Z9, akapit „Niezależność wyników zapewnia procedura…” (K3-11), dopisek na końcu akapitu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Brak zdania o skali zależności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Dopisać: „Natanek Logistics jest też głównym dostawcą usług transportowych Everest11 (ok. 95% zakupów usług), dlatego procedura nie opiera się na ocenie ani deklaracjach pracowników tego podmiotu.”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3.4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Pole 3.1.2 „Uzasadnienie kosztu: Anotatorzy - wynagrodzenie (Z2)” (K3-39; nowy tekst ma 1378 znaków, limit 1500)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8"/>
              </w:rPr>
              <w:t>Dotychczasowy tekst (888 znaków) nie podaje formy zatrudnienia, nie wskazuje, kto nadzoruje jakość anotacji, ani że taksonomię i protokół opracowuje PRz w Z3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  <w:sz w:val="18"/>
              </w:rPr>
              <w:t>Everest11 zatrudni trzech anotatorów na umowę zlecenia, każdego w wymiarze 1,0 etatu przez 10 miesięcy (M9-M18), razem ok. 5 040 godzin w zadaniu Z2. Anotatorzy wykonają anotację co najmniej 15 000 klatek RGB metodą segmentacji instancji w standardzie COCO według taksonomii klas zabezpieczeń TSL i protokołu zbioru, które w zadaniu Z3 opracuje PRz, oraz według schematu anotacji przygotowanego przez AI Lead i AI Senior Engineer Everest11. Nakład wynosi około 11-12 minut na klatkę w gęstych scenach, do czego dochodzą reanotacja po kontroli jakości i niezależna anotacja próby co najmniej 10% klatek. Jakość będzie nadzorowana dwuetapowo: AI Lead zmierzy zgodność anotatorów współczynnikiem Cohena (wymagane co najmniej 0,80; przy niższej wartości próba i klasy o skupionych rozbieżnościach zostaną zaanotowane ponownie), a specjalista ds. logistyki TSL zatwierdzi etykietę referencyjną przy rozbieżnościach. Anotatorzy będą zgłaszać przypadki niejednoznaczne, które posłużą PRz do walidacji taksonomii w zadaniu Z3 (próba pilotażowa w M10). Ich praca jest bezpośrednim udziałem w badaniach przemysłowych, ponieważ wytwarza zbiór referencyjny i dane do pomiaru zgodności, a nie samą techniczną obróbkę datasetu. Zakres stanowiska ma wyłącznie charakter badawczo-rozwojowy i nie obejmuje czynności zarządczych, kierowniczych, koordynacyjnych, administracyjnych ani nadzorczych.</w:t>
            </w:r>
          </w:p>
        </w:tc>
      </w:tr>
    </w:tbl>
    <w:p/>
    <w:p>
      <w:pPr>
        <w:pStyle w:val="Heading1"/>
      </w:pPr>
      <w:r>
        <w:t>5. Pola we wniosku (LSI) poza plikami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</w:tcPr>
          <w:p>
            <w:r/>
            <w:r>
              <w:rPr>
                <w:b/>
                <w:sz w:val="18"/>
              </w:rPr>
              <w:t>Nr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6066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Opis dokapitalizowania, źródła finansowania wkładu własnego (K6-12)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Dopisać na końcu opisu: „Kapitał zakładowy Everest11 wynosi 5 000 zł (100 udziałów po 50 zł), a jedynym wspólnikiem i prezesem zarządu jest Wojciech Chrzanowski (wpis w KRS z 02.06.2025 r.). Wkład własny wniesie inwestor, Zbigniew Natanek, który obejmie wszystkie nowe udziały w podwyższonym kapitale zakładowym na podstawie uchwały wspólników wskazującej go jako jedyną osobę uprawnioną do objęcia udziałów. Dotychczasowy wspólnik nie obejmie nowych udziałów i nie wniesie środków. Kapitał zakładowy wzrośnie tylko o wartość nominalną nowych udziałów: przy objęciu 25 udziałów po 50 zł, które odpowiadają 20% kapitału po podwyższeniu, będzie to 1 250 zł. Pozostała część wkładu inwestora (1 253 358 zł pomniejszone o wartość nominalną) zostanie wniesiona jako nadwyżka ponad wartość nominalną udziałów i przekazana na kapitał zapasowy. Liczbę obejmowanych udziałów i cenę emisyjną określi profesjonalna wycena spółki przeprowadzona po przyznaniu dofinansowania, a udział inwestora nie przekroczy 20% zgodnie z warunkową umową inwestycyjną. Pozostałe udziały, czyli co najmniej 80% kapitału po podwyższeniu, pozostają przy dotychczasowym wspólniku.”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4.2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Model finansowy Everest11 (załącznik w LSI)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Podmienić plik na Model_finansowy_CargoDT_Everest_II_kwartal_2026.xlsm (dane za II kwartał 2026, komentarze, harmonogram płatności).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8"/>
              </w:rPr>
              <w:t>4.3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8"/>
              </w:rPr>
              <w:t>Załączniki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18"/>
              </w:rPr>
              <w:t>Dodać podpisane sprawozdania za II kwartał 2026 (bilans i rachunek zysków i strat na 30.06.2026), usunąć sprawozdania za I kwartał.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