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[821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Wynik w M9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[930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Zmianę architektury sensorycznej (na przykład kamery EO ze światłem strukturalnym) albo przerwanie zadania w M9 rekomenduje Rada Konsorcjum (§ 9 umowy konsorcjum), a decyduje kierownik zarządzający.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[862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[785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Rada Konsorcjum (§ 9 umowy konsorcjum) rekomenduje w M18 wstrzymanie zadania Z4 i zmianę zakresu, a decyzję podejmuje kierownik zarządzający.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[897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[828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Rada Konsorcjum (§ 9 umowy konsorcjum) rekomenduje w M18 zawężenie zakresu (taksonomia do pasów i klinów według EN 12195, ML do 2-3 klas) albo przerwanie zadania, a decyzję podejmuje kierownik zarządzający.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[849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[951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Rada Konsorcjum (§ 9 umowy konsorcjum) rekomenduje w M27 ograniczenie zakresu funkcji albo przerwanie zadania modelowego, a decyzję podejmuje kierownik zarządzający;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[865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Rada Konsorcjum (§ 9 umowy konsorcjum) rekomenduje w M27 zawężenie zakresu funkcji 3D albo przerwanie zadania, a decyzję podejmuje kierownik zarządzający.</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[752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[926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Rada Konsorcjum (§ 9 umowy konsorcjum) rekomenduje w M27 ograniczenie zakresu funkcji dokumentacyjnych albo przerwanie zadania, a decyzję podejmuje kierownik zarządzający.</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[799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[1043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Rada Konsorcjum (§ 9 umowy konsorcjum) rekomenduje w M27 zmianę platformy lub zakresu funkcji offline albo przerwanie zadania, a decyzję podejmuje kierownik zarządzający.</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301 godzin, opracuje modele detekcji, segmentacji i klasyfikacji oraz change detection. Główny specjalista ds. systemów wizyjnych, percepcji 3D i integracji algorytmicznej, w wymiarze 301 godzin, zintegruje wyniki CV i change detection z modelem 3D. Specjalista ds. uczenia maszynowego, selekcji cech i predykcji ryzyka, w wymiarze 111 godzin, dobierze architektury i augmentację. Specjalista ds. modelowania matematycznego, statystyki i walidacji ilościowej, w wymiarze 101 godzin, wykona ocenę ilościową (precision, recall, F1, mAP). Młodszy specjalista ds. uczenia maszynowego, przygotowania danych eksperymentalnych i analizy wyników, w wymiarze 187 godzin, wesprze eksperymenty CV i zestawienia metryk. Specjalista ds. danych AI/CV, anotacji i analizy wyników modeli (225 godzin) opracuje zasady reanotacji i przeanalizuje klasy niejednoznaczne, specjalista ds. przetwarzania danych wielomodalnych i organizacji datasetu (184 godziny) przygotuje zbiory i dane do change detection, a specjalista ds. implementacji AI/CV, automatyzacji eksperymentów i edge AI (189 godzin)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[839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Wyniki w M26 (wersja RC) i w M30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[956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Rada Konsorcjum (§ 9 umowy konsorcjum) rekomenduje ograniczenie zakresu funkcji CV albo wydzielenie ich do prac po projekcie, a decyzję podejmuje kierownik zarządzający.</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[908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Zakończenie, modyfikację albo przerwanie zadania w M30 rekomenduje Rada Konsorcjum (§ 9 umowy konsorcjum), a decyzję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[1456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W M9 (zadanie Z1) lub w M27 (zadanie Z5) Rada Konsorcjum (§ 9 umowy konsorcjum) ocenia wyniki i rekomenduje zmianę architektury sensorycznej, na przykład na kamery EO ze światłem strukturalnym, albo przerwanie zadania. Decyzję podejmuje kierownik zarządzający, a zmiany w harmonogramie zgłasza do instytucji.</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[1811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W M18 (zadanie Z2) lub w M27 (zadanie Z4) Rada Konsorcjum (§ 9 umowy konsorcjum) ocenia wyniki i rekomenduje ograniczenie zakresu funkcji albo przerwanie zadania modelowego. Decyzję podejmuje kierownik zarządzający, a zmiany w harmonogramie zgłasza do instytucji.</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[1464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 M26 (wersja RC) i w M30 (wersja końcowa) Rada Konsorcjum (§ 9 umowy konsorcjum) ocenia wyniki i rekomenduje ograniczenie zakresu funkcji CV albo wydzielenie ich do prac po projekcie. Decyzję podejmuje kierownik zarządzający, a zmiany w harmonogramie zgłasza do instytucji.</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[1547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W M27 Rada Konsorcjum (§ 9 umowy konsorcjum) ocenia wyniki i rekomenduje zmianę platformy sprzętowej lub zakresu funkcji offline albo przerwanie zadania. Decyzję podejmuje kierownik zarządzający, a zmiany w harmonogramie zgłasza do instytucji.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[1400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Rada Konsorcjum (§ 9 umowy konsorcjum) rekomenduje ograniczenie zakresu funkcji uruchamianych na platformie embedded albo przerwanie zadania Z7, a decyzję podejmuje kierownik zarządzający.</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[658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według specyfikacji IT Specialist, który projektuje schemat metadanych i wersjonowanie zbioru.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[907 z 1500 znaków]</w:t>
      </w:r>
    </w:p>
    <w:p>
      <w:pPr>
        <w:spacing w:after="60"/>
        <w:shd w:val="clear" w:color="auto" w:fill="EEF6EE"/>
      </w:pPr>
      <w:r>
        <w:rPr>
          <w:b w:val="0"/>
        </w:rPr>
        <w:t>IT Specialist zaprojektuje kontrakty API dla Backend/Full-Stack Developera i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[862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według kontraktów API zaprojektowanych przez IT Specialist.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2</w:t>
      </w:r>
    </w:p>
    <w:p>
      <w:pPr>
        <w:keepNext/>
        <w:spacing w:before="160" w:after="40"/>
      </w:pPr>
      <w:r>
        <w:rPr>
          <w:b/>
          <w:sz w:val="20"/>
        </w:rPr>
        <w:t>AI Lead - wynagrodzenie (Z2)</w:t>
      </w:r>
      <w:r>
        <w:rPr>
          <w:color w:val="666666"/>
          <w:sz w:val="17"/>
        </w:rPr>
        <w:t xml:space="preserve"> [932 z 1500 znaków]</w:t>
      </w:r>
    </w:p>
    <w:p>
      <w:pPr>
        <w:spacing w:after="60"/>
        <w:shd w:val="clear" w:color="auto" w:fill="F3F3F3"/>
      </w:pPr>
      <w:r>
        <w:rPr>
          <w:b w:val="0"/>
        </w:rPr>
        <w:t>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(Z2)</w:t>
      </w:r>
      <w:r>
        <w:rPr>
          <w:color w:val="666666"/>
          <w:sz w:val="17"/>
        </w:rPr>
        <w:t xml:space="preserve"> [982 z 1500 znaków]</w:t>
      </w:r>
    </w:p>
    <w:p>
      <w:pPr>
        <w:spacing w:after="60"/>
        <w:shd w:val="clear" w:color="auto" w:fill="F3F3F3"/>
      </w:pPr>
      <w:r>
        <w:rPr>
          <w:b w:val="0"/>
        </w:rPr>
        <w:t>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(Z2)</w:t>
      </w:r>
      <w:r>
        <w:rPr>
          <w:color w:val="666666"/>
          <w:sz w:val="17"/>
        </w:rPr>
        <w:t xml:space="preserve"> [848 z 1500 znaków]</w:t>
      </w:r>
    </w:p>
    <w:p>
      <w:pPr>
        <w:spacing w:after="60"/>
        <w:shd w:val="clear" w:color="auto" w:fill="F3F3F3"/>
      </w:pPr>
      <w:r>
        <w:rPr>
          <w:b w:val="0"/>
        </w:rPr>
        <w:t>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(Z2)</w:t>
      </w:r>
      <w:r>
        <w:rPr>
          <w:color w:val="666666"/>
          <w:sz w:val="17"/>
        </w:rPr>
        <w:t xml:space="preserve"> [926 z 1500 znaków]</w:t>
      </w:r>
    </w:p>
    <w:p>
      <w:pPr>
        <w:spacing w:after="60"/>
        <w:shd w:val="clear" w:color="auto" w:fill="F3F3F3"/>
      </w:pPr>
      <w:r>
        <w:rPr>
          <w:b w:val="0"/>
        </w:rPr>
        <w:t>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(Z2)</w:t>
      </w:r>
      <w:r>
        <w:rPr>
          <w:color w:val="666666"/>
          <w:sz w:val="17"/>
        </w:rPr>
        <w:t xml:space="preserve"> [893 z 1500 znaków]</w:t>
      </w:r>
    </w:p>
    <w:p>
      <w:pPr>
        <w:spacing w:after="60"/>
        <w:shd w:val="clear" w:color="auto" w:fill="F3F3F3"/>
      </w:pPr>
      <w:r>
        <w:rPr>
          <w:b w:val="0"/>
        </w:rPr>
        <w:t>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(Z2)</w:t>
      </w:r>
      <w:r>
        <w:rPr>
          <w:color w:val="666666"/>
          <w:sz w:val="17"/>
        </w:rPr>
        <w:t xml:space="preserve"> [797 z 1500 znaków]</w:t>
      </w:r>
    </w:p>
    <w:p>
      <w:pPr>
        <w:spacing w:after="60"/>
        <w:shd w:val="clear" w:color="auto" w:fill="F3F3F3"/>
      </w:pPr>
      <w:r>
        <w:rPr>
          <w:b w:val="0"/>
        </w:rPr>
        <w:t>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(Z2)</w:t>
      </w:r>
      <w:r>
        <w:rPr>
          <w:color w:val="666666"/>
          <w:sz w:val="17"/>
        </w:rPr>
        <w:t xml:space="preserve"> [867 z 1500 znaków]</w:t>
      </w:r>
    </w:p>
    <w:p>
      <w:pPr>
        <w:spacing w:after="60"/>
        <w:shd w:val="clear" w:color="auto" w:fill="F3F3F3"/>
      </w:pPr>
      <w:r>
        <w:rPr>
          <w:b w:val="0"/>
        </w:rPr>
        <w:t>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keepNext/>
        <w:spacing w:before="160" w:after="40"/>
      </w:pPr>
      <w:r>
        <w:rPr>
          <w:b/>
          <w:sz w:val="20"/>
        </w:rPr>
        <w:t>Anotatorzy - wynagrodzenie (Z2)</w:t>
      </w:r>
      <w:r>
        <w:rPr>
          <w:color w:val="666666"/>
          <w:sz w:val="17"/>
        </w:rPr>
        <w:t xml:space="preserve"> [1014 z 1500 znaków]</w:t>
      </w:r>
    </w:p>
    <w:p>
      <w:pPr>
        <w:spacing w:after="60"/>
        <w:shd w:val="clear" w:color="auto" w:fill="F3F3F3"/>
      </w:pPr>
      <w:r>
        <w:rPr>
          <w:b w:val="0"/>
        </w:rPr>
        <w:t>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p>
      <w:pPr>
        <w:pStyle w:val="Heading3"/>
      </w:pPr>
      <w:r>
        <w:t>Zadanie 6</w:t>
      </w:r>
    </w:p>
    <w:p>
      <w:pPr>
        <w:keepNext/>
        <w:spacing w:before="160" w:after="40"/>
      </w:pPr>
      <w:r>
        <w:rPr>
          <w:b/>
          <w:sz w:val="20"/>
        </w:rPr>
        <w:t>AI Lead - wynagrodzenie (Z6)</w:t>
      </w:r>
      <w:r>
        <w:rPr>
          <w:color w:val="666666"/>
          <w:sz w:val="17"/>
        </w:rPr>
        <w:t xml:space="preserve"> [1412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(Z6)</w:t>
      </w:r>
      <w:r>
        <w:rPr>
          <w:color w:val="666666"/>
          <w:sz w:val="17"/>
        </w:rPr>
        <w:t xml:space="preserve"> [1473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[1345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(Z6)</w:t>
      </w:r>
      <w:r>
        <w:rPr>
          <w:color w:val="666666"/>
          <w:sz w:val="17"/>
        </w:rPr>
        <w:t xml:space="preserve"> [1418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(Z6)</w:t>
      </w:r>
      <w:r>
        <w:rPr>
          <w:color w:val="666666"/>
          <w:sz w:val="17"/>
        </w:rPr>
        <w:t xml:space="preserve"> [1431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[1296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[932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[1412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(Z7)</w:t>
      </w:r>
      <w:r>
        <w:rPr>
          <w:color w:val="666666"/>
          <w:sz w:val="17"/>
        </w:rPr>
        <w:t xml:space="preserve"> [1473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[1345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(Z7)</w:t>
      </w:r>
      <w:r>
        <w:rPr>
          <w:color w:val="666666"/>
          <w:sz w:val="17"/>
        </w:rPr>
        <w:t xml:space="preserve"> [1418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(Z7)</w:t>
      </w:r>
      <w:r>
        <w:rPr>
          <w:color w:val="666666"/>
          <w:sz w:val="17"/>
        </w:rPr>
        <w:t xml:space="preserve"> [1431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[1296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[1414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(Z9)</w:t>
      </w:r>
      <w:r>
        <w:rPr>
          <w:color w:val="666666"/>
          <w:sz w:val="17"/>
        </w:rPr>
        <w:t xml:space="preserve"> [1474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[1346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(Z9)</w:t>
      </w:r>
      <w:r>
        <w:rPr>
          <w:color w:val="666666"/>
          <w:sz w:val="17"/>
        </w:rPr>
        <w:t xml:space="preserve"> [1420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(Z9)</w:t>
      </w:r>
      <w:r>
        <w:rPr>
          <w:color w:val="666666"/>
          <w:sz w:val="17"/>
        </w:rPr>
        <w:t xml:space="preserve"> [1432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[1297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[917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t>301</w:t>
            </w:r>
            <w:r>
              <w:rPr>
                <w:b w:val="0"/>
                <w:sz w:val="16"/>
              </w:rPr>
            </w:r>
          </w:p>
        </w:tc>
        <w:tc>
          <w:tcPr>
            <w:tcW w:type="dxa" w:w="567"/>
          </w:tcPr>
          <w:p>
            <w:pPr>
              <w:spacing w:after="20"/>
            </w:pPr>
            <w:r/>
          </w:p>
        </w:tc>
        <w:tc>
          <w:tcPr>
            <w:tcW w:type="dxa" w:w="850"/>
          </w:tcPr>
          <w:p>
            <w:pPr>
              <w:spacing w:after="20"/>
            </w:pPr>
            <w:r>
              <w:t>1925 godz.</w:t>
            </w:r>
            <w:r>
              <w:rPr>
                <w:b w:val="0"/>
                <w:sz w:val="16"/>
              </w:rPr>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t>301</w:t>
            </w:r>
            <w:r>
              <w:rPr>
                <w:b w:val="0"/>
                <w:sz w:val="16"/>
              </w:rPr>
            </w:r>
          </w:p>
        </w:tc>
        <w:tc>
          <w:tcPr>
            <w:tcW w:type="dxa" w:w="567"/>
          </w:tcPr>
          <w:p>
            <w:pPr>
              <w:spacing w:after="20"/>
            </w:pPr>
            <w:r/>
          </w:p>
        </w:tc>
        <w:tc>
          <w:tcPr>
            <w:tcW w:type="dxa" w:w="850"/>
          </w:tcPr>
          <w:p>
            <w:pPr>
              <w:spacing w:after="20"/>
            </w:pPr>
            <w:r>
              <w:t>1925 godz.</w:t>
            </w:r>
            <w:r>
              <w:rPr>
                <w:b w:val="0"/>
                <w:sz w:val="16"/>
              </w:rPr>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t>111</w:t>
            </w:r>
            <w:r>
              <w:rPr>
                <w:b w:val="0"/>
                <w:sz w:val="16"/>
              </w:rPr>
            </w:r>
          </w:p>
        </w:tc>
        <w:tc>
          <w:tcPr>
            <w:tcW w:type="dxa" w:w="567"/>
          </w:tcPr>
          <w:p>
            <w:pPr>
              <w:spacing w:after="20"/>
            </w:pPr>
            <w:r/>
          </w:p>
        </w:tc>
        <w:tc>
          <w:tcPr>
            <w:tcW w:type="dxa" w:w="850"/>
          </w:tcPr>
          <w:p>
            <w:pPr>
              <w:spacing w:after="20"/>
            </w:pPr>
            <w:r>
              <w:t>1035 godz.</w:t>
            </w:r>
            <w:r>
              <w:rPr>
                <w:b w:val="0"/>
                <w:sz w:val="16"/>
              </w:rPr>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t>101</w:t>
            </w:r>
            <w:r>
              <w:rPr>
                <w:b w:val="0"/>
                <w:sz w:val="16"/>
              </w:rPr>
            </w:r>
          </w:p>
        </w:tc>
        <w:tc>
          <w:tcPr>
            <w:tcW w:type="dxa" w:w="567"/>
          </w:tcPr>
          <w:p>
            <w:pPr>
              <w:spacing w:after="20"/>
            </w:pPr>
            <w:r/>
          </w:p>
        </w:tc>
        <w:tc>
          <w:tcPr>
            <w:tcW w:type="dxa" w:w="850"/>
          </w:tcPr>
          <w:p>
            <w:pPr>
              <w:spacing w:after="20"/>
            </w:pPr>
            <w:r>
              <w:t>891 godz.</w:t>
            </w:r>
            <w:r>
              <w:rPr>
                <w:b w:val="0"/>
                <w:sz w:val="16"/>
              </w:rPr>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t>187</w:t>
            </w:r>
            <w:r>
              <w:rPr>
                <w:b w:val="0"/>
                <w:sz w:val="16"/>
              </w:rPr>
            </w:r>
          </w:p>
        </w:tc>
        <w:tc>
          <w:tcPr>
            <w:tcW w:type="dxa" w:w="567"/>
          </w:tcPr>
          <w:p>
            <w:pPr>
              <w:spacing w:after="20"/>
            </w:pPr>
            <w:r/>
          </w:p>
        </w:tc>
        <w:tc>
          <w:tcPr>
            <w:tcW w:type="dxa" w:w="850"/>
          </w:tcPr>
          <w:p>
            <w:pPr>
              <w:spacing w:after="20"/>
            </w:pPr>
            <w:r>
              <w:t>827 godz.</w:t>
            </w:r>
            <w:r>
              <w:rPr>
                <w:b w:val="0"/>
                <w:sz w:val="16"/>
              </w:rPr>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t>225</w:t>
            </w:r>
            <w:r>
              <w:rPr>
                <w:b w:val="0"/>
                <w:sz w:val="16"/>
              </w:rPr>
            </w:r>
          </w:p>
        </w:tc>
        <w:tc>
          <w:tcPr>
            <w:tcW w:type="dxa" w:w="567"/>
          </w:tcPr>
          <w:p>
            <w:pPr>
              <w:spacing w:after="20"/>
            </w:pPr>
            <w:r/>
          </w:p>
        </w:tc>
        <w:tc>
          <w:tcPr>
            <w:tcW w:type="dxa" w:w="850"/>
          </w:tcPr>
          <w:p>
            <w:pPr>
              <w:spacing w:after="20"/>
            </w:pPr>
            <w:r>
              <w:t>923 godz.</w:t>
            </w:r>
            <w:r>
              <w:rPr>
                <w:b w:val="0"/>
                <w:sz w:val="16"/>
              </w:rPr>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t>184</w:t>
            </w:r>
            <w:r>
              <w:rPr>
                <w:b w:val="0"/>
                <w:sz w:val="16"/>
              </w:rPr>
            </w:r>
          </w:p>
        </w:tc>
        <w:tc>
          <w:tcPr>
            <w:tcW w:type="dxa" w:w="567"/>
          </w:tcPr>
          <w:p>
            <w:pPr>
              <w:spacing w:after="20"/>
            </w:pPr>
            <w:r/>
          </w:p>
        </w:tc>
        <w:tc>
          <w:tcPr>
            <w:tcW w:type="dxa" w:w="850"/>
          </w:tcPr>
          <w:p>
            <w:pPr>
              <w:spacing w:after="20"/>
            </w:pPr>
            <w:r>
              <w:t>852 godz.</w:t>
            </w:r>
            <w:r>
              <w:rPr>
                <w:b w:val="0"/>
                <w:sz w:val="16"/>
              </w:rPr>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t>189</w:t>
            </w:r>
            <w:r>
              <w:rPr>
                <w:b w:val="0"/>
                <w:sz w:val="16"/>
              </w:rPr>
            </w:r>
          </w:p>
        </w:tc>
        <w:tc>
          <w:tcPr>
            <w:tcW w:type="dxa" w:w="567"/>
          </w:tcPr>
          <w:p>
            <w:pPr>
              <w:spacing w:after="20"/>
            </w:pPr>
            <w:r/>
          </w:p>
        </w:tc>
        <w:tc>
          <w:tcPr>
            <w:tcW w:type="dxa" w:w="850"/>
          </w:tcPr>
          <w:p>
            <w:pPr>
              <w:spacing w:after="20"/>
            </w:pPr>
            <w:r>
              <w:t>861 godz.</w:t>
            </w:r>
            <w:r>
              <w:rPr>
                <w:b w:val="0"/>
                <w:sz w:val="16"/>
              </w:rPr>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Rada Konsorcjum (§ 9 umowy konsorcjum): opisy kamieni i ryzyk odwołują się do Rady jako organu doradczego (po jednym przedstawicielu każdego członka, przewodniczy kierownik zarządzający Maciej Chrzanowski). We wniosku używamy wyłącznie nazwy „kierownik zarządzający”, zgodnie z wymaganiami konkursu. Rada ocenia wyniki i rekomenduje, decyzje o zmianie zakresu podejmuje kierownik zarządzający, a zmiany w harmonogramie zgłasza do instytucji. Skład osobowy Rady zostanie ustalony po otrzymaniu dofinansowania i nie jest wpisywany do wniosku. Stanowiska Backend/Full-Stack i Anotatorzy obsadzamy rekrutacją po dofinansowaniu (potwierdzone).</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opisu nadzoru nad zadaniami PRz i organu oceniającego kamienie milowe.</w:t>
            </w:r>
          </w:p>
        </w:tc>
        <w:tc>
          <w:tcPr>
            <w:tcW w:type="dxa" w:w="3175"/>
          </w:tcPr>
          <w:p>
            <w:pPr>
              <w:spacing w:after="20"/>
            </w:pPr>
            <w:r/>
            <w:r>
              <w:rPr>
                <w:b w:val="0"/>
                <w:sz w:val="15"/>
              </w:rPr>
              <w:t>Dopisać Radę Konsorcjum z § 9 umowy konsorcjum (po jednym przedstawicielu każdego członka, przewodniczy kierownik zarządzający (we wniosku wyłącznie ta nazwa), posiedzenia co najmniej raz na 6 miesięcy, protokoły, ocena merytoryczna i formalna realizacji zadań na wniosek kierownika zarządzającego, rekomendacje zmian w harmonogramie; to organ doradczy, nie decyzyjny),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Odniesienia do raportów No Fluff Jobs i Hays: liczby i strony zgadzają się z raportami (sprawdzone na s. 27, 30, 31, 32, 33, 35 NFJ i s. 38, 40 Hays). Niejednoznaczności opisowe: stanowiska bez wprost odpowiadającej kategorii (Backend/Full-Stack, IT Specialist, AI Lead, Anotatorzy), AI Senior Engineer ma stawkę z pasma Mid, IoT łączył dwa zakresy i Hays R&amp;D Engineer (inżynier produkcji), Hays „Opt” opisane jako „wartość optymalna”, opis „na granicy Mid/Senior” i „w środku pasma”.</w:t>
            </w:r>
          </w:p>
        </w:tc>
        <w:tc>
          <w:tcPr>
            <w:tcW w:type="dxa" w:w="3175"/>
          </w:tcPr>
          <w:p>
            <w:pPr>
              <w:spacing w:after="20"/>
            </w:pPr>
            <w:r/>
            <w:r>
              <w:rPr>
                <w:b w:val="0"/>
                <w:sz w:val="15"/>
              </w:rPr>
              <w:t>Przepisana metoda szacowania wszystkich 28 pozycji Everest11 (Z2, Z6, Z7, Z9) w formacie z uwagi 35: umowa o pracę, źródło i strona, kategoria i poziom jak w raporcie, widełki (mediany dolnych i górnych widełek z ogłoszeń), położenie stawki, przeliczenie na koszt pracodawcy; dla Anotatorów stawka godzinowa brutto-brutto (około 43 zł/h). Do decyzji właściciela: tytuł „AI Senior Engineer” przy poziomie Mid (D32). Dla osób obecnie zatrudnionych (uwaga 34) dopisać relację do obecnego wynagrodzenia.</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N31</w:t>
            </w:r>
          </w:p>
        </w:tc>
        <w:tc>
          <w:tcPr>
            <w:tcW w:type="dxa" w:w="1871"/>
          </w:tcPr>
          <w:p>
            <w:pPr>
              <w:spacing w:after="20"/>
            </w:pPr>
            <w:r/>
            <w:r>
              <w:rPr>
                <w:b w:val="0"/>
                <w:sz w:val="15"/>
              </w:rPr>
              <w:t>6.1 Zespół projektowy: status zatrudnienia osób Everest11 i PRz (uwagi 34, K5-1)</w:t>
            </w:r>
          </w:p>
        </w:tc>
        <w:tc>
          <w:tcPr>
            <w:tcW w:type="dxa" w:w="2041"/>
          </w:tcPr>
          <w:p>
            <w:pPr>
              <w:spacing w:after="20"/>
            </w:pPr>
            <w:r/>
            <w:r>
              <w:rPr>
                <w:b w:val="0"/>
                <w:sz w:val="15"/>
              </w:rPr>
              <w:t>Brak jednoznacznego statusu; pole „Status współpracy” i opis działu B+R sugerują, że część osób już pracuje u Lidera.</w:t>
            </w:r>
          </w:p>
        </w:tc>
        <w:tc>
          <w:tcPr>
            <w:tcW w:type="dxa" w:w="3175"/>
          </w:tcPr>
          <w:p>
            <w:pPr>
              <w:spacing w:after="20"/>
            </w:pPr>
            <w:r/>
            <w:r>
              <w:rPr>
                <w:b w:val="0"/>
                <w:sz w:val="15"/>
              </w:rPr>
              <w:t>Wpisać: żadna z osób Everest11 nie jest pracownikiem Everest11; wszystkie podpisały 08.06.2026 umowy warunkowe dotyczące zatrudnienia (warunek: otrzymanie dofinansowania); stawki wynegocjowano przy podpisaniu. Osoby PRz wykazane z imienia i nazwiska są pracownikami PRz. Dla każdej osoby termin rozpoczęcia, wymiar i sposób monitorowania limitu 276 godzin miesięcznie (K5-1).</w:t>
            </w:r>
          </w:p>
        </w:tc>
        <w:tc>
          <w:tcPr>
            <w:tcW w:type="dxa" w:w="1247"/>
          </w:tcPr>
          <w:p>
            <w:pPr>
              <w:spacing w:after="20"/>
            </w:pPr>
            <w:r/>
            <w:r>
              <w:rPr>
                <w:b w:val="0"/>
                <w:sz w:val="15"/>
              </w:rPr>
              <w:t>K3-34, K5-1</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821/1300</w:t>
            </w:r>
          </w:p>
        </w:tc>
        <w:tc>
          <w:tcPr>
            <w:tcW w:type="dxa" w:w="1191"/>
          </w:tcPr>
          <w:p>
            <w:pPr>
              <w:spacing w:after="20"/>
            </w:pPr>
            <w:r/>
            <w:r>
              <w:rPr>
                <w:b w:val="0"/>
                <w:sz w:val="17"/>
              </w:rPr>
              <w:t>930/1300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862/1300</w:t>
            </w:r>
          </w:p>
        </w:tc>
        <w:tc>
          <w:tcPr>
            <w:tcW w:type="dxa" w:w="1191"/>
          </w:tcPr>
          <w:p>
            <w:pPr>
              <w:spacing w:after="20"/>
            </w:pPr>
            <w:r/>
            <w:r>
              <w:rPr>
                <w:b w:val="0"/>
                <w:sz w:val="17"/>
              </w:rPr>
              <w:t>785/1300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897/1300</w:t>
            </w:r>
          </w:p>
        </w:tc>
        <w:tc>
          <w:tcPr>
            <w:tcW w:type="dxa" w:w="1191"/>
          </w:tcPr>
          <w:p>
            <w:pPr>
              <w:spacing w:after="20"/>
            </w:pPr>
            <w:r/>
            <w:r>
              <w:rPr>
                <w:b w:val="0"/>
                <w:sz w:val="17"/>
              </w:rPr>
              <w:t>828/1300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849/1300</w:t>
            </w:r>
          </w:p>
        </w:tc>
        <w:tc>
          <w:tcPr>
            <w:tcW w:type="dxa" w:w="1191"/>
          </w:tcPr>
          <w:p>
            <w:pPr>
              <w:spacing w:after="20"/>
            </w:pPr>
            <w:r/>
            <w:r>
              <w:rPr>
                <w:b w:val="0"/>
                <w:sz w:val="17"/>
              </w:rPr>
              <w:t>951/1300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865/1300</w:t>
            </w:r>
          </w:p>
        </w:tc>
        <w:tc>
          <w:tcPr>
            <w:tcW w:type="dxa" w:w="1191"/>
          </w:tcPr>
          <w:p>
            <w:pPr>
              <w:spacing w:after="20"/>
            </w:pPr>
            <w:r/>
            <w:r>
              <w:rPr>
                <w:b w:val="0"/>
                <w:sz w:val="17"/>
              </w:rPr>
              <w:t>863/1300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752/1300</w:t>
            </w:r>
          </w:p>
        </w:tc>
        <w:tc>
          <w:tcPr>
            <w:tcW w:type="dxa" w:w="1191"/>
          </w:tcPr>
          <w:p>
            <w:pPr>
              <w:spacing w:after="20"/>
            </w:pPr>
            <w:r/>
            <w:r>
              <w:rPr>
                <w:b w:val="0"/>
                <w:sz w:val="17"/>
              </w:rPr>
              <w:t>926/1300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799/1300</w:t>
            </w:r>
          </w:p>
        </w:tc>
        <w:tc>
          <w:tcPr>
            <w:tcW w:type="dxa" w:w="1191"/>
          </w:tcPr>
          <w:p>
            <w:pPr>
              <w:spacing w:after="20"/>
            </w:pPr>
            <w:r/>
            <w:r>
              <w:rPr>
                <w:b w:val="0"/>
                <w:sz w:val="17"/>
              </w:rPr>
              <w:t>1043/1300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839/1300</w:t>
            </w:r>
          </w:p>
        </w:tc>
        <w:tc>
          <w:tcPr>
            <w:tcW w:type="dxa" w:w="1191"/>
          </w:tcPr>
          <w:p>
            <w:pPr>
              <w:spacing w:after="20"/>
            </w:pPr>
            <w:r/>
            <w:r>
              <w:rPr>
                <w:b w:val="0"/>
                <w:sz w:val="17"/>
              </w:rPr>
              <w:t>956/1300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908/1300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1456/2000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1811/2000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1464/2000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1547/2000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1400/2000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