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Poprawki do wniosku wersja C (4): teksty do wklejenia</w:t>
      </w:r>
    </w:p>
    <w:p>
      <w:r>
        <w:t>Wniosek FENG.01.01-IP.01-A1RR/26, CargoDT. Przegląd wersji C (4) z 06.10.2026. Każda pozycja podaje miejsce w LSI, fragment do znalezienia i gotowy tekst. Kwoty budżetu, wartości wskaźników oprócz pozycji 1 oraz daty wdrożenia nie zmieniają się. Fragmenty oznaczone [SPRAWDŹ] wymagają Twojego potwierdzenia przed wklejeniem.</w:t>
      </w:r>
    </w:p>
    <w:p>
      <w:pPr>
        <w:pStyle w:val="Heading1"/>
      </w:pPr>
      <w:r>
        <w:t>A. Do poprawy przed wysyłką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567"/>
          </w:tcPr>
          <w:p>
            <w:r>
              <w:rPr>
                <w:b/>
              </w:rPr>
              <w:t>Nr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Gdzie (LSI)</w:t>
            </w:r>
          </w:p>
        </w:tc>
        <w:tc>
          <w:tcPr>
            <w:tcW w:type="dxa" w:w="3969"/>
          </w:tcPr>
          <w:p>
            <w:r>
              <w:rPr>
                <w:b/>
              </w:rPr>
              <w:t>Znajdź (dotychczasowy zapis)</w:t>
            </w:r>
          </w:p>
        </w:tc>
        <w:tc>
          <w:tcPr>
            <w:tcW w:type="dxa" w:w="5669"/>
          </w:tcPr>
          <w:p>
            <w:r>
              <w:rPr>
                <w:b/>
              </w:rPr>
              <w:t>Wpisz (nowy zapis)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8.2, wskaźnik obowiązkowy „Przychody ze sprzedaży poza terytorium RP produktów będących przedmiotem projektu”</w:t>
            </w:r>
          </w:p>
        </w:tc>
        <w:tc>
          <w:tcPr>
            <w:tcW w:type="dxa" w:w="3969"/>
          </w:tcPr>
          <w:p>
            <w:r>
              <w:t>Rok 2030; wartość docelowa 489 300; opis metodologii zaczynający się od „Projekt kończy się w kwietniu 2029 r. Po nim Everest11 zakończy prace wdrożeniowe…” (skopiowany z PLRR033)</w:t>
            </w:r>
          </w:p>
        </w:tc>
        <w:tc>
          <w:tcPr>
            <w:tcW w:type="dxa" w:w="5669"/>
          </w:tcPr>
          <w:p>
            <w:r>
              <w:t>Rok: 2030. Wartość docelowa: 0. Metodologia: „Rokiem osiągnięcia wartości docelowej jest 2030, czyli rok następujący po zakończeniu projektu (04.2029). W 2030 r. rusza komercyjna sprzedaż CargoDT, a nabywcami są klienci w Polsce: operatorzy objęci listami intencyjnymi na 50 pojazdów. Przychodów ze sprzedaży poza terytorium RP w tym roku nie będzie, więc wartość docelowa wynosi 0 zł. Sprzedaży zagranicznej, w tym licencji API dla dostawców TMS w regionie CEE pozyskiwanych w zadaniu Z10, nie zakładamy w prognozie finansowej; ewentualne przychody byłyby uzupełnieniem poza prognozą. Subskrypcje SaaS i zestawy sprzedane klientom w Polsce nie wchodzą do wskaźnika, nawet jeśli pojazdy jeżdżą za granicę. Wskaźnik dotyczy wyłącznie Everest11.” Weryfikacja bez zmian (sprawozdania finansowe za rok docelowy, rejestr umów, faktury).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3.2.3, Z11, pozycja „Opłaty urzędowe EPO: zgłoszeniowa i za poszukiwanie europejskie” (7 785,00 zł), pola „Uzasadnienie kosztu” i „Metoda szacowania”</w:t>
            </w:r>
          </w:p>
        </w:tc>
        <w:tc>
          <w:tcPr>
            <w:tcW w:type="dxa" w:w="3969"/>
          </w:tcPr>
          <w:p>
            <w:r>
              <w:t>Uzasadnienie: „Postępowanie przed EPO będzie wymagać dokumentacji w języku urzędowym. Specjalistyczne tłumaczenie techniczne… prawidłowegoożenia zgłoszenia w ramach Z11.” Metoda: „Oszacowanie na podstawie rynkowych stawek tłumaczeń specjalistycznych technicznych: 80–200 za stronę…”</w:t>
            </w:r>
          </w:p>
        </w:tc>
        <w:tc>
          <w:tcPr>
            <w:tcW w:type="dxa" w:w="5669"/>
          </w:tcPr>
          <w:p>
            <w:r>
              <w:t>Uzasadnienie: „Zgłoszenie w EPO będzie wymagać opłaty zgłoszeniowej i opłaty za sprawozdanie z poszukiwania europejskiego. Opłaty są warunkiem formalnym rozpoczęcia postępowania i uzyskania daty pierwszeństwa. Wydatki ogółem są równe kwalifikowalnym, bo opłaty urzędowe wnoszone na rzecz organizacji międzynarodowej nie podlegają VAT.” Metoda: „Źródło: taryfa opłat EPO obowiązująca od 1.04.2026 (Schedule of Fees, decyzja Rady Administracyjnej CA/D 9/25): opłata zgłoszeniowa online 135 EUR plus opłata za poszukiwanie europejskie 1 595 EUR, razem 1 730 EUR. Kurs średni NBP z dnia ogłoszenia naboru, 09.03.2026, wynosił 4,2836 PLN/EUR, co daje 7 410,63 zł. Przyjęto kurs planistyczny 4,50 PLN/EUR, o 5% wyższy, co daje 7 785 zł i zawiera bufor na zmianę kursu do czasu poniesienia wydatku.” Tłumaczenie jest w pozycji 11-2 (3 500 zł) i nie wchodzi do tej pozycji.</w:t>
            </w:r>
          </w:p>
        </w:tc>
      </w:tr>
      <w:tr>
        <w:tc>
          <w:tcPr>
            <w:tcW w:type="dxa" w:w="567"/>
          </w:tcPr>
          <w:p>
            <w:r>
              <w:t>3a</w:t>
            </w:r>
          </w:p>
        </w:tc>
        <w:tc>
          <w:tcPr>
            <w:tcW w:type="dxa" w:w="2268"/>
          </w:tcPr>
          <w:p>
            <w:r>
              <w:t>6.1, Michał Hajduk, „Stanowisko i zakres obowiązków w projekcie”</w:t>
            </w:r>
          </w:p>
        </w:tc>
        <w:tc>
          <w:tcPr>
            <w:tcW w:type="dxa" w:w="3969"/>
          </w:tcPr>
          <w:p>
            <w:r>
              <w:t>„Specjalista ds. logistyki TSL w Z2 poprowadzi inspekcje stanu ładunku (ground truth) w trybie ślepym, przekaże wymagania domenowe do protokołu zbioru i zatwierdzi etykietę przy rozbieżnościach anotatorów, w Z6 i Z7 zdefiniuje scenariusze operacyjne i oceni trafność alertów, w Z9 poprowadzi inspekcje, zweryfikuje próbkę obrazów i badanie akceptacji z kierowcami, a w Z10 zrepezentuje Lidera w spotkaniach z partnerami w regionie CEE.”</w:t>
            </w:r>
          </w:p>
        </w:tc>
        <w:tc>
          <w:tcPr>
            <w:tcW w:type="dxa" w:w="5669"/>
          </w:tcPr>
          <w:p>
            <w:r>
              <w:t>„Specjalista ds. logistyki TSL w Z2 poprowadzi inspekcje stanu ładunku (ground truth) w trybie ślepym i przekaże wymagania domenowe do protokołu zbioru; nie rozstrzyga rozbieżności anotatorów (robi to AI Senior Engineer według kryteriów taksonomii z Z3). W Z6 zinterpretuje operacyjnie pola eFTI i oceni treść PoL i PoC, w Z7 zdefiniuje scenariusze i progi alertów oraz oceni użyteczność powiadomienia w kabinie. W Z9 poprowadzi inspekcje ground truth, zweryfikuje próbkę obrazów terenowych i przygotuje scenariusze badania akceptacji (badanie przeprowadza AI Senior Engineer); nie ocenia trafności alertów i nie podpisuje odbioru. W Z10 zreprezentuje Lidera w spotkaniach z partnerami w regionie CEE.”</w:t>
            </w:r>
          </w:p>
        </w:tc>
      </w:tr>
      <w:tr>
        <w:tc>
          <w:tcPr>
            <w:tcW w:type="dxa" w:w="567"/>
          </w:tcPr>
          <w:p>
            <w:r>
              <w:t>3b</w:t>
            </w:r>
          </w:p>
        </w:tc>
        <w:tc>
          <w:tcPr>
            <w:tcW w:type="dxa" w:w="2268"/>
          </w:tcPr>
          <w:p>
            <w:r>
              <w:t>3.1.2, Z2, „Specjalista ds. logistyki TSL – wynagrodzenie (Z2)”, uzasadnienie kosztu</w:t>
            </w:r>
          </w:p>
        </w:tc>
        <w:tc>
          <w:tcPr>
            <w:tcW w:type="dxa" w:w="3969"/>
          </w:tcPr>
          <w:p>
            <w:r>
              <w:t>„Zatwierdzi etykietę referencyjną przy rozbieżnościach anotatorów.”</w:t>
            </w:r>
          </w:p>
        </w:tc>
        <w:tc>
          <w:tcPr>
            <w:tcW w:type="dxa" w:w="5669"/>
          </w:tcPr>
          <w:p>
            <w:r>
              <w:t>„Nie rozstrzyga rozbieżności anotatorów (rozstrzyga je AI Senior Engineer według binarnych kryteriów taksonomii z Z3); dostarcza wyłącznie protokoły inspekcji.”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1.3, „Opis działalności podmiotu”, Everest11, akapit „Skala działalności Spółki…” [SPRAWDŹ liczby w arkuszu Sprawozdania modelu]</w:t>
            </w:r>
          </w:p>
        </w:tc>
        <w:tc>
          <w:tcPr>
            <w:tcW w:type="dxa" w:w="3969"/>
          </w:tcPr>
          <w:p>
            <w:r>
              <w:t>„…przychody ze sprzedaży wyniosły 14,25 mln zł w 2025 r., a w samym I kwartale 2026 r. osiągnęły 5,05 mln zł przy zysku netto 259,5 tys. zł - przewyższającym wynik całego 2024 r. … a punktem zwrotnym jest I kw. 2026 r.”</w:t>
            </w:r>
          </w:p>
        </w:tc>
        <w:tc>
          <w:tcPr>
            <w:tcW w:type="dxa" w:w="5669"/>
          </w:tcPr>
          <w:p>
            <w:r>
              <w:t>„…przychody ze sprzedaży wyniosły 14,25 mln zł w 2025 r., a w I półroczu 2026 r. osiągnęły 9,76 mln zł przy zysku netto 501 tys. zł - wielokrotnie przewyższającym zysk za cały 2025 r. … a punktem zwrotnym jest I półrocze 2026 r.”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6.1, wymiar zaangażowania PRz (w każdym polu zamień liczby)</w:t>
            </w:r>
          </w:p>
        </w:tc>
        <w:tc>
          <w:tcPr>
            <w:tcW w:type="dxa" w:w="3969"/>
          </w:tcPr>
          <w:p>
            <w:r>
              <w:t>Nowak i Batsch: „łącznie 1949 godz., śr. ~65 godz./mc”; Kusy: „łącznie 1044 godz.”; Szuster: „łącznie 900 godz.”; Król: „łącznie 840 godz.”; w „Personel B+R planowany”: „specjalistę ds. przetwarzania danych wielomodalnych i organizacji datasetu (ok. 29 h/mc)”</w:t>
            </w:r>
          </w:p>
        </w:tc>
        <w:tc>
          <w:tcPr>
            <w:tcW w:type="dxa" w:w="5669"/>
          </w:tcPr>
          <w:p>
            <w:r>
              <w:t>Nowak i Batsch: „łącznie 1925 godz., śr. ~64 godz./mc”; Kusy: „łącznie 1035 godz., śr. ~35 godz./mc”; Szuster: „łącznie 891 godz., śr. ~30 godz./mc”; Król: „łącznie 827 godz., śr. ~28 godz./mc”; specjalista przetwarzania danych: „ok. 28 h/mc”. Liczby wynikają z godzin w 3.1.2 (Z1+Z3+Z4+Z5+Z8).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8.2, „Wnioski w zakresie znaków towarowych oraz wzorów” (wartość 1, rok 2029)</w:t>
            </w:r>
          </w:p>
        </w:tc>
        <w:tc>
          <w:tcPr>
            <w:tcW w:type="dxa" w:w="3969"/>
          </w:tcPr>
          <w:p>
            <w:r>
              <w:t>Opis metodologii: „nie dotyczy”; opis weryfikacji: „nie dotyczy”</w:t>
            </w:r>
          </w:p>
        </w:tc>
        <w:tc>
          <w:tcPr>
            <w:tcW w:type="dxa" w:w="5669"/>
          </w:tcPr>
          <w:p>
            <w:r>
              <w:t>Metodologia: „Wartość docelowa 1 odpowiada jednemu wnioskowi o prawo ochronne na wzór użytkowy w Urzędzie Patentowym RP dla zestawu sprzętowego CargoDT (konfiguracja sensoryczna naczepy z jednostką embedded). Wniosek złoży Everest11 ze środków własnych, poza kosztami projektu, w etapie 0 wdrożenia (05-10/2029), po zgłoszeniu patentowym EPO. Wskaźnik osiąga wyłącznie Everest11.” Weryfikacja: „Potwierdzenie złożenia wniosku w UP RP z numerem i datą zgłoszenia; sprawozdanie z realizacji projektu.” Jeśli nie chcesz zobowiązania do wzoru użytkowego: wartość 0 i „nie dotyczy”, ale wtedy usuń zdanie o wzorze z 2.2 i 2.3 (etap 0).</w:t>
            </w:r>
          </w:p>
        </w:tc>
      </w:tr>
    </w:tbl>
    <w:p>
      <w:pPr>
        <w:pStyle w:val="Heading1"/>
      </w:pPr>
      <w:r>
        <w:t>B. Radar mmWave: jedno pasmo 60 GHz</w:t>
      </w:r>
    </w:p>
    <w:p>
      <w:r>
        <w:t>Uzasadnienie radarów w Z2 i model referencyjny (TI IWR6843) mówią o 60 GHz (pasmo 60-64 GHz). Pozostałe miejsca ujednolicamy do tego pasma. [SPRAWDŹ z działem technicznym; od pasma zależy ścieżka certyfikacji RED w 2.3.]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567"/>
          </w:tcPr>
          <w:p>
            <w:r>
              <w:rPr>
                <w:b/>
              </w:rPr>
              <w:t>Nr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Gdzie (LSI)</w:t>
            </w:r>
          </w:p>
        </w:tc>
        <w:tc>
          <w:tcPr>
            <w:tcW w:type="dxa" w:w="3969"/>
          </w:tcPr>
          <w:p>
            <w:r>
              <w:rPr>
                <w:b/>
              </w:rPr>
              <w:t>Znajdź (dotychczasowy zapis)</w:t>
            </w:r>
          </w:p>
        </w:tc>
        <w:tc>
          <w:tcPr>
            <w:tcW w:type="dxa" w:w="5669"/>
          </w:tcPr>
          <w:p>
            <w:r>
              <w:rPr>
                <w:b/>
              </w:rPr>
              <w:t>Wpisz (nowy zapis)</w:t>
            </w:r>
          </w:p>
        </w:tc>
      </w:tr>
      <w:tr>
        <w:tc>
          <w:tcPr>
            <w:tcW w:type="dxa" w:w="567"/>
          </w:tcPr>
          <w:p>
            <w:r>
              <w:t>7a</w:t>
            </w:r>
          </w:p>
        </w:tc>
        <w:tc>
          <w:tcPr>
            <w:tcW w:type="dxa" w:w="2268"/>
          </w:tcPr>
          <w:p>
            <w:r>
              <w:t>3.1.2, Z2, „IoT Specialist – wynagrodzenie (Z2)”, uzasadnienie</w:t>
            </w:r>
          </w:p>
        </w:tc>
        <w:tc>
          <w:tcPr>
            <w:tcW w:type="dxa" w:w="3969"/>
          </w:tcPr>
          <w:p>
            <w:r>
              <w:t>„…radar mmWave FMCW 77 GHz, zaprojektuje zasilanie…”</w:t>
            </w:r>
          </w:p>
        </w:tc>
        <w:tc>
          <w:tcPr>
            <w:tcW w:type="dxa" w:w="5669"/>
          </w:tcPr>
          <w:p>
            <w:r>
              <w:t>„…radar mmWave FMCW 60 GHz, zaprojektuje zasilanie…”</w:t>
            </w:r>
          </w:p>
        </w:tc>
      </w:tr>
      <w:tr>
        <w:tc>
          <w:tcPr>
            <w:tcW w:type="dxa" w:w="567"/>
          </w:tcPr>
          <w:p>
            <w:r>
              <w:t>7b</w:t>
            </w:r>
          </w:p>
        </w:tc>
        <w:tc>
          <w:tcPr>
            <w:tcW w:type="dxa" w:w="2268"/>
          </w:tcPr>
          <w:p>
            <w:r>
              <w:t>3.1.2, Z2, „Radary mmWave”, metoda szacowania</w:t>
            </w:r>
          </w:p>
        </w:tc>
        <w:tc>
          <w:tcPr>
            <w:tcW w:type="dxa" w:w="3969"/>
          </w:tcPr>
          <w:p>
            <w:r>
              <w:t>„radar FMCW mmWave 77 GHz, SPI, point cloud, 4 szt. x 600 zł = 2 400 zł”</w:t>
            </w:r>
          </w:p>
        </w:tc>
        <w:tc>
          <w:tcPr>
            <w:tcW w:type="dxa" w:w="5669"/>
          </w:tcPr>
          <w:p>
            <w:r>
              <w:t>„radar FMCW mmWave 60 GHz (pasmo 60-64 GHz), SPI, point cloud, 4 szt. x 600 zł = 2 400 zł”</w:t>
            </w:r>
          </w:p>
        </w:tc>
      </w:tr>
      <w:tr>
        <w:tc>
          <w:tcPr>
            <w:tcW w:type="dxa" w:w="567"/>
          </w:tcPr>
          <w:p>
            <w:r>
              <w:t>7c</w:t>
            </w:r>
          </w:p>
        </w:tc>
        <w:tc>
          <w:tcPr>
            <w:tcW w:type="dxa" w:w="2268"/>
          </w:tcPr>
          <w:p>
            <w:r>
              <w:t>1.2, Opis innowacji produktowej, skład zestawu</w:t>
            </w:r>
          </w:p>
        </w:tc>
        <w:tc>
          <w:tcPr>
            <w:tcW w:type="dxa" w:w="3969"/>
          </w:tcPr>
          <w:p>
            <w:r>
              <w:t>„radar mmWave FMCW &gt;60 GHz, mierzący zajętość…”</w:t>
            </w:r>
          </w:p>
        </w:tc>
        <w:tc>
          <w:tcPr>
            <w:tcW w:type="dxa" w:w="5669"/>
          </w:tcPr>
          <w:p>
            <w:r>
              <w:t>„radar mmWave FMCW 60 GHz (pasmo 60-64 GHz), mierzący zajętość…”</w:t>
            </w:r>
          </w:p>
        </w:tc>
      </w:tr>
      <w:tr>
        <w:tc>
          <w:tcPr>
            <w:tcW w:type="dxa" w:w="567"/>
          </w:tcPr>
          <w:p>
            <w:r>
              <w:t>7d</w:t>
            </w:r>
          </w:p>
        </w:tc>
        <w:tc>
          <w:tcPr>
            <w:tcW w:type="dxa" w:w="2268"/>
          </w:tcPr>
          <w:p>
            <w:r>
              <w:t>2.3, Plan wprowadzenia, etap 0, certyfikacja CE</w:t>
            </w:r>
          </w:p>
        </w:tc>
        <w:tc>
          <w:tcPr>
            <w:tcW w:type="dxa" w:w="3969"/>
          </w:tcPr>
          <w:p>
            <w:r>
              <w:t>„…dyrektywami RED 2014/53/UE (radar mmWave &gt;60 GHz)…”</w:t>
            </w:r>
          </w:p>
        </w:tc>
        <w:tc>
          <w:tcPr>
            <w:tcW w:type="dxa" w:w="5669"/>
          </w:tcPr>
          <w:p>
            <w:r>
              <w:t>„…dyrektywami RED 2014/53/UE (radar mmWave 60 GHz)…”</w:t>
            </w:r>
          </w:p>
        </w:tc>
      </w:tr>
    </w:tbl>
    <w:p>
      <w:pPr>
        <w:pStyle w:val="Heading1"/>
      </w:pPr>
      <w:r>
        <w:t>C. Alert w kabinie: bez buzzera i alarmu antykradzieżowego</w:t>
      </w:r>
    </w:p>
    <w:p>
      <w:r>
        <w:t>Opis produktu mówi o cichej notyfikacji bez dźwięku. Usuwamy buzzer i „alarm antykradzieżowy” z kosztów; kwota 500 zł za panel HMI zostaje bez zmian (budżet i dofinansowanie się nie zmieniają).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567"/>
          </w:tcPr>
          <w:p>
            <w:r>
              <w:rPr>
                <w:b/>
              </w:rPr>
              <w:t>Nr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Gdzie (LSI)</w:t>
            </w:r>
          </w:p>
        </w:tc>
        <w:tc>
          <w:tcPr>
            <w:tcW w:type="dxa" w:w="3969"/>
          </w:tcPr>
          <w:p>
            <w:r>
              <w:rPr>
                <w:b/>
              </w:rPr>
              <w:t>Znajdź (dotychczasowy zapis)</w:t>
            </w:r>
          </w:p>
        </w:tc>
        <w:tc>
          <w:tcPr>
            <w:tcW w:type="dxa" w:w="5669"/>
          </w:tcPr>
          <w:p>
            <w:r>
              <w:rPr>
                <w:b/>
              </w:rPr>
              <w:t>Wpisz (nowy zapis)</w:t>
            </w:r>
          </w:p>
        </w:tc>
      </w:tr>
      <w:tr>
        <w:tc>
          <w:tcPr>
            <w:tcW w:type="dxa" w:w="567"/>
          </w:tcPr>
          <w:p>
            <w:r>
              <w:t>8a</w:t>
            </w:r>
          </w:p>
        </w:tc>
        <w:tc>
          <w:tcPr>
            <w:tcW w:type="dxa" w:w="2268"/>
          </w:tcPr>
          <w:p>
            <w:r>
              <w:t>3.1.2, Z2, „Zasilanie, integracja mechaniczna i okablowanie toru pomiarowego”, uzasadnienie</w:t>
            </w:r>
          </w:p>
        </w:tc>
        <w:tc>
          <w:tcPr>
            <w:tcW w:type="dxa" w:w="3969"/>
          </w:tcPr>
          <w:p>
            <w:r>
              <w:t>„Panel HMI będzie wyświetlał ciche notyfikacje o poziomie ryzyka i stan systemu, a buzzer posłuży wyłącznie do alarmu antykradzieżowego i sygnałów serwisowych na postoju; w Z7 panel zostanie zintegrowany z potokiem alertów (3 poziomy ryzyka i alarm antykradzieżowy), a w Z9 sprawdzony z kierowcami i dyspozytorami.”</w:t>
            </w:r>
          </w:p>
        </w:tc>
        <w:tc>
          <w:tcPr>
            <w:tcW w:type="dxa" w:w="5669"/>
          </w:tcPr>
          <w:p>
            <w:r>
              <w:t>„Panel HMI będzie wyświetlał ciche notyfikacje wizualne o poziomie ryzyka (ikona i kolor) oraz stan systemu, bez dźwięku; w Z7 panel zostanie zintegrowany z potokiem alertów (3 poziomy ryzyka), a w Z9 sprawdzony z kierowcami i dyspozytorami.”</w:t>
            </w:r>
          </w:p>
        </w:tc>
      </w:tr>
      <w:tr>
        <w:tc>
          <w:tcPr>
            <w:tcW w:type="dxa" w:w="567"/>
          </w:tcPr>
          <w:p>
            <w:r>
              <w:t>8b</w:t>
            </w:r>
          </w:p>
        </w:tc>
        <w:tc>
          <w:tcPr>
            <w:tcW w:type="dxa" w:w="2268"/>
          </w:tcPr>
          <w:p>
            <w:r>
              <w:t>ta sama pozycja, metoda szacowania</w:t>
            </w:r>
          </w:p>
        </w:tc>
        <w:tc>
          <w:tcPr>
            <w:tcW w:type="dxa" w:w="3969"/>
          </w:tcPr>
          <w:p>
            <w:r>
              <w:t>„panel HMI z buzzerem 100 dB, 4 szt. x 500 zł = 2 000 zł”</w:t>
            </w:r>
          </w:p>
        </w:tc>
        <w:tc>
          <w:tcPr>
            <w:tcW w:type="dxa" w:w="5669"/>
          </w:tcPr>
          <w:p>
            <w:r>
              <w:t>„panel HMI (wyświetlacz notyfikacji), 4 szt. x 500 zł = 2 000 zł”</w:t>
            </w:r>
          </w:p>
        </w:tc>
      </w:tr>
      <w:tr>
        <w:tc>
          <w:tcPr>
            <w:tcW w:type="dxa" w:w="567"/>
          </w:tcPr>
          <w:p>
            <w:r>
              <w:t>8c</w:t>
            </w:r>
          </w:p>
        </w:tc>
        <w:tc>
          <w:tcPr>
            <w:tcW w:type="dxa" w:w="2268"/>
          </w:tcPr>
          <w:p>
            <w:r>
              <w:t>7.1, tabela „Dostępność produktu/usługi w projekcie”, pierwsza pozycja, „Nazwa produktu/usługi”</w:t>
            </w:r>
          </w:p>
        </w:tc>
        <w:tc>
          <w:tcPr>
            <w:tcW w:type="dxa" w:w="3969"/>
          </w:tcPr>
          <w:p>
            <w:r>
              <w:t>„Zestaw CargoDT z panelem HMI i alarmem dźwiękowym w kabinie”</w:t>
            </w:r>
          </w:p>
        </w:tc>
        <w:tc>
          <w:tcPr>
            <w:tcW w:type="dxa" w:w="5669"/>
          </w:tcPr>
          <w:p>
            <w:r>
              <w:t>„Zestaw CargoDT z panelem HMI w kabinie (ciche notyfikacje wizualne)”</w:t>
            </w:r>
          </w:p>
        </w:tc>
      </w:tr>
    </w:tbl>
    <w:p>
      <w:pPr>
        <w:pStyle w:val="Heading1"/>
      </w:pPr>
      <w:r>
        <w:t>D. Dodatkowo (krótkie poprawki z przeglądu)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567"/>
          </w:tcPr>
          <w:p>
            <w:r>
              <w:rPr>
                <w:b/>
              </w:rPr>
              <w:t>Nr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Gdzie (LSI)</w:t>
            </w:r>
          </w:p>
        </w:tc>
        <w:tc>
          <w:tcPr>
            <w:tcW w:type="dxa" w:w="3969"/>
          </w:tcPr>
          <w:p>
            <w:r>
              <w:rPr>
                <w:b/>
              </w:rPr>
              <w:t>Znajdź (dotychczasowy zapis)</w:t>
            </w:r>
          </w:p>
        </w:tc>
        <w:tc>
          <w:tcPr>
            <w:tcW w:type="dxa" w:w="5669"/>
          </w:tcPr>
          <w:p>
            <w:r>
              <w:rPr>
                <w:b/>
              </w:rPr>
              <w:t>Wpisz (nowy zapis)</w:t>
            </w:r>
          </w:p>
        </w:tc>
      </w:tr>
      <w:tr>
        <w:tc>
          <w:tcPr>
            <w:tcW w:type="dxa" w:w="567"/>
          </w:tcPr>
          <w:p>
            <w:r>
              <w:t>9a</w:t>
            </w:r>
          </w:p>
        </w:tc>
        <w:tc>
          <w:tcPr>
            <w:tcW w:type="dxa" w:w="2268"/>
          </w:tcPr>
          <w:p>
            <w:r>
              <w:t>3.2.2, Z11, rezultat i kamień milowy</w:t>
            </w:r>
          </w:p>
        </w:tc>
        <w:tc>
          <w:tcPr>
            <w:tcW w:type="dxa" w:w="3969"/>
          </w:tcPr>
          <w:p>
            <w:r>
              <w:t>„…w terminie M29, czyli w kwietniu 2029 r.”</w:t>
            </w:r>
          </w:p>
        </w:tc>
        <w:tc>
          <w:tcPr>
            <w:tcW w:type="dxa" w:w="5669"/>
          </w:tcPr>
          <w:p>
            <w:r>
              <w:t>„…w terminie M30, czyli w kwietniu 2029 r.”</w:t>
            </w:r>
          </w:p>
        </w:tc>
      </w:tr>
      <w:tr>
        <w:tc>
          <w:tcPr>
            <w:tcW w:type="dxa" w:w="567"/>
          </w:tcPr>
          <w:p>
            <w:r>
              <w:t>9b</w:t>
            </w:r>
          </w:p>
        </w:tc>
        <w:tc>
          <w:tcPr>
            <w:tcW w:type="dxa" w:w="2268"/>
          </w:tcPr>
          <w:p>
            <w:r>
              <w:t>3.1.1, Z9, „Szczegółowy opis”, ostatni akapit</w:t>
            </w:r>
          </w:p>
        </w:tc>
        <w:tc>
          <w:tcPr>
            <w:tcW w:type="dxa" w:w="3969"/>
          </w:tcPr>
          <w:p>
            <w:r>
              <w:t>„Raport techniczny z zadania Z9 jest wejściem do prac patentowych w zadaniu Z11”</w:t>
            </w:r>
          </w:p>
        </w:tc>
        <w:tc>
          <w:tcPr>
            <w:tcW w:type="dxa" w:w="5669"/>
          </w:tcPr>
          <w:p>
            <w:r>
              <w:t>„Wyniki Fazy B zadania Z9 (do M29) są wejściem do prac patentowych w zadaniu Z11”</w:t>
            </w:r>
          </w:p>
        </w:tc>
      </w:tr>
      <w:tr>
        <w:tc>
          <w:tcPr>
            <w:tcW w:type="dxa" w:w="567"/>
          </w:tcPr>
          <w:p>
            <w:r>
              <w:t>9c</w:t>
            </w:r>
          </w:p>
        </w:tc>
        <w:tc>
          <w:tcPr>
            <w:tcW w:type="dxa" w:w="2268"/>
          </w:tcPr>
          <w:p>
            <w:r>
              <w:t>2.2, „Przedmiot ochrony i planowana ochrona praw”</w:t>
            </w:r>
          </w:p>
        </w:tc>
        <w:tc>
          <w:tcPr>
            <w:tcW w:type="dxa" w:w="3969"/>
          </w:tcPr>
          <w:p>
            <w:r>
              <w:t>„…wynoszą ok. 33,3 tys. PLN i są ujęte w zadaniu Z11 budżetu Everest11.”</w:t>
            </w:r>
          </w:p>
        </w:tc>
        <w:tc>
          <w:tcPr>
            <w:tcW w:type="dxa" w:w="5669"/>
          </w:tcPr>
          <w:p>
            <w:r>
              <w:t>„…wynoszą 31,3 tys. PLN kwalifikowalnych (36,7 tys. PLN z VAT) i są ujęte w zadaniu Z11 budżetu Everest11.”</w:t>
            </w:r>
          </w:p>
        </w:tc>
      </w:tr>
      <w:tr>
        <w:tc>
          <w:tcPr>
            <w:tcW w:type="dxa" w:w="567"/>
          </w:tcPr>
          <w:p>
            <w:r>
              <w:t>9d</w:t>
            </w:r>
          </w:p>
        </w:tc>
        <w:tc>
          <w:tcPr>
            <w:tcW w:type="dxa" w:w="2268"/>
          </w:tcPr>
          <w:p>
            <w:r>
              <w:t>3.1.2, pięć pozycji PRz „specjalista ds. modelowania matematycznego, statystyki i walidacji ilościowej” (Z1, Z3, Z4, Z5, Z8), metoda szacowania</w:t>
            </w:r>
          </w:p>
        </w:tc>
        <w:tc>
          <w:tcPr>
            <w:tcW w:type="dxa" w:w="3969"/>
          </w:tcPr>
          <w:p>
            <w:r>
              <w:t>„Stanowisko zajmie pracownik z tytułem lub stopniem dr hab. nauk matematycznych.”</w:t>
            </w:r>
          </w:p>
        </w:tc>
        <w:tc>
          <w:tcPr>
            <w:tcW w:type="dxa" w:w="5669"/>
          </w:tcPr>
          <w:p>
            <w:r>
              <w:t>„Stanowisko zajmie pracownik z tytułem lub stopniem dr hab. inż.” (zgodnie z 6.1: Marcin Szuster) [SPRAWDŹ z PRz]</w:t>
            </w:r>
          </w:p>
        </w:tc>
      </w:tr>
      <w:tr>
        <w:tc>
          <w:tcPr>
            <w:tcW w:type="dxa" w:w="567"/>
          </w:tcPr>
          <w:p>
            <w:r>
              <w:t>9e</w:t>
            </w:r>
          </w:p>
        </w:tc>
        <w:tc>
          <w:tcPr>
            <w:tcW w:type="dxa" w:w="2268"/>
          </w:tcPr>
          <w:p>
            <w:r>
              <w:t>3.2.5 i 3.2.2 (podróże)</w:t>
            </w:r>
          </w:p>
        </w:tc>
        <w:tc>
          <w:tcPr>
            <w:tcW w:type="dxa" w:w="3969"/>
          </w:tcPr>
          <w:p>
            <w:r>
              <w:t>3.2.5: „(Przewodnik 5.3.4)” w uzasadnieniu wyjazdu na kongres; 3.2.2 i tabela wydarzeń: „misja gospodarcza do CEE (np. Czechy/Rumunia)”</w:t>
            </w:r>
          </w:p>
        </w:tc>
        <w:tc>
          <w:tcPr>
            <w:tcW w:type="dxa" w:w="5669"/>
          </w:tcPr>
          <w:p>
            <w:r>
              <w:t>Kongres: „(Przewodnik 5.3.3)”; nazwa wydarzenia: „misja gospodarcza do Czech”. Rodzaj pomocy dla 2 stawek kongresowych (art. 19 GBER) i 1 misji (de minimis) wymaga rozbicia na dwie pozycje albo zmiany zdania w 3.2.2 [DO DECYZJI].</w:t>
            </w:r>
          </w:p>
        </w:tc>
      </w:tr>
      <w:tr>
        <w:tc>
          <w:tcPr>
            <w:tcW w:type="dxa" w:w="567"/>
          </w:tcPr>
          <w:p>
            <w:r>
              <w:t>9f</w:t>
            </w:r>
          </w:p>
        </w:tc>
        <w:tc>
          <w:tcPr>
            <w:tcW w:type="dxa" w:w="2268"/>
          </w:tcPr>
          <w:p>
            <w:r>
              <w:t>2.1, „Uzasadnienie”, Ścieżka 1, pierwsze zdanie</w:t>
            </w:r>
          </w:p>
        </w:tc>
        <w:tc>
          <w:tcPr>
            <w:tcW w:type="dxa" w:w="3969"/>
          </w:tcPr>
          <w:p>
            <w:r>
              <w:t>„…w okresie 6 m-cy od zakończenia projektu (planowane zakończenie projektu: 04.2029 r., wdrożenie własne…: 12.2029 r.…”</w:t>
            </w:r>
          </w:p>
        </w:tc>
        <w:tc>
          <w:tcPr>
            <w:tcW w:type="dxa" w:w="5669"/>
          </w:tcPr>
          <w:p>
            <w:r>
              <w:t>„…w okresie 8 m-cy od zakończenia projektu (planowane zakończenie projektu: 04.2029 r., wdrożenie własne…: 12.2029 r.…”. Zdanie „Harmonogram wdrożenia obejmuje (6 m-cy)” dotyczy certyfikacji CE i pierwszej serii (etap 0, 05-10/2029) i zostaje.</w:t>
            </w:r>
          </w:p>
        </w:tc>
      </w:tr>
    </w:tbl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