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Komentarze do modelu finansowego Everest11, Lidera (wersja do wklejenia)</w:t>
      </w:r>
    </w:p>
    <w:p>
      <w:r>
        <w:rPr>
          <w:b w:val="0"/>
        </w:rPr>
        <w:t xml:space="preserve">Wniosek FENG.01.01-IP.01-A1RR/26, CargoDT. Dokument dotyczy modelu Everest11 (plik Model_finansowy_CargoDT_Everest_II_kwartal_2026.xlsm po zmianach z 06.10.2026 r., zaakceptowanych). Każdy tekst w części 4 zastępuje cały obecny tekst w polu Komentarz danego arkusza (komórka przy nazwie arkusza) i mieści się w limicie 10 000 znaków (liczba znaków jest przy polu). </w:t>
      </w:r>
      <w:r>
        <w:rPr>
          <w:b/>
        </w:rPr>
        <w:t>Ten dokument zastępuje części 4 i 9 pliku Sekcja_K6_sprawozdanie_2Q2026_model.docx.</w:t>
      </w:r>
      <w:r>
        <w:rPr>
          <w:b w:val="0"/>
        </w:rPr>
        <w:t xml:space="preserve"> </w:t>
      </w:r>
      <w:r>
        <w:rPr>
          <w:b/>
        </w:rPr>
        <w:t>Żółte fragmenty</w:t>
      </w:r>
      <w:r>
        <w:rPr>
          <w:b w:val="0"/>
        </w:rPr>
        <w:t xml:space="preserve"> to dane lub potwierdzenia, które możesz podać tylko Ty albo inwestor (część 6); przed wklejeniem uzupełnij je albo usuń zdanie. Liczby pochodzą z modelu po przeliczeniu, z wniosku w wersji C (2) z 06.10.2026 r., z bilansu i RZiS na 30.06.2026 r. i z informacji księgowości z 05.10.2026 r.</w:t>
      </w:r>
    </w:p>
    <w:p>
      <w:pPr>
        <w:pStyle w:val="Heading1"/>
      </w:pPr>
      <w:r>
        <w:t>1. Co Instrukcja każe zapisać w komentarzach i gdzie to spełniono</w:t>
      </w:r>
    </w:p>
    <w:p>
      <w:pPr>
        <w:spacing w:after="60"/>
      </w:pPr>
      <w:r>
        <w:rPr>
          <w:b w:val="0"/>
        </w:rPr>
        <w:t>Instrukcja Modelu Finansowego (wersja 3.0.37), pkt 16 i opisy arkuszy dla podmiotu niebędącego organizacją badawczą. Obecne komentarze Everest11 z poprzedniej wersji spełniały większość wymagań, ale po zmianach w liczbach (budżet internacjonalizacji, aparatura, wkład własny, harmonogram płatności) wymagały aktualizacji, a kilka punktów trzeba było dodać.</w:t>
      </w:r>
    </w:p>
    <w:tbl>
      <w:tblPr>
        <w:tblStyle w:val="TableGrid"/>
        <w:tblW w:type="auto" w:w="0"/>
        <w:tblLook w:firstColumn="1" w:firstRow="1" w:lastColumn="0" w:lastRow="0" w:noHBand="0" w:noVBand="1" w:val="04A0"/>
      </w:tblPr>
      <w:tblGrid>
        <w:gridCol w:w="2409"/>
        <w:gridCol w:w="2409"/>
        <w:gridCol w:w="2409"/>
        <w:gridCol w:w="2409"/>
      </w:tblGrid>
      <w:tr>
        <w:tc>
          <w:tcPr>
            <w:tcW w:type="dxa" w:w="454"/>
          </w:tcPr>
          <w:p>
            <w:r/>
            <w:r>
              <w:rPr>
                <w:b/>
                <w:sz w:val="18"/>
              </w:rPr>
              <w:t>Nr</w:t>
            </w:r>
          </w:p>
        </w:tc>
        <w:tc>
          <w:tcPr>
            <w:tcW w:type="dxa" w:w="3742"/>
          </w:tcPr>
          <w:p>
            <w:r/>
            <w:r>
              <w:rPr>
                <w:b/>
                <w:sz w:val="18"/>
              </w:rPr>
              <w:t>Wymóg Instrukcji</w:t>
            </w:r>
          </w:p>
        </w:tc>
        <w:tc>
          <w:tcPr>
            <w:tcW w:type="dxa" w:w="1814"/>
          </w:tcPr>
          <w:p>
            <w:r/>
            <w:r>
              <w:rPr>
                <w:b/>
                <w:sz w:val="18"/>
              </w:rPr>
              <w:t>Źródło</w:t>
            </w:r>
          </w:p>
        </w:tc>
        <w:tc>
          <w:tcPr>
            <w:tcW w:type="dxa" w:w="3742"/>
          </w:tcPr>
          <w:p>
            <w:r/>
            <w:r>
              <w:rPr>
                <w:b/>
                <w:sz w:val="18"/>
              </w:rPr>
              <w:t>Gdzie w komentarzach</w:t>
            </w:r>
          </w:p>
        </w:tc>
      </w:tr>
      <w:tr>
        <w:tc>
          <w:tcPr>
            <w:tcW w:type="dxa" w:w="454"/>
          </w:tcPr>
          <w:p>
            <w:r/>
            <w:r>
              <w:rPr>
                <w:b w:val="0"/>
                <w:sz w:val="18"/>
              </w:rPr>
              <w:t>1</w:t>
            </w:r>
          </w:p>
        </w:tc>
        <w:tc>
          <w:tcPr>
            <w:tcW w:type="dxa" w:w="3742"/>
          </w:tcPr>
          <w:p>
            <w:r/>
            <w:r>
              <w:rPr>
                <w:b w:val="0"/>
                <w:sz w:val="18"/>
              </w:rPr>
              <w:t>Szczegółowy opis założeń do prognoz oraz wyników historycznych i prognozowanych, podstawowych pozycji bilansu i rachunku zysków i strat oraz źródeł finansowania</w:t>
            </w:r>
          </w:p>
        </w:tc>
        <w:tc>
          <w:tcPr>
            <w:tcW w:type="dxa" w:w="1814"/>
          </w:tcPr>
          <w:p>
            <w:r/>
            <w:r>
              <w:rPr>
                <w:b w:val="0"/>
                <w:sz w:val="18"/>
              </w:rPr>
              <w:t>pkt 16</w:t>
            </w:r>
          </w:p>
        </w:tc>
        <w:tc>
          <w:tcPr>
            <w:tcW w:type="dxa" w:w="3742"/>
          </w:tcPr>
          <w:p>
            <w:r/>
            <w:r>
              <w:rPr>
                <w:b w:val="0"/>
                <w:sz w:val="18"/>
              </w:rPr>
              <w:t>Wszystkie 11 komentarzy</w:t>
            </w:r>
          </w:p>
        </w:tc>
      </w:tr>
      <w:tr>
        <w:tc>
          <w:tcPr>
            <w:tcW w:type="dxa" w:w="454"/>
          </w:tcPr>
          <w:p>
            <w:r/>
            <w:r>
              <w:rPr>
                <w:b w:val="0"/>
                <w:sz w:val="18"/>
              </w:rPr>
              <w:t>2</w:t>
            </w:r>
          </w:p>
        </w:tc>
        <w:tc>
          <w:tcPr>
            <w:tcW w:type="dxa" w:w="3742"/>
          </w:tcPr>
          <w:p>
            <w:r/>
            <w:r>
              <w:rPr>
                <w:b w:val="0"/>
                <w:sz w:val="18"/>
              </w:rPr>
              <w:t>Wyjaśnienie pozycji istotnie różniących się od przeciętnych i jednorazowych</w:t>
            </w:r>
          </w:p>
        </w:tc>
        <w:tc>
          <w:tcPr>
            <w:tcW w:type="dxa" w:w="1814"/>
          </w:tcPr>
          <w:p>
            <w:r/>
            <w:r>
              <w:rPr>
                <w:b w:val="0"/>
                <w:sz w:val="18"/>
              </w:rPr>
              <w:t>pkt 16</w:t>
            </w:r>
          </w:p>
        </w:tc>
        <w:tc>
          <w:tcPr>
            <w:tcW w:type="dxa" w:w="3742"/>
          </w:tcPr>
          <w:p>
            <w:r/>
            <w:r>
              <w:rPr>
                <w:b w:val="0"/>
                <w:sz w:val="18"/>
              </w:rPr>
              <w:t>Sprawozdania finansowe (wzrost przychodów 2025 r., Amazon 95%, zaległości płatności), Kapitał pracujący, Ocena kondycji</w:t>
            </w:r>
          </w:p>
        </w:tc>
      </w:tr>
      <w:tr>
        <w:tc>
          <w:tcPr>
            <w:tcW w:type="dxa" w:w="454"/>
          </w:tcPr>
          <w:p>
            <w:r/>
            <w:r>
              <w:rPr>
                <w:b w:val="0"/>
                <w:sz w:val="18"/>
              </w:rPr>
              <w:t>3</w:t>
            </w:r>
          </w:p>
        </w:tc>
        <w:tc>
          <w:tcPr>
            <w:tcW w:type="dxa" w:w="3742"/>
          </w:tcPr>
          <w:p>
            <w:r/>
            <w:r>
              <w:rPr>
                <w:b w:val="0"/>
                <w:sz w:val="18"/>
              </w:rPr>
              <w:t>Każdorazowe wyjaśnienie straty na sprzedaży lub straty brutto</w:t>
            </w:r>
          </w:p>
        </w:tc>
        <w:tc>
          <w:tcPr>
            <w:tcW w:type="dxa" w:w="1814"/>
          </w:tcPr>
          <w:p>
            <w:r/>
            <w:r>
              <w:rPr>
                <w:b w:val="0"/>
                <w:sz w:val="18"/>
              </w:rPr>
              <w:t>pkt 16</w:t>
            </w:r>
          </w:p>
        </w:tc>
        <w:tc>
          <w:tcPr>
            <w:tcW w:type="dxa" w:w="3742"/>
          </w:tcPr>
          <w:p>
            <w:r/>
            <w:r>
              <w:rPr>
                <w:b w:val="0"/>
                <w:sz w:val="18"/>
              </w:rPr>
              <w:t>Sprawozdania finansowe (2023 r.), Ocena kondycji (strata na sprzedaży 2027 r. minus 468 tys. zł; deficyt projektu w latach 2030-2031)</w:t>
            </w:r>
          </w:p>
        </w:tc>
      </w:tr>
      <w:tr>
        <w:tc>
          <w:tcPr>
            <w:tcW w:type="dxa" w:w="454"/>
          </w:tcPr>
          <w:p>
            <w:r/>
            <w:r>
              <w:rPr>
                <w:b w:val="0"/>
                <w:sz w:val="18"/>
              </w:rPr>
              <w:t>4</w:t>
            </w:r>
          </w:p>
        </w:tc>
        <w:tc>
          <w:tcPr>
            <w:tcW w:type="dxa" w:w="3742"/>
          </w:tcPr>
          <w:p>
            <w:r/>
            <w:r>
              <w:rPr>
                <w:b w:val="0"/>
                <w:sz w:val="18"/>
              </w:rPr>
              <w:t>Dane za trzy lata historyczne, okres bieżący (ostatni zamknięty kwartał), prognoza na rok bieżący, lata do projektu, okres realizacji i 5-10 lat po nim; opłacalność w okresie prognozy</w:t>
            </w:r>
          </w:p>
        </w:tc>
        <w:tc>
          <w:tcPr>
            <w:tcW w:type="dxa" w:w="1814"/>
          </w:tcPr>
          <w:p>
            <w:r/>
            <w:r>
              <w:rPr>
                <w:b w:val="0"/>
                <w:sz w:val="18"/>
              </w:rPr>
              <w:t>pkt 5a</w:t>
            </w:r>
          </w:p>
        </w:tc>
        <w:tc>
          <w:tcPr>
            <w:tcW w:type="dxa" w:w="3742"/>
          </w:tcPr>
          <w:p>
            <w:r/>
            <w:r>
              <w:rPr>
                <w:b w:val="0"/>
                <w:sz w:val="18"/>
              </w:rPr>
              <w:t>Założenia (prognoza do 2039 r., 10 lat po projekcie), Sprawozdania finansowe (2023-2025 i 30.06.2026 r.), Opłacalność (2034 r.)</w:t>
            </w:r>
          </w:p>
        </w:tc>
      </w:tr>
      <w:tr>
        <w:tc>
          <w:tcPr>
            <w:tcW w:type="dxa" w:w="454"/>
          </w:tcPr>
          <w:p>
            <w:r/>
            <w:r>
              <w:rPr>
                <w:b w:val="0"/>
                <w:sz w:val="18"/>
              </w:rPr>
              <w:t>5</w:t>
            </w:r>
          </w:p>
        </w:tc>
        <w:tc>
          <w:tcPr>
            <w:tcW w:type="dxa" w:w="3742"/>
          </w:tcPr>
          <w:p>
            <w:r/>
            <w:r>
              <w:rPr>
                <w:b w:val="0"/>
                <w:sz w:val="18"/>
              </w:rPr>
              <w:t>Rok obrotowy 12 miesięcy; dane w tys. zł; kwoty netto dla płatnika VAT; ceny stałe; zaokrąglenia do 1 tys. zł</w:t>
            </w:r>
          </w:p>
        </w:tc>
        <w:tc>
          <w:tcPr>
            <w:tcW w:type="dxa" w:w="1814"/>
          </w:tcPr>
          <w:p>
            <w:r/>
            <w:r>
              <w:rPr>
                <w:b w:val="0"/>
                <w:sz w:val="18"/>
              </w:rPr>
              <w:t>pkt 7, 8, 11, 12, 14</w:t>
            </w:r>
          </w:p>
        </w:tc>
        <w:tc>
          <w:tcPr>
            <w:tcW w:type="dxa" w:w="3742"/>
          </w:tcPr>
          <w:p>
            <w:r/>
            <w:r>
              <w:rPr>
                <w:b w:val="0"/>
                <w:sz w:val="18"/>
              </w:rPr>
              <w:t>Założenia, Rozliczenie dotacji, Opłacalność</w:t>
            </w:r>
          </w:p>
        </w:tc>
      </w:tr>
      <w:tr>
        <w:tc>
          <w:tcPr>
            <w:tcW w:type="dxa" w:w="454"/>
          </w:tcPr>
          <w:p>
            <w:r/>
            <w:r>
              <w:rPr>
                <w:b w:val="0"/>
                <w:sz w:val="18"/>
              </w:rPr>
              <w:t>6</w:t>
            </w:r>
          </w:p>
        </w:tc>
        <w:tc>
          <w:tcPr>
            <w:tcW w:type="dxa" w:w="3742"/>
          </w:tcPr>
          <w:p>
            <w:r/>
            <w:r>
              <w:rPr>
                <w:b w:val="0"/>
                <w:sz w:val="18"/>
              </w:rPr>
              <w:t>Źródła pokrycia VAT od zakupów do momentu jego odzyskania</w:t>
            </w:r>
          </w:p>
        </w:tc>
        <w:tc>
          <w:tcPr>
            <w:tcW w:type="dxa" w:w="1814"/>
          </w:tcPr>
          <w:p>
            <w:r/>
            <w:r>
              <w:rPr>
                <w:b w:val="0"/>
                <w:sz w:val="18"/>
              </w:rPr>
              <w:t>pkt 13</w:t>
            </w:r>
          </w:p>
        </w:tc>
        <w:tc>
          <w:tcPr>
            <w:tcW w:type="dxa" w:w="3742"/>
          </w:tcPr>
          <w:p>
            <w:r/>
            <w:r>
              <w:rPr>
                <w:b w:val="0"/>
                <w:sz w:val="18"/>
              </w:rPr>
              <w:t>Finansowanie (VAT 78 135,37 zł)</w:t>
            </w:r>
          </w:p>
        </w:tc>
      </w:tr>
      <w:tr>
        <w:tc>
          <w:tcPr>
            <w:tcW w:type="dxa" w:w="454"/>
          </w:tcPr>
          <w:p>
            <w:r/>
            <w:r>
              <w:rPr>
                <w:b w:val="0"/>
                <w:sz w:val="18"/>
              </w:rPr>
              <w:t>7</w:t>
            </w:r>
          </w:p>
        </w:tc>
        <w:tc>
          <w:tcPr>
            <w:tcW w:type="dxa" w:w="3742"/>
          </w:tcPr>
          <w:p>
            <w:r/>
            <w:r>
              <w:rPr>
                <w:b w:val="0"/>
                <w:sz w:val="18"/>
              </w:rPr>
              <w:t>Opis założeń z arkusza Założenia: stopa podatku, rotacje projektu, stawki amortyzacji, oprocentowanie; wyjaśnienie różnicy rotacji projektu i działalności dotychczasowej</w:t>
            </w:r>
          </w:p>
        </w:tc>
        <w:tc>
          <w:tcPr>
            <w:tcW w:type="dxa" w:w="1814"/>
          </w:tcPr>
          <w:p>
            <w:r/>
            <w:r>
              <w:rPr>
                <w:b w:val="0"/>
                <w:sz w:val="18"/>
              </w:rPr>
              <w:t>opis arkusza Założenia</w:t>
            </w:r>
          </w:p>
        </w:tc>
        <w:tc>
          <w:tcPr>
            <w:tcW w:type="dxa" w:w="3742"/>
          </w:tcPr>
          <w:p>
            <w:r/>
            <w:r>
              <w:rPr>
                <w:b w:val="0"/>
                <w:sz w:val="18"/>
              </w:rPr>
              <w:t>Założenia, Kapitał pracujący</w:t>
            </w:r>
          </w:p>
        </w:tc>
      </w:tr>
      <w:tr>
        <w:tc>
          <w:tcPr>
            <w:tcW w:type="dxa" w:w="454"/>
          </w:tcPr>
          <w:p>
            <w:r/>
            <w:r>
              <w:rPr>
                <w:b w:val="0"/>
                <w:sz w:val="18"/>
              </w:rPr>
              <w:t>8</w:t>
            </w:r>
          </w:p>
        </w:tc>
        <w:tc>
          <w:tcPr>
            <w:tcW w:type="dxa" w:w="3742"/>
          </w:tcPr>
          <w:p>
            <w:r/>
            <w:r>
              <w:rPr>
                <w:b w:val="0"/>
                <w:sz w:val="18"/>
              </w:rPr>
              <w:t>Przychody projektu: informacje uwiarygadniające wielkość przychodów i kalkulację ceny; ciągłość z danymi historycznymi; zastosowanie cywilne i militarne; inne projekty</w:t>
            </w:r>
          </w:p>
        </w:tc>
        <w:tc>
          <w:tcPr>
            <w:tcW w:type="dxa" w:w="1814"/>
          </w:tcPr>
          <w:p>
            <w:r/>
            <w:r>
              <w:rPr>
                <w:b w:val="0"/>
                <w:sz w:val="18"/>
              </w:rPr>
              <w:t>Przychody, uwagi 1-3</w:t>
            </w:r>
          </w:p>
        </w:tc>
        <w:tc>
          <w:tcPr>
            <w:tcW w:type="dxa" w:w="3742"/>
          </w:tcPr>
          <w:p>
            <w:r/>
            <w:r>
              <w:rPr>
                <w:b w:val="0"/>
                <w:sz w:val="18"/>
              </w:rPr>
              <w:t>Przychody</w:t>
            </w:r>
          </w:p>
        </w:tc>
      </w:tr>
      <w:tr>
        <w:tc>
          <w:tcPr>
            <w:tcW w:type="dxa" w:w="454"/>
          </w:tcPr>
          <w:p>
            <w:r/>
            <w:r>
              <w:rPr>
                <w:b w:val="0"/>
                <w:sz w:val="18"/>
              </w:rPr>
              <w:t>9</w:t>
            </w:r>
          </w:p>
        </w:tc>
        <w:tc>
          <w:tcPr>
            <w:tcW w:type="dxa" w:w="3742"/>
          </w:tcPr>
          <w:p>
            <w:r/>
            <w:r>
              <w:rPr>
                <w:b w:val="0"/>
                <w:sz w:val="18"/>
              </w:rPr>
              <w:t>Koszty projektu: kalkulacje uwiarygadniające; ciągłość z danymi historycznymi; koszty pośrednie w Pozostałych kosztach rodzajowych; transakcje między członkami konsorcjum poza modelem</w:t>
            </w:r>
          </w:p>
        </w:tc>
        <w:tc>
          <w:tcPr>
            <w:tcW w:type="dxa" w:w="1814"/>
          </w:tcPr>
          <w:p>
            <w:r/>
            <w:r>
              <w:rPr>
                <w:b w:val="0"/>
                <w:sz w:val="18"/>
              </w:rPr>
              <w:t>Koszty operacyjne, uwagi 1, 2, 4, 6</w:t>
            </w:r>
          </w:p>
        </w:tc>
        <w:tc>
          <w:tcPr>
            <w:tcW w:type="dxa" w:w="3742"/>
          </w:tcPr>
          <w:p>
            <w:r/>
            <w:r>
              <w:rPr>
                <w:b w:val="0"/>
                <w:sz w:val="18"/>
              </w:rPr>
              <w:t>Koszty operacyjne (wynagrodzenia, podwykonawstwo, internacjonalizacja, aparatura, ryczałt 25%), Finansowanie (transakcja z PRz)</w:t>
            </w:r>
          </w:p>
        </w:tc>
      </w:tr>
      <w:tr>
        <w:tc>
          <w:tcPr>
            <w:tcW w:type="dxa" w:w="454"/>
          </w:tcPr>
          <w:p>
            <w:r/>
            <w:r>
              <w:rPr>
                <w:b w:val="0"/>
                <w:sz w:val="18"/>
              </w:rPr>
              <w:t>10</w:t>
            </w:r>
          </w:p>
        </w:tc>
        <w:tc>
          <w:tcPr>
            <w:tcW w:type="dxa" w:w="3742"/>
          </w:tcPr>
          <w:p>
            <w:r/>
            <w:r>
              <w:rPr>
                <w:b w:val="0"/>
                <w:sz w:val="18"/>
              </w:rPr>
              <w:t>Środki trwałe: w projektach B+R dofinansowanie dotyczy amortyzacji; środki poniżej 10 tys. zł amortyzuje się jednorazowo</w:t>
            </w:r>
          </w:p>
        </w:tc>
        <w:tc>
          <w:tcPr>
            <w:tcW w:type="dxa" w:w="1814"/>
          </w:tcPr>
          <w:p>
            <w:r/>
            <w:r>
              <w:rPr>
                <w:b w:val="0"/>
                <w:sz w:val="18"/>
              </w:rPr>
              <w:t>Środki trwałe, uwaga 1 i przypisy</w:t>
            </w:r>
          </w:p>
        </w:tc>
        <w:tc>
          <w:tcPr>
            <w:tcW w:type="dxa" w:w="3742"/>
          </w:tcPr>
          <w:p>
            <w:r/>
            <w:r>
              <w:rPr>
                <w:b w:val="0"/>
                <w:sz w:val="18"/>
              </w:rPr>
              <w:t>Środki trwałe, Koszty operacyjne (aparatura 57,1 tys. zł, komplety do 4 100 zł)</w:t>
            </w:r>
          </w:p>
        </w:tc>
      </w:tr>
      <w:tr>
        <w:tc>
          <w:tcPr>
            <w:tcW w:type="dxa" w:w="454"/>
          </w:tcPr>
          <w:p>
            <w:r/>
            <w:r>
              <w:rPr>
                <w:b w:val="0"/>
                <w:sz w:val="18"/>
              </w:rPr>
              <w:t>11</w:t>
            </w:r>
          </w:p>
        </w:tc>
        <w:tc>
          <w:tcPr>
            <w:tcW w:type="dxa" w:w="3742"/>
          </w:tcPr>
          <w:p>
            <w:r/>
            <w:r>
              <w:rPr>
                <w:b w:val="0"/>
                <w:sz w:val="18"/>
              </w:rPr>
              <w:t>Rozliczenie dotacji w czasie i różnica względem wpływów gotówkowych</w:t>
            </w:r>
          </w:p>
        </w:tc>
        <w:tc>
          <w:tcPr>
            <w:tcW w:type="dxa" w:w="1814"/>
          </w:tcPr>
          <w:p>
            <w:r/>
            <w:r>
              <w:rPr>
                <w:b w:val="0"/>
                <w:sz w:val="18"/>
              </w:rPr>
              <w:t>Rozliczenie dotacji</w:t>
            </w:r>
          </w:p>
        </w:tc>
        <w:tc>
          <w:tcPr>
            <w:tcW w:type="dxa" w:w="3742"/>
          </w:tcPr>
          <w:p>
            <w:r/>
            <w:r>
              <w:rPr>
                <w:b w:val="0"/>
                <w:sz w:val="18"/>
              </w:rPr>
              <w:t>Rozliczenie dotacji</w:t>
            </w:r>
          </w:p>
        </w:tc>
      </w:tr>
      <w:tr>
        <w:tc>
          <w:tcPr>
            <w:tcW w:type="dxa" w:w="454"/>
          </w:tcPr>
          <w:p>
            <w:r/>
            <w:r>
              <w:rPr>
                <w:b w:val="0"/>
                <w:sz w:val="18"/>
              </w:rPr>
              <w:t>12</w:t>
            </w:r>
          </w:p>
        </w:tc>
        <w:tc>
          <w:tcPr>
            <w:tcW w:type="dxa" w:w="3742"/>
          </w:tcPr>
          <w:p>
            <w:r/>
            <w:r>
              <w:rPr>
                <w:b w:val="0"/>
                <w:sz w:val="18"/>
              </w:rPr>
              <w:t>Kapitał pracujący: opis przyjętych danych; kalkulacja własna wymaga szczegółowego uzasadnienia</w:t>
            </w:r>
          </w:p>
        </w:tc>
        <w:tc>
          <w:tcPr>
            <w:tcW w:type="dxa" w:w="1814"/>
          </w:tcPr>
          <w:p>
            <w:r/>
            <w:r>
              <w:rPr>
                <w:b w:val="0"/>
                <w:sz w:val="18"/>
              </w:rPr>
              <w:t>Kapitał pracujący</w:t>
            </w:r>
          </w:p>
        </w:tc>
        <w:tc>
          <w:tcPr>
            <w:tcW w:type="dxa" w:w="3742"/>
          </w:tcPr>
          <w:p>
            <w:r/>
            <w:r>
              <w:rPr>
                <w:b w:val="0"/>
                <w:sz w:val="18"/>
              </w:rPr>
              <w:t>Kapitał pracujący (kalkulacja własna: 37 i 29 dni)</w:t>
            </w:r>
          </w:p>
        </w:tc>
      </w:tr>
      <w:tr>
        <w:tc>
          <w:tcPr>
            <w:tcW w:type="dxa" w:w="454"/>
          </w:tcPr>
          <w:p>
            <w:r/>
            <w:r>
              <w:rPr>
                <w:b w:val="0"/>
                <w:sz w:val="18"/>
              </w:rPr>
              <w:t>13</w:t>
            </w:r>
          </w:p>
        </w:tc>
        <w:tc>
          <w:tcPr>
            <w:tcW w:type="dxa" w:w="3742"/>
          </w:tcPr>
          <w:p>
            <w:r/>
            <w:r>
              <w:rPr>
                <w:b w:val="0"/>
                <w:sz w:val="18"/>
              </w:rPr>
              <w:t>Sposób finansowania: kto, kiedy i ile wnosi; dokumenty uwiarygadniające (umowa inwestycyjna, zaświadczenie bankowe, sprawozdanie lub PIT inwestora)</w:t>
            </w:r>
          </w:p>
        </w:tc>
        <w:tc>
          <w:tcPr>
            <w:tcW w:type="dxa" w:w="1814"/>
          </w:tcPr>
          <w:p>
            <w:r/>
            <w:r>
              <w:rPr>
                <w:b w:val="0"/>
                <w:sz w:val="18"/>
              </w:rPr>
              <w:t>Finansowanie</w:t>
            </w:r>
          </w:p>
        </w:tc>
        <w:tc>
          <w:tcPr>
            <w:tcW w:type="dxa" w:w="3742"/>
          </w:tcPr>
          <w:p>
            <w:r/>
            <w:r>
              <w:rPr>
                <w:b w:val="0"/>
                <w:sz w:val="18"/>
              </w:rPr>
              <w:t>Finansowanie, w tym nowy akapit o zmianie kwoty wkładu własnego</w:t>
            </w:r>
          </w:p>
        </w:tc>
      </w:tr>
      <w:tr>
        <w:tc>
          <w:tcPr>
            <w:tcW w:type="dxa" w:w="454"/>
          </w:tcPr>
          <w:p>
            <w:r/>
            <w:r>
              <w:rPr>
                <w:b w:val="0"/>
                <w:sz w:val="18"/>
              </w:rPr>
              <w:t>14</w:t>
            </w:r>
          </w:p>
        </w:tc>
        <w:tc>
          <w:tcPr>
            <w:tcW w:type="dxa" w:w="3742"/>
          </w:tcPr>
          <w:p>
            <w:r/>
            <w:r>
              <w:rPr>
                <w:b w:val="0"/>
                <w:sz w:val="18"/>
              </w:rPr>
              <w:t>Harmonogram płatności: pierwsza płatność jako zaliczka co najmniej 5% dofinansowania</w:t>
            </w:r>
          </w:p>
        </w:tc>
        <w:tc>
          <w:tcPr>
            <w:tcW w:type="dxa" w:w="1814"/>
          </w:tcPr>
          <w:p>
            <w:r/>
            <w:r>
              <w:rPr>
                <w:b w:val="0"/>
                <w:sz w:val="18"/>
              </w:rPr>
              <w:t>Zaliczka-refundacja; uwaga K6-14</w:t>
            </w:r>
          </w:p>
        </w:tc>
        <w:tc>
          <w:tcPr>
            <w:tcW w:type="dxa" w:w="3742"/>
          </w:tcPr>
          <w:p>
            <w:r/>
            <w:r>
              <w:rPr>
                <w:b w:val="0"/>
                <w:sz w:val="18"/>
              </w:rPr>
              <w:t>Finansowanie (arkusze Zaliczka-refundacja nie mają pola Komentarz)</w:t>
            </w:r>
          </w:p>
        </w:tc>
      </w:tr>
      <w:tr>
        <w:tc>
          <w:tcPr>
            <w:tcW w:type="dxa" w:w="454"/>
          </w:tcPr>
          <w:p>
            <w:r/>
            <w:r>
              <w:rPr>
                <w:b w:val="0"/>
                <w:sz w:val="18"/>
              </w:rPr>
              <w:t>15</w:t>
            </w:r>
          </w:p>
        </w:tc>
        <w:tc>
          <w:tcPr>
            <w:tcW w:type="dxa" w:w="3742"/>
          </w:tcPr>
          <w:p>
            <w:r/>
            <w:r>
              <w:rPr>
                <w:b w:val="0"/>
                <w:sz w:val="18"/>
              </w:rPr>
              <w:t>Opłacalność: NPV większe od zera i IRR większy od 4%, bez wartości rezydualnej</w:t>
            </w:r>
          </w:p>
        </w:tc>
        <w:tc>
          <w:tcPr>
            <w:tcW w:type="dxa" w:w="1814"/>
          </w:tcPr>
          <w:p>
            <w:r/>
            <w:r>
              <w:rPr>
                <w:b w:val="0"/>
                <w:sz w:val="18"/>
              </w:rPr>
              <w:t>Opłacalność, uwagi</w:t>
            </w:r>
          </w:p>
        </w:tc>
        <w:tc>
          <w:tcPr>
            <w:tcW w:type="dxa" w:w="3742"/>
          </w:tcPr>
          <w:p>
            <w:r/>
            <w:r>
              <w:rPr>
                <w:b w:val="0"/>
                <w:sz w:val="18"/>
              </w:rPr>
              <w:t>Opłacalność</w:t>
            </w:r>
          </w:p>
        </w:tc>
      </w:tr>
      <w:tr>
        <w:tc>
          <w:tcPr>
            <w:tcW w:type="dxa" w:w="454"/>
          </w:tcPr>
          <w:p>
            <w:r/>
            <w:r>
              <w:rPr>
                <w:b w:val="0"/>
                <w:sz w:val="18"/>
              </w:rPr>
              <w:t>16</w:t>
            </w:r>
          </w:p>
        </w:tc>
        <w:tc>
          <w:tcPr>
            <w:tcW w:type="dxa" w:w="3742"/>
          </w:tcPr>
          <w:p>
            <w:r/>
            <w:r>
              <w:rPr>
                <w:b w:val="0"/>
                <w:sz w:val="18"/>
              </w:rPr>
              <w:t>Znaczne odchylenia wskaźników od wartości pożądanych wymagają dodatkowego wyjaśnienia; uzupełniające pozycje bilansu</w:t>
            </w:r>
          </w:p>
        </w:tc>
        <w:tc>
          <w:tcPr>
            <w:tcW w:type="dxa" w:w="1814"/>
          </w:tcPr>
          <w:p>
            <w:r/>
            <w:r>
              <w:rPr>
                <w:b w:val="0"/>
                <w:sz w:val="18"/>
              </w:rPr>
              <w:t>Ocena kondycji finansowej</w:t>
            </w:r>
          </w:p>
        </w:tc>
        <w:tc>
          <w:tcPr>
            <w:tcW w:type="dxa" w:w="3742"/>
          </w:tcPr>
          <w:p>
            <w:r/>
            <w:r>
              <w:rPr>
                <w:b w:val="0"/>
                <w:sz w:val="18"/>
              </w:rPr>
              <w:t>Ocena kondycji finansowej</w:t>
            </w:r>
          </w:p>
        </w:tc>
      </w:tr>
      <w:tr>
        <w:tc>
          <w:tcPr>
            <w:tcW w:type="dxa" w:w="454"/>
          </w:tcPr>
          <w:p>
            <w:r/>
            <w:r>
              <w:rPr>
                <w:b w:val="0"/>
                <w:sz w:val="18"/>
              </w:rPr>
              <w:t>17</w:t>
            </w:r>
          </w:p>
        </w:tc>
        <w:tc>
          <w:tcPr>
            <w:tcW w:type="dxa" w:w="3742"/>
          </w:tcPr>
          <w:p>
            <w:r/>
            <w:r>
              <w:rPr>
                <w:b w:val="0"/>
                <w:sz w:val="18"/>
              </w:rPr>
              <w:t>Arkusz Opłacalność - Konsorcjum wypełnia Lider danymi członków konsorcjum</w:t>
            </w:r>
          </w:p>
        </w:tc>
        <w:tc>
          <w:tcPr>
            <w:tcW w:type="dxa" w:w="1814"/>
          </w:tcPr>
          <w:p>
            <w:r/>
            <w:r>
              <w:rPr>
                <w:b w:val="0"/>
                <w:sz w:val="18"/>
              </w:rPr>
              <w:t>Opłacalność - Konsorcjum</w:t>
            </w:r>
          </w:p>
        </w:tc>
        <w:tc>
          <w:tcPr>
            <w:tcW w:type="dxa" w:w="3742"/>
          </w:tcPr>
          <w:p>
            <w:r/>
            <w:r>
              <w:rPr>
                <w:b w:val="0"/>
                <w:sz w:val="18"/>
              </w:rPr>
              <w:t>Opłacalność - Konsorcjum</w:t>
            </w:r>
          </w:p>
        </w:tc>
      </w:tr>
    </w:tbl>
    <w:p/>
    <w:p>
      <w:pPr>
        <w:pStyle w:val="Heading1"/>
      </w:pPr>
      <w:r>
        <w:t>2. Uwagi eksperta (kryterium 6) i gdzie na nie odpowiadamy</w:t>
      </w:r>
    </w:p>
    <w:p>
      <w:pPr>
        <w:spacing w:after="60"/>
      </w:pPr>
      <w:r>
        <w:rPr>
          <w:b w:val="0"/>
        </w:rPr>
        <w:t>Wszystkie uwagi K6-01 do K6-18 dotyczą modelu Lidera, z wyjątkiem K6-17 (PRz, odpowiedź w komentarzach PRz). Uwagi o cenach i kosztach komponentów (K2-12, K2-13, K2-14, K2-16) są w komentarzach Przychody i Koszty operacyjne.</w:t>
      </w:r>
    </w:p>
    <w:tbl>
      <w:tblPr>
        <w:tblStyle w:val="TableGrid"/>
        <w:tblW w:type="auto" w:w="0"/>
        <w:tblLook w:firstColumn="1" w:firstRow="1" w:lastColumn="0" w:lastRow="0" w:noHBand="0" w:noVBand="1" w:val="04A0"/>
      </w:tblPr>
      <w:tblGrid>
        <w:gridCol w:w="3213"/>
        <w:gridCol w:w="3213"/>
        <w:gridCol w:w="3213"/>
      </w:tblGrid>
      <w:tr>
        <w:tc>
          <w:tcPr>
            <w:tcW w:type="dxa" w:w="1020"/>
          </w:tcPr>
          <w:p>
            <w:r/>
            <w:r>
              <w:rPr>
                <w:b/>
                <w:sz w:val="18"/>
              </w:rPr>
              <w:t>Uwaga</w:t>
            </w:r>
          </w:p>
        </w:tc>
        <w:tc>
          <w:tcPr>
            <w:tcW w:type="dxa" w:w="3175"/>
          </w:tcPr>
          <w:p>
            <w:r/>
            <w:r>
              <w:rPr>
                <w:b/>
                <w:sz w:val="18"/>
              </w:rPr>
              <w:t>Czego dotyczy</w:t>
            </w:r>
          </w:p>
        </w:tc>
        <w:tc>
          <w:tcPr>
            <w:tcW w:type="dxa" w:w="5556"/>
          </w:tcPr>
          <w:p>
            <w:r/>
            <w:r>
              <w:rPr>
                <w:b/>
                <w:sz w:val="18"/>
              </w:rPr>
              <w:t>Odpowiedź w komentarzach</w:t>
            </w:r>
          </w:p>
        </w:tc>
      </w:tr>
      <w:tr>
        <w:tc>
          <w:tcPr>
            <w:tcW w:type="dxa" w:w="1020"/>
          </w:tcPr>
          <w:p>
            <w:r/>
            <w:r>
              <w:rPr>
                <w:b w:val="0"/>
                <w:sz w:val="18"/>
              </w:rPr>
              <w:t>K6-01</w:t>
            </w:r>
          </w:p>
        </w:tc>
        <w:tc>
          <w:tcPr>
            <w:tcW w:type="dxa" w:w="3175"/>
          </w:tcPr>
          <w:p>
            <w:r/>
            <w:r>
              <w:rPr>
                <w:b w:val="0"/>
                <w:sz w:val="18"/>
              </w:rPr>
              <w:t>Założenia w każdej zakładce w polach Komentarz</w:t>
            </w:r>
          </w:p>
        </w:tc>
        <w:tc>
          <w:tcPr>
            <w:tcW w:type="dxa" w:w="5556"/>
          </w:tcPr>
          <w:p>
            <w:r/>
            <w:r>
              <w:rPr>
                <w:b w:val="0"/>
                <w:sz w:val="18"/>
              </w:rPr>
              <w:t>Wszystkie 11 arkuszy mają szczegółowy tekst (1 400-6 900 znaków).</w:t>
            </w:r>
          </w:p>
        </w:tc>
      </w:tr>
      <w:tr>
        <w:tc>
          <w:tcPr>
            <w:tcW w:type="dxa" w:w="1020"/>
          </w:tcPr>
          <w:p>
            <w:r/>
            <w:r>
              <w:rPr>
                <w:b w:val="0"/>
                <w:sz w:val="18"/>
              </w:rPr>
              <w:t>K6-02</w:t>
            </w:r>
          </w:p>
        </w:tc>
        <w:tc>
          <w:tcPr>
            <w:tcW w:type="dxa" w:w="3175"/>
          </w:tcPr>
          <w:p>
            <w:r/>
            <w:r>
              <w:rPr>
                <w:b w:val="0"/>
                <w:sz w:val="18"/>
              </w:rPr>
              <w:t>Podstawa założeń: stawka CIT, ZUS, stawki amortyzacji, rotacje</w:t>
            </w:r>
          </w:p>
        </w:tc>
        <w:tc>
          <w:tcPr>
            <w:tcW w:type="dxa" w:w="5556"/>
          </w:tcPr>
          <w:p>
            <w:r/>
            <w:r>
              <w:rPr>
                <w:b w:val="0"/>
                <w:sz w:val="18"/>
              </w:rPr>
              <w:t>Założenia: CIT 19% (przychód 2025 r. ponad 2 mln EUR, potwierdzenie księgowości), brak stawek amortyzacji dla działalności dotychczasowej (brak majątku), rotacja projektu 45, 30 i 30 dni; Koszty operacyjne: narzut pracodawcy 20,5% z rozbiciem na składki.</w:t>
            </w:r>
          </w:p>
        </w:tc>
      </w:tr>
      <w:tr>
        <w:tc>
          <w:tcPr>
            <w:tcW w:type="dxa" w:w="1020"/>
          </w:tcPr>
          <w:p>
            <w:r/>
            <w:r>
              <w:rPr>
                <w:b w:val="0"/>
                <w:sz w:val="18"/>
              </w:rPr>
              <w:t>K6-03, K6-12</w:t>
            </w:r>
          </w:p>
        </w:tc>
        <w:tc>
          <w:tcPr>
            <w:tcW w:type="dxa" w:w="3175"/>
          </w:tcPr>
          <w:p>
            <w:r/>
            <w:r>
              <w:rPr>
                <w:b w:val="0"/>
                <w:sz w:val="18"/>
              </w:rPr>
              <w:t>Źródła wkładu własnego, struktura udziałów po dokapitalizowaniu (20%, kapitał 5 tys. zł)</w:t>
            </w:r>
          </w:p>
        </w:tc>
        <w:tc>
          <w:tcPr>
            <w:tcW w:type="dxa" w:w="5556"/>
          </w:tcPr>
          <w:p>
            <w:r/>
            <w:r>
              <w:rPr>
                <w:b w:val="0"/>
                <w:sz w:val="18"/>
              </w:rPr>
              <w:t xml:space="preserve">Finansowanie: kwota 1 250 555,58 zł, VAT, inwestor, udziały (25 po 50 zł, 20%), nadwyżka na kapitał zapasowy, </w:t>
            </w:r>
            <w:r>
              <w:rPr>
                <w:b/>
                <w:sz w:val="18"/>
              </w:rPr>
              <w:t>zmiana kwoty względem umowy inwestycyjnej (1 253 357,99 zł)</w:t>
            </w:r>
            <w:r>
              <w:rPr>
                <w:b w:val="0"/>
                <w:sz w:val="18"/>
              </w:rPr>
              <w:t>.</w:t>
            </w:r>
          </w:p>
        </w:tc>
      </w:tr>
      <w:tr>
        <w:tc>
          <w:tcPr>
            <w:tcW w:type="dxa" w:w="1020"/>
          </w:tcPr>
          <w:p>
            <w:r/>
            <w:r>
              <w:rPr>
                <w:b w:val="0"/>
                <w:sz w:val="18"/>
              </w:rPr>
              <w:t>K6-04, K6-08</w:t>
            </w:r>
          </w:p>
        </w:tc>
        <w:tc>
          <w:tcPr>
            <w:tcW w:type="dxa" w:w="3175"/>
          </w:tcPr>
          <w:p>
            <w:r/>
            <w:r>
              <w:rPr>
                <w:b w:val="0"/>
                <w:sz w:val="18"/>
              </w:rPr>
              <w:t>Rotacje 30 i 45 dni wobec historii (121 i 193 dni); struktura wiekowa, zaliczki, sezonowość</w:t>
            </w:r>
          </w:p>
        </w:tc>
        <w:tc>
          <w:tcPr>
            <w:tcW w:type="dxa" w:w="5556"/>
          </w:tcPr>
          <w:p>
            <w:r/>
            <w:r>
              <w:rPr>
                <w:b w:val="0"/>
                <w:sz w:val="18"/>
              </w:rPr>
              <w:t>Kapitał pracujący: rotacja 37 i 29 dni dotyczy działalności dotychczasowej po uregulowaniu zaległości, a 45 i 30 dni nowej sprzedaży projektu; brak sald przeterminowanych, zaliczek i przedpłat na 30.06.2026 r. (księgowość); brak sezonowości.</w:t>
            </w:r>
          </w:p>
        </w:tc>
      </w:tr>
      <w:tr>
        <w:tc>
          <w:tcPr>
            <w:tcW w:type="dxa" w:w="1020"/>
          </w:tcPr>
          <w:p>
            <w:r/>
            <w:r>
              <w:rPr>
                <w:b w:val="0"/>
                <w:sz w:val="18"/>
              </w:rPr>
              <w:t>K6-05, K6-06</w:t>
            </w:r>
          </w:p>
        </w:tc>
        <w:tc>
          <w:tcPr>
            <w:tcW w:type="dxa" w:w="3175"/>
          </w:tcPr>
          <w:p>
            <w:r/>
            <w:r>
              <w:rPr>
                <w:b w:val="0"/>
                <w:sz w:val="18"/>
              </w:rPr>
              <w:t>Dynamika przychodów dotychczasowej działalności, portfel i odbiorcy; wzrost w 2025 r.</w:t>
            </w:r>
          </w:p>
        </w:tc>
        <w:tc>
          <w:tcPr>
            <w:tcW w:type="dxa" w:w="5556"/>
          </w:tcPr>
          <w:p>
            <w:r/>
            <w:r>
              <w:rPr>
                <w:b w:val="0"/>
                <w:sz w:val="18"/>
              </w:rPr>
              <w:t>Przychody i Sprawozdania finansowe: dwukrotność półrocza 2026 r., Amazon 95% i 100%, skala 2023-2025.</w:t>
            </w:r>
          </w:p>
        </w:tc>
      </w:tr>
      <w:tr>
        <w:tc>
          <w:tcPr>
            <w:tcW w:type="dxa" w:w="1020"/>
          </w:tcPr>
          <w:p>
            <w:r/>
            <w:r>
              <w:rPr>
                <w:b w:val="0"/>
                <w:sz w:val="18"/>
              </w:rPr>
              <w:t>K6-07</w:t>
            </w:r>
          </w:p>
        </w:tc>
        <w:tc>
          <w:tcPr>
            <w:tcW w:type="dxa" w:w="3175"/>
          </w:tcPr>
          <w:p>
            <w:r/>
            <w:r>
              <w:rPr>
                <w:b w:val="0"/>
                <w:sz w:val="18"/>
              </w:rPr>
              <w:t>Sprawozdanie za II kwartał 2026 r. w załączniku i w modelu</w:t>
            </w:r>
          </w:p>
        </w:tc>
        <w:tc>
          <w:tcPr>
            <w:tcW w:type="dxa" w:w="5556"/>
          </w:tcPr>
          <w:p>
            <w:r/>
            <w:r>
              <w:rPr>
                <w:b w:val="0"/>
                <w:sz w:val="18"/>
              </w:rPr>
              <w:t xml:space="preserve">Model ma dane na 30.06.2026 r. (Założenia C14). </w:t>
            </w:r>
            <w:r>
              <w:rPr>
                <w:b/>
                <w:sz w:val="18"/>
              </w:rPr>
              <w:t>Do zrobienia po Twojej stronie:</w:t>
            </w:r>
            <w:r>
              <w:rPr>
                <w:b w:val="0"/>
                <w:sz w:val="18"/>
              </w:rPr>
              <w:t xml:space="preserve"> załączyć podpisane sprawozdanie do LSI i usunąć sprawozdanie za I kwartał.</w:t>
            </w:r>
          </w:p>
        </w:tc>
      </w:tr>
      <w:tr>
        <w:tc>
          <w:tcPr>
            <w:tcW w:type="dxa" w:w="1020"/>
          </w:tcPr>
          <w:p>
            <w:r/>
            <w:r>
              <w:rPr>
                <w:b w:val="0"/>
                <w:sz w:val="18"/>
              </w:rPr>
              <w:t>K6-09</w:t>
            </w:r>
          </w:p>
        </w:tc>
        <w:tc>
          <w:tcPr>
            <w:tcW w:type="dxa" w:w="3175"/>
          </w:tcPr>
          <w:p>
            <w:r/>
            <w:r>
              <w:rPr>
                <w:b w:val="0"/>
                <w:sz w:val="18"/>
              </w:rPr>
              <w:t>Założenia kosztów operacyjnych: kompletność, weryfikowalność</w:t>
            </w:r>
          </w:p>
        </w:tc>
        <w:tc>
          <w:tcPr>
            <w:tcW w:type="dxa" w:w="5556"/>
          </w:tcPr>
          <w:p>
            <w:r/>
            <w:r>
              <w:rPr>
                <w:b w:val="0"/>
                <w:sz w:val="18"/>
              </w:rPr>
              <w:t>Koszty operacyjne: pięć grup kosztów z kalkulacją (stawki, godziny, oferty, ryczałt), zgodność z budżetem wniosku do złotówki.</w:t>
            </w:r>
          </w:p>
        </w:tc>
      </w:tr>
      <w:tr>
        <w:tc>
          <w:tcPr>
            <w:tcW w:type="dxa" w:w="1020"/>
          </w:tcPr>
          <w:p>
            <w:r/>
            <w:r>
              <w:rPr>
                <w:b w:val="0"/>
                <w:sz w:val="18"/>
              </w:rPr>
              <w:t>K6-10, K6-11</w:t>
            </w:r>
          </w:p>
        </w:tc>
        <w:tc>
          <w:tcPr>
            <w:tcW w:type="dxa" w:w="3175"/>
          </w:tcPr>
          <w:p>
            <w:r/>
            <w:r>
              <w:rPr>
                <w:b w:val="0"/>
                <w:sz w:val="18"/>
              </w:rPr>
              <w:t>PIT inwestora i zaświadczenie bankowe w załącznikach</w:t>
            </w:r>
          </w:p>
        </w:tc>
        <w:tc>
          <w:tcPr>
            <w:tcW w:type="dxa" w:w="5556"/>
          </w:tcPr>
          <w:p>
            <w:r/>
            <w:r>
              <w:rPr>
                <w:b w:val="0"/>
                <w:sz w:val="18"/>
              </w:rPr>
              <w:t xml:space="preserve">Finansowanie opisuje oba dokumenty. </w:t>
            </w:r>
            <w:r>
              <w:rPr>
                <w:b/>
                <w:sz w:val="18"/>
              </w:rPr>
              <w:t>Do zrobienia po Twojej stronie:</w:t>
            </w:r>
            <w:r>
              <w:rPr>
                <w:b w:val="0"/>
                <w:sz w:val="18"/>
              </w:rPr>
              <w:t xml:space="preserve"> załączyć je do LSI.</w:t>
            </w:r>
          </w:p>
        </w:tc>
      </w:tr>
      <w:tr>
        <w:tc>
          <w:tcPr>
            <w:tcW w:type="dxa" w:w="1020"/>
          </w:tcPr>
          <w:p>
            <w:r/>
            <w:r>
              <w:rPr>
                <w:b w:val="0"/>
                <w:sz w:val="18"/>
              </w:rPr>
              <w:t>K6-13</w:t>
            </w:r>
          </w:p>
        </w:tc>
        <w:tc>
          <w:tcPr>
            <w:tcW w:type="dxa" w:w="3175"/>
          </w:tcPr>
          <w:p>
            <w:r/>
            <w:r>
              <w:rPr>
                <w:b w:val="0"/>
                <w:sz w:val="18"/>
              </w:rPr>
              <w:t>Podstawa rentowności (ROA, ROS, netto) wobec historii</w:t>
            </w:r>
          </w:p>
        </w:tc>
        <w:tc>
          <w:tcPr>
            <w:tcW w:type="dxa" w:w="5556"/>
          </w:tcPr>
          <w:p>
            <w:r/>
            <w:r>
              <w:rPr>
                <w:b w:val="0"/>
                <w:sz w:val="18"/>
              </w:rPr>
              <w:t>Ocena kondycji finansowej: rentowność 2025 r. 0,2% wobec 6,3% w prognozie i powód (półrocze 2026 r.).</w:t>
            </w:r>
          </w:p>
        </w:tc>
      </w:tr>
      <w:tr>
        <w:tc>
          <w:tcPr>
            <w:tcW w:type="dxa" w:w="1020"/>
          </w:tcPr>
          <w:p>
            <w:r/>
            <w:r>
              <w:rPr>
                <w:b w:val="0"/>
                <w:sz w:val="18"/>
              </w:rPr>
              <w:t>K6-14</w:t>
            </w:r>
          </w:p>
        </w:tc>
        <w:tc>
          <w:tcPr>
            <w:tcW w:type="dxa" w:w="3175"/>
          </w:tcPr>
          <w:p>
            <w:r/>
            <w:r>
              <w:rPr>
                <w:b w:val="0"/>
                <w:sz w:val="18"/>
              </w:rPr>
              <w:t>Harmonogram płatności: okres wniosków, pierwsza płatność co najmniej 5%, transza do 40%, suma zaliczek do 90%</w:t>
            </w:r>
          </w:p>
        </w:tc>
        <w:tc>
          <w:tcPr>
            <w:tcW w:type="dxa" w:w="5556"/>
          </w:tcPr>
          <w:p>
            <w:r/>
            <w:r>
              <w:rPr>
                <w:b w:val="0"/>
                <w:sz w:val="18"/>
              </w:rPr>
              <w:t>Finansowanie: Everest11 7,53%, 28,67%, 89,50%; konsorcjum 7,01%, 28,97%, 89,60%. Liczby przeliczone po zmianach z 06.10.</w:t>
            </w:r>
          </w:p>
        </w:tc>
      </w:tr>
      <w:tr>
        <w:tc>
          <w:tcPr>
            <w:tcW w:type="dxa" w:w="1020"/>
          </w:tcPr>
          <w:p>
            <w:r/>
            <w:r>
              <w:rPr>
                <w:b w:val="0"/>
                <w:sz w:val="18"/>
              </w:rPr>
              <w:t>K6-15, K6-16</w:t>
            </w:r>
          </w:p>
        </w:tc>
        <w:tc>
          <w:tcPr>
            <w:tcW w:type="dxa" w:w="3175"/>
          </w:tcPr>
          <w:p>
            <w:r/>
            <w:r>
              <w:rPr>
                <w:b w:val="0"/>
                <w:sz w:val="18"/>
              </w:rPr>
              <w:t>Usługi obce w 2025 r. i udział podmiotów powiązanych z Inwestorem</w:t>
            </w:r>
          </w:p>
        </w:tc>
        <w:tc>
          <w:tcPr>
            <w:tcW w:type="dxa" w:w="5556"/>
          </w:tcPr>
          <w:p>
            <w:r/>
            <w:r>
              <w:rPr>
                <w:b w:val="0"/>
                <w:sz w:val="18"/>
              </w:rPr>
              <w:t>Sprawozdania finansowe: usługi obce 14 101 tys. zł (99% kosztów), Natanek Logistics ok. 95% zakupów usług (13,4 mln zł w 2025 r. i 8,4 mln zł w I półroczu 2026 r.); Finansowanie i Przychody: powiązanie z Inwestorem.</w:t>
            </w:r>
          </w:p>
        </w:tc>
      </w:tr>
      <w:tr>
        <w:tc>
          <w:tcPr>
            <w:tcW w:type="dxa" w:w="1020"/>
          </w:tcPr>
          <w:p>
            <w:r/>
            <w:r>
              <w:rPr>
                <w:b w:val="0"/>
                <w:sz w:val="18"/>
              </w:rPr>
              <w:t>K6-17</w:t>
            </w:r>
          </w:p>
        </w:tc>
        <w:tc>
          <w:tcPr>
            <w:tcW w:type="dxa" w:w="3175"/>
          </w:tcPr>
          <w:p>
            <w:r/>
            <w:r>
              <w:rPr>
                <w:b w:val="0"/>
                <w:sz w:val="18"/>
              </w:rPr>
              <w:t>Strata na sprzedaży PRz w 2025 r.</w:t>
            </w:r>
          </w:p>
        </w:tc>
        <w:tc>
          <w:tcPr>
            <w:tcW w:type="dxa" w:w="5556"/>
          </w:tcPr>
          <w:p>
            <w:r/>
            <w:r>
              <w:rPr>
                <w:b w:val="0"/>
                <w:sz w:val="18"/>
              </w:rPr>
              <w:t>Komentarze modelu PRz (Sprawozdania finansowe).</w:t>
            </w:r>
          </w:p>
        </w:tc>
      </w:tr>
      <w:tr>
        <w:tc>
          <w:tcPr>
            <w:tcW w:type="dxa" w:w="1020"/>
          </w:tcPr>
          <w:p>
            <w:r/>
            <w:r>
              <w:rPr>
                <w:b w:val="0"/>
                <w:sz w:val="18"/>
              </w:rPr>
              <w:t>K6-18</w:t>
            </w:r>
          </w:p>
        </w:tc>
        <w:tc>
          <w:tcPr>
            <w:tcW w:type="dxa" w:w="3175"/>
          </w:tcPr>
          <w:p>
            <w:r/>
            <w:r>
              <w:rPr>
                <w:b w:val="0"/>
                <w:sz w:val="18"/>
              </w:rPr>
              <w:t>Data rozpoczęcia działalności Lidera w pkt 1.3 (31.12.2021 wobec 16.11.2020 w KRS)</w:t>
            </w:r>
          </w:p>
        </w:tc>
        <w:tc>
          <w:tcPr>
            <w:tcW w:type="dxa" w:w="5556"/>
          </w:tcPr>
          <w:p>
            <w:r/>
            <w:r>
              <w:rPr>
                <w:b w:val="0"/>
                <w:sz w:val="18"/>
              </w:rPr>
              <w:t xml:space="preserve">Poza modelem. </w:t>
            </w:r>
            <w:r>
              <w:rPr>
                <w:b/>
                <w:sz w:val="18"/>
              </w:rPr>
              <w:t>Do zrobienia po Twojej stronie:</w:t>
            </w:r>
            <w:r>
              <w:rPr>
                <w:b w:val="0"/>
                <w:sz w:val="18"/>
              </w:rPr>
              <w:t xml:space="preserve"> poprawić datę w LSI na 16.11.2020.</w:t>
            </w:r>
          </w:p>
        </w:tc>
      </w:tr>
    </w:tbl>
    <w:p/>
    <w:p>
      <w:pPr>
        <w:pStyle w:val="Heading1"/>
      </w:pPr>
      <w:r>
        <w:t>3. Co się zmieniło względem poprzednich komentarzy</w:t>
      </w:r>
    </w:p>
    <w:p>
      <w:pPr>
        <w:pStyle w:val="ListBullet"/>
      </w:pPr>
      <w:r>
        <w:rPr>
          <w:b/>
        </w:rPr>
        <w:t>Wkład własny Lidera: 1 253 357,99 zł zmienia się na 1 250 555,58 zł (minus 2 802,41 zł).</w:t>
      </w:r>
      <w:r>
        <w:rPr>
          <w:b w:val="0"/>
        </w:rPr>
        <w:t xml:space="preserve"> Przyczyna to poprawiony budżet internacjonalizacji (Z10 i Z11): nowe pozycje, wyjazdy rozliczone stawką jednostkową 5 489 zł na osobę (bez VAT), inne ceny stoiska i usług rzecznika. VAT od tych wydatków spadł z 17 204,78 zł do 14 402,37 zł, a łączny VAT Lidera z 80 937,78 zł do 78 135,37 zł. Wydatki ogółem: 4 214 851,69 zł (było 4 217 654,10 zł). Wydatki kwalifikowalne (4 136 716,32 zł), dofinansowanie (2 964 296,11 zł) i wkład w wydatki kwalifikowalne (1 172 420,21 zł) nie zmieniły się. Warunkowa Umowa Inwestycyjna ma starą kwotę, więc komentarz Finansowanie opisuje różnicę i wskazuje, że zobowiązanie inwestora pokrywa cały wkład po zmianie. Ten sam opis, z kwotą 1 250 556 zł, jest w polu LSI „Opis dokapitalizowania” (Zmiany do wprowadzenia, pozycja 4.1, zaktualizowana).</w:t>
      </w:r>
    </w:p>
    <w:p>
      <w:pPr>
        <w:pStyle w:val="ListBullet"/>
      </w:pPr>
      <w:r>
        <w:rPr>
          <w:b/>
        </w:rPr>
        <w:t>Aparatura 57,1 tys. zł:</w:t>
      </w:r>
      <w:r>
        <w:rPr>
          <w:b w:val="0"/>
        </w:rPr>
        <w:t xml:space="preserve"> poprzedni komentarz (Środki trwałe) mówił o zakupie w styczniu 2027 r. z amortyzacją 52 tys. zł w 2027 r. i 5 tys. zł w 2028 r. Teraz aparatura jest odpisywana jednorazowo w maju 2027 r. (M7), a komentarz powołuje się na uwagę 1 Instrukcji, bo każdy komplet kosztuje do 4 100 zł netto.</w:t>
      </w:r>
    </w:p>
    <w:p>
      <w:pPr>
        <w:pStyle w:val="ListBullet"/>
      </w:pPr>
      <w:r>
        <w:rPr>
          <w:b/>
        </w:rPr>
        <w:t>Internacjonalizacja:</w:t>
      </w:r>
      <w:r>
        <w:rPr>
          <w:b w:val="0"/>
        </w:rPr>
        <w:t xml:space="preserve"> koszty 33 tys. zł w 2028 r. i 54 tys. zł w 2029 r. zmieniają się na 58 tys. zł i 29 tys. zł (wg dat z wniosku). Komentarz Koszty operacyjne zawiera teraz kalkulację pozycji Z10 i Z11, której wymaga uwaga 2 do arkusza.</w:t>
      </w:r>
    </w:p>
    <w:p>
      <w:pPr>
        <w:pStyle w:val="ListBullet"/>
      </w:pPr>
      <w:r>
        <w:rPr>
          <w:b/>
        </w:rPr>
        <w:t>Dotacje i wyniki:</w:t>
      </w:r>
      <w:r>
        <w:rPr>
          <w:b w:val="0"/>
        </w:rPr>
        <w:t xml:space="preserve"> dotacja do kosztów operacyjnych 2 191 tys. zł (201, 1 365, 550 i 75 tys. zł), łączne dofinansowanie w arkuszu 2 964 tys. zł (było 2 965), NPV z dotacją w 2034 r. 1 444 tys. zł (było 1 445), IRR 19,9% (było 20%), strata na sprzedaży w 2027 r. 468 tys. zł (było 463), zysk ze sprzedaży w 2028 r. 476 tys. zł (było 496), stan środków na koniec 2027 r. 1 785 tys. zł (było 1 780) i na koniec 2029 r. 3 722 tys. zł (było 3 724).</w:t>
      </w:r>
    </w:p>
    <w:p>
      <w:pPr>
        <w:pStyle w:val="ListBullet"/>
      </w:pPr>
      <w:r>
        <w:rPr>
          <w:b/>
        </w:rPr>
        <w:t>Harmonogram płatności konsorcjum:</w:t>
      </w:r>
      <w:r>
        <w:rPr>
          <w:b w:val="0"/>
        </w:rPr>
        <w:t xml:space="preserve"> największa zaliczka 28,97% (było 27,03%), suma zaliczek 89,60% (było 89,63%), po przeliczeniu z nowym harmonogramem PRz. Limity (5%, 40%, 90%) są spełnione.</w:t>
      </w:r>
    </w:p>
    <w:p>
      <w:pPr>
        <w:pStyle w:val="ListBullet"/>
      </w:pPr>
      <w:r>
        <w:rPr>
          <w:b/>
        </w:rPr>
        <w:t>Podstawa składek:</w:t>
      </w:r>
      <w:r>
        <w:rPr>
          <w:b w:val="0"/>
        </w:rPr>
        <w:t xml:space="preserve"> w Koszty operacyjne dodałam rozbicie narzutu pracodawcy 20,5% na składki (K6-02); stawka składki wypadkowej 1,67% jest standardowa i wymaga Twojego potwierdzenia.</w:t>
      </w:r>
    </w:p>
    <w:p>
      <w:pPr>
        <w:pStyle w:val="Heading1"/>
      </w:pPr>
      <w:r>
        <w:t>4. Komentarze do wklejenia</w:t>
      </w:r>
    </w:p>
    <w:p>
      <w:pPr>
        <w:pStyle w:val="Heading2"/>
      </w:pPr>
      <w:r>
        <w:t>4.1 Arkusz Założenia (komórka B79)</w:t>
      </w:r>
    </w:p>
    <w:p>
      <w:pPr>
        <w:keepNext/>
        <w:spacing w:before="160" w:after="40"/>
      </w:pPr>
      <w:r>
        <w:rPr>
          <w:b/>
          <w:sz w:val="20"/>
        </w:rPr>
        <w:t>Komentarz do wklejenia, arkusz Założenia</w:t>
      </w:r>
      <w:r>
        <w:rPr>
          <w:color w:val="666666"/>
          <w:sz w:val="17"/>
        </w:rPr>
        <w:t xml:space="preserve"> [3008 znaków]</w:t>
      </w:r>
    </w:p>
    <w:p>
      <w:pPr>
        <w:spacing w:after="60"/>
      </w:pPr>
      <w:r>
        <w:rPr>
          <w:b w:val="0"/>
        </w:rPr>
        <w:t>Projekt zostanie zrealizowany od listopada 2026 r. do kwietnia 2029 r., czyli w ciągu 30 miesięcy. Pierwsze 18 miesięcy (listopad 2026 r. - kwiecień 2028 r.) obejmą badania przemysłowe, a kolejne 12 miesięcy (maj 2028 r. - kwiecień 2029 r.) prace rozwojowe, co odpowiada liczbie miesięcy zatrudnienia zespołu w arkuszu Koszty operacyjne. Prace rozwojowe kończą się w kwietniu 2029 r., dlatego od tego miesiąca model aktywuje ich koszty w wartościach niematerialnych i prawnych.</w:t>
      </w:r>
    </w:p>
    <w:p>
      <w:pPr>
        <w:spacing w:after="60"/>
      </w:pPr>
      <w:r>
        <w:rPr>
          <w:b w:val="0"/>
        </w:rPr>
        <w:t>Prognozę sporządzono na lata 2026-2039, czyli na 10 lat po zakończeniu realizacji projektu. Okres ten nie przekracza limitu z Instrukcji i obejmuje rok osiągnięcia opłacalności (2034, piąty rok po zakończeniu projektu), co pokazano w arkuszu Opłacalność. Stopę dyskonta przyjęto na poziomie 4% zgodnie z Instrukcją.</w:t>
      </w:r>
    </w:p>
    <w:p>
      <w:pPr>
        <w:spacing w:after="60"/>
      </w:pPr>
      <w:r>
        <w:rPr>
          <w:b w:val="0"/>
        </w:rPr>
        <w:t>Rok obrotowy spółki trwa 12 miesięcy i jest równy kalendarzowemu. Okresem bieżącym jest pierwsze półrocze 2026 r., a ostatnim sporządzonym sprawozdaniem bilans i rachunek zysków i strat na 30.06.2026 r. (komórka C14). Spółka jest czynnym podatnikiem VAT, więc wszystkie kwoty w modelu podano w wartościach netto i w tysiącach złotych. Prognozę sporządzono w cenach stałych, czyli bez inflacji w przychodach i kosztach, zgodnie z Instrukcją.</w:t>
      </w:r>
    </w:p>
    <w:p>
      <w:pPr>
        <w:spacing w:after="60"/>
      </w:pPr>
      <w:r>
        <w:rPr>
          <w:b w:val="0"/>
        </w:rPr>
        <w:t>Stopę podatku dochodowego przyjęto na poziomie 19% we wszystkich latach. Przychody spółki w 2025 r. wyniosły 14,25 mln zł, czyli więcej niż limit 2 mln EUR dla stawki 9% stosowanej przez małych podatników, a stawkę 19% potwierdziła księgowość spółki w informacji z 05.10.2026 r.</w:t>
      </w:r>
    </w:p>
    <w:p>
      <w:pPr>
        <w:spacing w:after="60"/>
      </w:pPr>
      <w:r>
        <w:rPr>
          <w:b w:val="0"/>
        </w:rPr>
        <w:t>Dla działalności projektowej przyjęto rotację należności 45 dni, zobowiązań 30 dni i zapasów 30 dni. Zapasy dotyczą wyłącznie komponentów zestawu retrofit, które spółka będzie kupować partiami przed montażem u klienta, więc pojawią się dopiero od uruchomienia sprzedaży w 2030 r. Termin zobowiązań jest taki sam jak obecnie, bo księgowość potwierdziła 30-dniowe terminy płatności wobec dostawców. Rotację należności ustalono na 45 dni, czyli o 15 dni więcej niż obecny 30-dniowy termin płatności i o 8 dni więcej niż rzeczywista rotacja 37 dni w pierwszym półroczu 2026 r. To założenie jest ostrożne, bo nowi klienci, czyli operatorzy transportowi, mogą płacić później niż dotychczasowy odbiorca, a dłuższy termin zwiększa zapotrzebowanie projektu na kapitał pracujący. Rotacje dla dotychczasowej działalności (37 dni należności i 29 dni zobowiązań, bez zapasów) opisano w arkuszu Kapitał pracujący.</w:t>
      </w:r>
    </w:p>
    <w:p>
      <w:pPr>
        <w:spacing w:after="60"/>
      </w:pPr>
      <w:r>
        <w:rPr>
          <w:b w:val="0"/>
        </w:rPr>
        <w:t>Bilans na 30.06.2026 r. nie wykazuje środków trwałych, wartości niematerialnych ani kredytów i pożyczek, dlatego dla działalności dotychczasowej nie wpisano stawek amortyzacji ani oprocentowania. Nie założono też przychodów z oprocentowania środków pieniężnych i depozytów, co jest ostrożne wobec rosnących sald środków pieniężnych w prognozie. Stawkę amortyzacji kosztów prac rozwojowych (20% rocznie) wpisano w arkuszu Środki trwałe, a aparaturę badawczą projektu odpisuje się jednorazowo w miesiącu oddania do używania, co opisano w komentarzach do arkuszy Koszty operacyjne i Środki trwałe.</w:t>
      </w:r>
    </w:p>
    <w:p>
      <w:pPr>
        <w:pStyle w:val="Heading2"/>
      </w:pPr>
      <w:r>
        <w:t>4.2 Arkusz Sprawozdania finansowe (komórka B203)</w:t>
      </w:r>
    </w:p>
    <w:p>
      <w:pPr>
        <w:keepNext/>
        <w:spacing w:before="160" w:after="40"/>
      </w:pPr>
      <w:r>
        <w:rPr>
          <w:b/>
          <w:sz w:val="20"/>
        </w:rPr>
        <w:t>Komentarz do wklejenia, arkusz Sprawozdania finansowe</w:t>
      </w:r>
      <w:r>
        <w:rPr>
          <w:color w:val="666666"/>
          <w:sz w:val="17"/>
        </w:rPr>
        <w:t xml:space="preserve"> [3460 znaków]</w:t>
      </w:r>
    </w:p>
    <w:p>
      <w:pPr>
        <w:spacing w:after="60"/>
      </w:pPr>
      <w:r>
        <w:rPr>
          <w:b w:val="0"/>
        </w:rPr>
        <w:t>Dane historyczne pochodzą z rocznych sprawozdań finansowych spółki za lata 2023-2025 oraz z bilansu i rachunku zysków i strat sporządzonych na 30.06.2026 r. i są podane w tysiącach złotych. Przychody ze sprzedaży wyniosły 1 167 tys. zł w 2023 r., 777 tys. zł w 2024 r., 14 254 tys. zł w 2025 r. i 9 763 tys. zł w pierwszym półroczu 2026 r. Skala działalności w latach 2023 i 2024 była niewielka, a w 2025 r. przychody wzrosły ponad osiemnastokrotnie, przy czym 95% sprzedaży 2025 r. przypadało na jednego odbiorcę, Amazon (informacja księgowości z 05.10.2026 r.).</w:t>
      </w:r>
    </w:p>
    <w:p>
      <w:pPr>
        <w:spacing w:after="60"/>
      </w:pPr>
      <w:r>
        <w:rPr>
          <w:b w:val="0"/>
        </w:rPr>
        <w:t>Strata w 2023 r. wynikała z kosztów wyższych niż przychody. Koszty działalności operacyjnej wyniosły 1 187 tys. zł wobec przychodów 1 167 tys. zł, co dało stratę na sprzedaży 20 tys. zł, a po pozostałych kosztach operacyjnych (17 tys. zł) stratę netto 37 tys. zł. Największe pozycje kosztowe to pozostałe koszty rodzajowe (561 tys. zł), zużycie materiałów i energii (356 tys. zł) oraz usługi obce (270 tys. zł). W 2024 r. koszty spadły do 716 tys. zł, spółka wypracowała zysk ze sprzedaży 61 tys. zł i zysk netto 42 tys. zł, a w 2025 r. zysk netto wyniósł 41 tys. zł.</w:t>
      </w:r>
    </w:p>
    <w:p>
      <w:pPr>
        <w:spacing w:after="60"/>
      </w:pPr>
      <w:r>
        <w:rPr>
          <w:b w:val="0"/>
        </w:rPr>
        <w:t>Spółka działa w modelu asset-light, czyli nie posiada własnej floty, więc większość przychodu przechodzi w koszty usług obcych. W 2025 r. usługi obce wyniosły 14 101 tys. zł, czyli 99% kosztów operacyjnych (14 227 tys. zł), a w pierwszym półroczu 2026 r. 8 885 tys. zł, czyli 97% kosztów operacyjnych (9 145 tys. zł). Dlatego zysk ze sprzedaży jest niski względem obrotu: 27 tys. zł w 2025 r. i 618 tys. zł w pierwszym półroczu 2026 r. Zysk netto za pierwsze półrocze 2026 r. wynosi 501 tys. zł, czyli 5,1% przychodu, i jest wyższy niż za cały rok 2025.</w:t>
      </w:r>
    </w:p>
    <w:p>
      <w:pPr>
        <w:spacing w:after="60"/>
      </w:pPr>
      <w:r>
        <w:rPr>
          <w:b w:val="0"/>
        </w:rPr>
        <w:t>Suma bilansowa spadła z 7 630 tys. zł na koniec 2025 r. do 2 202 tys. zł na 30.06.2026 r. Zobowiązania z tytułu dostaw i usług zmniejszyły się z 7 513 do 1 444 tys. zł, a należności z 4 855 do 2 000 tys. zł (3 071 tys. zł na 31.03.2026 r.). Środki pieniężne spadły z 2 768 do 193 tys. zł, ponieważ spółka uregulowała zobowiązania z wcześniejszego okresu, w tym część płatności przeterminowanych, a wpływy z należności i zysk półrocza pokryły tylko część tej spłaty. Kapitał własny wzrósł z 92 do 593 tys. zł dzięki zyskowi półrocza (501 tys. zł), a kapitał podstawowy wynosi 5 tys. zł. Według księgowości na 30.06.2026 r. wszystkie należności i zobowiązania z tytułu dostaw i usług mieściły się w terminie płatności, a spółka nie miała sald przeterminowanych, zaliczek ani przedpłat.</w:t>
      </w:r>
    </w:p>
    <w:p>
      <w:pPr>
        <w:spacing w:after="60"/>
      </w:pPr>
      <w:r>
        <w:rPr>
          <w:b w:val="0"/>
        </w:rPr>
        <w:t>Od 02.06.2025 r. jedynym wspólnikiem i prezesem zarządu spółki jest Wojciech Chrzanowski (wpis w KRS). W 2025 r. 95% sprzedaży przypadało na Amazon i 5% na Nara Motors sp. z o.o., a w pierwszym półroczu 2026 r. 100% sprzedaży przypadało na Amazon (informacja księgowości z 05.10.2026 r.). Około 95% zakupów usług, czyli usług transportowych, pochodzi od Natanek Logistics, podmiotu powiązanego z przyszłym inwestorem Zbigniewem Natankiem, co daje około 13,4 mln zł w 2025 r. i około 8,4 mln zł w pierwszym półroczu 2026 r. Pozostałe około 5% to usługi spedycyjno-logistyczne i doradcze, w tym prawne, oraz oprogramowanie do zarządzania flotą od kilku dostawców.</w:t>
      </w:r>
    </w:p>
    <w:p>
      <w:pPr>
        <w:spacing w:after="60"/>
      </w:pPr>
      <w:r>
        <w:rPr>
          <w:b w:val="0"/>
        </w:rPr>
        <w:t>Prognozę dotychczasowej działalności oparto na dwukrotności wyniku pierwszego półrocza 2026 r. (przychody 19 527 tys. zł rocznie, koszty 18 289 tys. zł rocznie), ponieważ księgowość nie wskazała sezonowości sprzedaży. Przychody kwartalne w 2026 r. były zbliżone: około 5,05 mln zł w I kwartale i około 4,71 mln zł w II kwartale.</w:t>
      </w:r>
    </w:p>
    <w:p>
      <w:pPr>
        <w:pStyle w:val="Heading2"/>
      </w:pPr>
      <w:r>
        <w:t>4.3 Arkusz Przychody (komórka B255)</w:t>
      </w:r>
    </w:p>
    <w:p>
      <w:pPr>
        <w:keepNext/>
        <w:spacing w:before="160" w:after="40"/>
      </w:pPr>
      <w:r>
        <w:rPr>
          <w:b/>
          <w:sz w:val="20"/>
        </w:rPr>
        <w:t>Komentarz do wklejenia, arkusz Przychody</w:t>
      </w:r>
      <w:r>
        <w:rPr>
          <w:color w:val="666666"/>
          <w:sz w:val="17"/>
        </w:rPr>
        <w:t xml:space="preserve"> [5062 znaków]</w:t>
      </w:r>
    </w:p>
    <w:p>
      <w:pPr>
        <w:spacing w:after="60"/>
      </w:pPr>
      <w:r>
        <w:rPr>
          <w:b w:val="0"/>
        </w:rPr>
        <w:t>Prognozę przychodów dotychczasowej działalności oparto na dwukrotności wyniku pierwszego półrocza 2026 r., czyli 2 x 9 763 418 zł = 19 526 835 zł rocznie, utrzymanej na stałym poziomie do 2039 r. bez zakładania wzrostu. Przychody wykazano w jednej pozycji zbiorczej (usługi spedycyjno-transportowe), co dopuszcza Instrukcja, a ilość równa 1 oznacza, że cena jednostkowa jest równa wartości rocznej. Prognoza jest o 37% wyższa niż przychód 2025 r. (14 254 tys. zł), ponieważ przenosi na cały rok poziom obrotów z 2026 r., a nie dlatego, że założono dalszy wzrost. Obroty z 2026 r. są stabilne w kolejnych kwartałach (około 5,05 mln zł w I kwartale i około 4,71 mln zł w II kwartale), a prognoza jest o 3,3% niższa niż wynik mnożenia I kwartału przez cztery (20 204 tys. zł). Przychody z lat 2023 i 2024 (1 167 i 777 tys. zł) odpowiadają znacznie mniejszej skali działalności, opisanej w arkuszu Sprawozdania finansowe.</w:t>
      </w:r>
    </w:p>
    <w:p>
      <w:pPr>
        <w:spacing w:after="60"/>
      </w:pPr>
      <w:r>
        <w:rPr>
          <w:b w:val="0"/>
        </w:rPr>
        <w:t>W pierwszym półroczu 2026 r. cała sprzedaż dotychczasowej działalności przypadała na jednego odbiorcę, Amazon, a prognoza zakłada utrzymanie tej współpracy na obecnym poziomie. Warunki umowy, w tym okres obowiązywania i wartość, stanowią tajemnicę przedsiębiorstwa Everest11 i nie są ujawniane we wniosku. Prognozy dotychczasowej działalności nie wykorzystano do uzasadnienia opłacalności projektu, bo opłacalność liczono wyłącznie z przychodów i kosztów projektu (arkusz Opłacalność).</w:t>
      </w:r>
    </w:p>
    <w:p>
      <w:pPr>
        <w:spacing w:after="60"/>
      </w:pPr>
      <w:r>
        <w:rPr>
          <w:b w:val="0"/>
        </w:rPr>
        <w:t>Przychody projektu pochodzą z trzech źródeł: subskrypcji SaaS w cenie 349 zł za pojazd miesięcznie, zestawu retrofit w cenie 7 500 zł za naczepę i licencji API w cenie 4 800 zł za umowę rocznie. Uzasadnienie cen znajduje się w części wniosku o rynku i cenach (pkt 1.3). Sprzedaż rozpocznie się w 2030 r., po zakończeniu prac rozwojowych w kwietniu 2029 r.</w:t>
      </w:r>
    </w:p>
    <w:p>
      <w:pPr>
        <w:spacing w:after="60"/>
      </w:pPr>
      <w:r>
        <w:rPr>
          <w:b w:val="0"/>
        </w:rPr>
        <w:t>Liczbę pojazdów przyjęto jako stan na koniec roku: 50 w 2030 r., 125 w 2031 r., 250 w 2032 r., 500 w 2033 r. i 1 000 w 2034 r., co odpowiada 0,5% rynku dostępnego, który oszacowano na około 200 tys. naczep w Polsce. Podstawą jest 544,97 tys. naczep zarejestrowanych w Polsce w 2023 r. (Eurostat, road_eqs_semit), z czego około 72% to nadwozia nadające się do montażu zestawu (PZPM, 2025), a około 86% naczep nie ma telematyki producenta (Frost &amp; Sullivan, 2019), co daje około 337 tys. naczep, a przyjęto ostrożnie 200 tys. (pkt 1.3 wniosku). Subskrypcję liczono od średniej liczby pojazdów w roku, dlatego w arkuszu widać 300, 1 032, 2 196, 4 380 i 8 760 pojazdo-miesięcy, czyli średnio 25, 86, 183, 365 i 730 pojazdów. Sprzedaż zestawów retrofit (50, 79, 135, 270 i 540 sztuk) obejmuje nowe pojazdy oraz wymianę zestawów po rezygnacjach przy założonym odpływie klientów 8% rocznie (założenie własne). Liczba umów API rośnie z 2 w 2030 r. do 50 w 2034 r. Od 2035 r. model utrzymuje wolumeny z 2034 r. bez dalszego wzrostu, a ceny pozostają stałe.</w:t>
      </w:r>
    </w:p>
    <w:p>
      <w:pPr>
        <w:spacing w:after="60"/>
      </w:pPr>
      <w:r>
        <w:rPr>
          <w:b w:val="0"/>
        </w:rPr>
        <w:t>Pierwszy próg, 50 pojazdów w 2030 r., pokrywają listy intencyjne trzech operatorów transportowych na łącznie 50 naczep (20, 20 i 10). Jednym z nich jest Natanek Logistics (20 naczep), podmiot powiązany z przyszłym inwestorem, a pozostali dwaj operatorzy, czyli 30 naczep, nie są z nim powiązani. W marcu-maju 2026 r. spółka przeprowadziła 15 rozmów z potencjalnymi klientami, a dalszy wzrost zakłada sprzedaż bezpośrednią do operatorów transportowych. Od 2031 r. dochodzi drugi segment, czyli polscy spedytorzy (około 12 tys. firm wg GUS, Działalność przedsiębiorstw transportowych 2023), dla których CargoDT ma być narzędziem zgodności wymaganym przez zleceniodawców.</w:t>
      </w:r>
    </w:p>
    <w:p>
      <w:pPr>
        <w:spacing w:after="60"/>
      </w:pPr>
      <w:r>
        <w:rPr>
          <w:b w:val="0"/>
        </w:rPr>
        <w:t>Popyt wzmacniają trzy czynniki niezależne od działań sprzedażowych spółki. Pierwszym jest rozporządzenie eFTI (UE 2020/1056), na podstawie którego organy państw członkowskich będą musiały przyjmować dokumenty elektroniczne od 9 lipca 2027 r. (dla przewoźników stosowanie jest dobrowolne). Drugim jest rosnąca presja ubezpieczycieli cargo na dokumentowanie stanu ładunku (wzrost udokumentowanych strat o 438% r/r w 2023 r.), a trzecim konsolidacja rynku TSL po spadku rejestracji naczep o 31,8% w 2024 r., która premiuje operatorów inwestujących w cyfryzację. Źródła tych danych podano w pkt 1.3 wniosku.</w:t>
      </w:r>
    </w:p>
    <w:p>
      <w:pPr>
        <w:spacing w:after="60"/>
      </w:pPr>
      <w:r>
        <w:rPr>
          <w:b w:val="0"/>
        </w:rPr>
        <w:t>Wartość dla klienta wynika z limitu odpowiedzialności przewoźnika w konwencji CMR: jedno roszczenie mieści się w przedziale 8 489-21 222 zł (art. 23, kurs SDR NBP 5,0954 z 04.09.2026 r.), co odpowiada abonamentowi SaaS za 24-61 miesięcy.</w:t>
      </w:r>
    </w:p>
    <w:p>
      <w:pPr>
        <w:spacing w:after="60"/>
      </w:pPr>
      <w:r>
        <w:rPr>
          <w:b w:val="0"/>
        </w:rPr>
        <w:t>Prognoza obejmuje wyłącznie rynek krajowy, a sprzedaż zagraniczna nie została założona, mimo że w projekcie zaplanowano promocję na rynkach CEE (zadanie Z10). CargoDT jest nową, komplementarną linią produktową i nie obniża dotychczasowej sprzedaży usług spedycyjnych. Produkt ma zastosowanie wyłącznie cywilne. W modelu nie ujęto sprzedaży ani zakupu wyników prac B+R między członkami konsorcjum. Pozostałe przychody operacyjne projektu (dotacje: 201, 1 365, 550 i 178 tys. zł w latach 2026-2029, po 155 tys. zł w latach 2030-2033 i 50 tys. zł w 2034 r.) wynikają automatycznie z arkusza Rozliczenie dotacji i nie są przychodami ze sprzedaży. Jednostką subskrypcji są pojazdo-miesiące razy 0,349 tys. zł, a pozostałe wartości podano w tys. zł.</w:t>
      </w:r>
    </w:p>
    <w:p>
      <w:pPr>
        <w:pStyle w:val="Heading2"/>
      </w:pPr>
      <w:r>
        <w:t>4.4 Arkusz Koszty operacyjne (komórka B645)</w:t>
      </w:r>
    </w:p>
    <w:p>
      <w:pPr>
        <w:keepNext/>
        <w:spacing w:before="160" w:after="40"/>
      </w:pPr>
      <w:r>
        <w:rPr>
          <w:b/>
          <w:sz w:val="20"/>
        </w:rPr>
        <w:t>Komentarz do wklejenia, arkusz Koszty operacyjne</w:t>
      </w:r>
      <w:r>
        <w:rPr>
          <w:color w:val="666666"/>
          <w:sz w:val="17"/>
        </w:rPr>
        <w:t xml:space="preserve"> [6859 znaków]</w:t>
      </w:r>
    </w:p>
    <w:p>
      <w:pPr>
        <w:spacing w:after="60"/>
      </w:pPr>
      <w:r>
        <w:rPr>
          <w:b w:val="0"/>
        </w:rPr>
        <w:t>Koszty dotychczasowej działalności przyjęto na poziomie dwukrotności pierwszego półrocza 2026 r. (2 x 9 144 948 zł = 18 289 895 zł rocznie), utrzymanym płasko bez wzrostu skali, co jest spójne z prognozą przychodów. Dominują usługi obce (17 769 tys. zł rocznie, 97% kosztów), czyli zakupy usług transportowych i spedycyjnych, a dalej wynagrodzenia (410 tys. zł), składki (85 tys. zł) oraz zużycie materiałów i energii (25 tys. zł). Zespół dotychczasowej działalności wykazano zbiorczo w jednej pozycji, co dopuszcza Instrukcja. Około 95% zakupów usług pochodzi od Natanek Logistics, a pozostałe od kilku dostawców usług spedycyjnych, doradczych i oprogramowania. Zysk ze sprzedaży wynosi 1 238 tys. zł rocznie (6,3% przychodu), tak jak w pierwszym półroczu 2026 r.</w:t>
      </w:r>
    </w:p>
    <w:p>
      <w:pPr>
        <w:spacing w:after="60"/>
      </w:pPr>
      <w:r>
        <w:rPr>
          <w:b w:val="0"/>
        </w:rPr>
        <w:t xml:space="preserve">Koszty projektu w fazie B+R obejmują pięć grup zgodnych z budżetem wniosku. Pierwszą są wynagrodzenia zespołu badawczego Lidera wraz ze składkami pracodawcy (200, 1 192, 1 211 i 407 tys. zł w latach 2026-2029, razem około 3 010 tys. zł) dla siedmiu stanowisk i trzech anotatorów. Wymiar zatrudnienia wynosi 0,75 etatu dla AI Lead i AI Senior Engineer, 0,25 dla Cybersecurity / AI Act Specialist, 1,0 dla IT Specialist, 0,5 dla IoT Specialist i specjalisty ds. logistyki TSL, 1,0 dla Backend/Full-Stack Developera oraz 3,0 dla anotatorów przez 10 miesięcy. Miesięczne wynagrodzenia brutto wynoszą od 6 tys. zł (anotator) do 23 tys. zł (AI Lead), a narzut pracodawcy 20,5% (składki pracodawcy: emerytalna 9,76%, rentowa 6,50%, wypadkowa 1,67%, Fundusz Pracy 2,45% i FGŚP 0,10%, razem 20,48%) </w:t>
      </w:r>
      <w:r>
        <w:rPr>
          <w:b w:val="0"/>
          <w:highlight w:val="yellow"/>
        </w:rPr>
        <w:t>potwierdzić stawkę składki wypadkowej Everest11</w:t>
      </w:r>
      <w:r>
        <w:rPr>
          <w:b w:val="0"/>
        </w:rPr>
        <w:t>. Stawki oparto na raportach No Fluff Jobs Rynek pracy IT 2025/2026 i Hays Salary Guide 2026, a uzasadnienie każdej z nich zawiera pole Metoda szacowania odpowiedniej pozycji wniosku. Wynagrodzenia kierownika B+R, kierownika zarządzającego i zastępcy kierownika zarządzającego ujęto w kosztach pośrednich.</w:t>
      </w:r>
    </w:p>
    <w:p>
      <w:pPr>
        <w:spacing w:after="60"/>
      </w:pPr>
      <w:r>
        <w:rPr>
          <w:b w:val="0"/>
        </w:rPr>
        <w:t xml:space="preserve">Drugą grupą jest podwykonawstwo montażu i demontażu zestawów na trzech pojazdach floty testowej: 150 tys. zł w 2027 r. dla toru pomiarowego w zadaniu Z2 (600 godzin po 250 zł) i 70 tys. zł w 2028 r. dla zestawów prototypowych w zadaniu Z9 (280 godzin po 250 zł). Obie kwoty są średnią z trzech ofert: Cadway-Automotive (02.06.2026), RLE VESOFTX (08.06.2026) i BEISSBARTH EQUIPMENT (10.06.2026), czyli 172 500, 142 500 i 135 000 zł dla Z2 oraz 80 500, 66 500 i 63 000 zł dla Z9. Trzecią grupą są wydatki na internacjonalizację (58 tys. zł w 2028 r. i 29 tys. zł w 2029 r., razem 86,9 tys. zł kwalifikowalnych): promocja na rynkach CEE (Z10, 55 586 zł) i zgłoszenie patentowe w EPO (Z11, 31 285 zł), dofinansowane w 50% (43 435,50 zł). Z10 obejmuje stoisko na kongresie TRANSLOG Connect Congress w Budapeszcie w listopadzie 2028 r. (opłata za powierzchnię 13 735 zł, energia, zabudowa i meble 10 184 zł, element wizualny 1 200 zł), doradztwo w wymiarze 14 dni (14 dni x 8 h x 125 zł = 14 000 zł) oraz trzy wyjazdy (dwie osoby na kongres i jedna na misję do Czech w 2029 r.) rozliczone stawką jednostkową 5 489 zł na osobę (16 467 zł). Z11 obejmuje wstępne orzeczenie rzecznika patentowego (8 000 zł), dokumentację i zgłoszenie do EPO wraz z tłumaczeniem (15 500 zł) oraz opłaty urzędowe EPO (7 785 zł). W 2028 r. ujęto stoisko, doradztwo, wyjazdy na kongres i orzeczenie rzecznika, a w 2029 r. misję do Czech, dokumentację i zgłoszenie oraz opłaty EPO (do 30.04.2029 r.) </w:t>
      </w:r>
      <w:r>
        <w:rPr>
          <w:b w:val="0"/>
          <w:highlight w:val="yellow"/>
        </w:rPr>
        <w:t>potwierdzić, że doradztwo i orzeczenie rzecznika przypadają na 2028 r.</w:t>
      </w:r>
      <w:r>
        <w:rPr>
          <w:b w:val="0"/>
        </w:rPr>
        <w:t>. Czwartą grupą jest aparatura badawcza (57,1 tys. zł, siedem pozycji), odpisywana jednorazowo w 2027 r. w miesiącu oddania do używania (M7, maj 2027 r.) i ujęta w pozycji Zużycie materiałów i energii (Projekt) z dofinansowaniem 80% (zob. komentarz do arkusza Środki trwałe). Piątą grupą są koszty pośrednie w formie ryczałtu 25% (765 tys. zł w latach 2026-2029), liczonego od kosztów bezpośrednich (wynagrodzenia i amortyzacja aparatury, bez podwykonawstwa) zgodnie z Przewodnikiem kwalifikowalności i ujętego w pozycji pozostałe koszty rodzajowe, jak wymaga uwaga 4 do arkusza w Instrukcji.</w:t>
      </w:r>
    </w:p>
    <w:p>
      <w:pPr>
        <w:spacing w:after="60"/>
      </w:pPr>
      <w:r>
        <w:rPr>
          <w:b w:val="0"/>
        </w:rPr>
        <w:t>Koszty prac rozwojowych (wynagrodzenia, składki i podwykonawstwo Z9, razem 1 290 tys. zł) model aktywuje w wartościach niematerialnych po zakończeniu prac w kwietniu 2029 r., więc w rachunku zysków i strat 2028 r. i 2029 r. widać tylko część kosztów projektu. Poziomy dofinansowania wynoszą 80% dla badań przemysłowych, 60% dla prac rozwojowych i 50% dla internacjonalizacji.</w:t>
      </w:r>
    </w:p>
    <w:p>
      <w:pPr>
        <w:spacing w:after="60"/>
      </w:pPr>
      <w:r>
        <w:rPr>
          <w:b w:val="0"/>
        </w:rPr>
        <w:t>W fazie komercjalizacji projekt jest deficytowy w pierwszych dwóch latach (2030-2031), ponieważ koszty stałe (zespół komercjalizacji, amortyzacja skapitalizowanych prac) przewyższają jeszcze niewielki wolumen sprzedaży przy 50 pojazdach w 2030 r. Koszty operacyjne projektu wynoszą 886, 1 202, 1 690, 2 777 i 4 548 tys. zł w latach 2030-2034. Break-even operacyjny przypada na 2032 r., a marża netto rośnie do ok. 31% w 2034 r., ponieważ koszt krańcowy subskrypcji jest niski. Relacja kosztów sprzedaży i marketingu do przychodu spada z ok. 72% w 2030 r. do ok. 16% w 2034 r., bo pierwsze wdrożenia opierają się na trzech operatorach, którzy podpisali listy intencyjne na łącznie 50 naczep, a dalsza sprzedaż na kontakcie bezpośrednim, bez akwizycji masowej.</w:t>
      </w:r>
    </w:p>
    <w:p>
      <w:pPr>
        <w:spacing w:after="60"/>
      </w:pPr>
      <w:r>
        <w:rPr>
          <w:b w:val="0"/>
        </w:rPr>
        <w:t>Koszty zmienne przyjęto jako założenia kalkulacyjne spółki. Hosting i infrastruktura SaaS kosztują 50 zł za pojazd miesięcznie (438 tys. zł w 2034 r.), obsługa licencji API 10% jej ceny (480 zł za umowę), marketing 1,5% przychodów, a administracja i pozostałe koszty komercjalizacji 3% przychodów. Koszt komponentów zestawu retrofit wynosi 4 875 zł za zestaw, czyli 65% ceny 7 500 zł, jako koszt docelowy zestawu produkcyjnego z jednym modułem kamery ToF, kamery EO i radaru mmWave. Składają się na niego: moduł edge AI Jetson Orin Nano 8 GB 1 520 zł (cena producenta 399 USD przy zamówieniu od 1000 szt.), płyta nośna i integracja 450 zł, kamera ToF 850 zł, kamera EO 380 zł, radar mmWave 430 zł, IMU i czujniki środowiskowe 120 zł, moduł LTE/GNSS 340 zł, dysk NVMe 260 zł oraz obudowa IP66 z okablowaniem i zasilaniem 525 zł. Cena modułu edge AI pochodzi z cennika producenta, a pozostałe ceny to założenia dla modułów klasy OEM, które Everest11 potwierdzi ofertami w zadaniu Z7. Przy koszcie wyższym o 1 000 zł marża brutto na zestawie spada z 35% do 22%.</w:t>
      </w:r>
    </w:p>
    <w:p>
      <w:pPr>
        <w:spacing w:after="60"/>
      </w:pPr>
      <w:r>
        <w:rPr>
          <w:b w:val="0"/>
        </w:rPr>
        <w:t>Zespół komercjalizacji kosztuje 346 tys. zł w 2030 r., a następnie 461, 576, 806 i 1 037 tys. zł do 2034 r., co odpowiada 1,5; 2,0; 2,5; 3,5 i 4,5 etatu przy koszcie 19,2 tys. zł miesięcznie na etat (etaty lub współpraca B2B). Tworzą go doradcy klienta B2B (1,0 etatu w latach 2030-2032, 2,0 w 2033 r. i 3,0 w 2034 r.) oraz specjalista ds. wdrożeń (0,5 etatu w 2030 r., 1,0 w 2031 r. i 1,5 od 2032 r.). Stawka mieści się w widełkach doradcy klienta MŚP (ok. 13 000 zł brutto) i key account managera B2B (ok. 19 000 zł brutto) według Hays Salary Guide 2026. Liczba pojazdów na jeden etat rośnie z 33 w 2030 r. do 222 w 2034 r.</w:t>
      </w:r>
    </w:p>
    <w:p>
      <w:pPr>
        <w:pStyle w:val="Heading2"/>
      </w:pPr>
      <w:r>
        <w:t>4.5 Arkusz Środki trwałe (komórka B873)</w:t>
      </w:r>
    </w:p>
    <w:p>
      <w:pPr>
        <w:keepNext/>
        <w:spacing w:before="160" w:after="40"/>
      </w:pPr>
      <w:r>
        <w:rPr>
          <w:b/>
          <w:sz w:val="20"/>
        </w:rPr>
        <w:t>Komentarz do wklejenia, arkusz Środki trwałe</w:t>
      </w:r>
      <w:r>
        <w:rPr>
          <w:color w:val="666666"/>
          <w:sz w:val="17"/>
        </w:rPr>
        <w:t xml:space="preserve"> [2557 znaków]</w:t>
      </w:r>
    </w:p>
    <w:p>
      <w:pPr>
        <w:spacing w:after="60"/>
      </w:pPr>
      <w:r>
        <w:rPr>
          <w:b w:val="0"/>
        </w:rPr>
        <w:t>Spółka nie ma środków trwałych ani wartości niematerialnych w działalności dotychczasowej (bilans na 30.06.2026 r. wykazuje w tych pozycjach zero), a model nie zakłada inwestycji w tej działalności, więc część dotycząca dotychczasowej działalności pozostaje pusta. Nie ma też posiadanych środków trwałych wykorzystywanych w projekcie, a flota testowa należy do partnera, Natanek Logistics, i nie stanowi majątku spółki.</w:t>
      </w:r>
    </w:p>
    <w:p>
      <w:pPr>
        <w:spacing w:after="60"/>
      </w:pPr>
      <w:r>
        <w:rPr>
          <w:b w:val="0"/>
        </w:rPr>
        <w:t>Koszty zakończonych prac rozwojowych (1 290 tys. zł, czyli wynagrodzenia i składki zespołu w fazie prac rozwojowych oraz podwykonawstwo Z9) są kapitalizowane po zakończeniu prac w kwietniu 2029 r. i amortyzowane liniowo w stawce 20% rocznie przez 5 lat, zgodnie z art. 33 ustawy o rachunkowości, który ogranicza okres odpisów kosztów prac rozwojowych do 5 lat. Amortyzacja wynosi 172 tys. zł w 2029 r. (8 miesięcy), po 258 tys. zł w latach 2030-2033 i 86 tys. zł w 2034 r. Dofinansowanie tej pozycji (60%, czyli 773 tys. zł) jest rozliczane równolegle do amortyzacji w arkuszu Rozliczenie dotacji.</w:t>
      </w:r>
    </w:p>
    <w:p>
      <w:pPr>
        <w:spacing w:after="60"/>
      </w:pPr>
      <w:r>
        <w:rPr>
          <w:b w:val="0"/>
        </w:rPr>
        <w:t>Aparatura badawcza o wartości 57,1 tys. zł netto (siedem pozycji: kamery EO, kamery ToF, radary mmWave, czujniki IMU i środowiskowe, platforma edge AI, zasilanie i integracja oraz układ światła strukturalnego) zostanie oddana do używania w M7 (maj 2027 r.) i wykorzystana wyłącznie do prac B+R w projekcie (Z2, następnie Z7 i Z9), a po M30 zostanie zlikwidowana protokołem likwidacji. Wartość początkowa jednego kompletu wynosi od 200 do 4 100 zł netto, czyli jest niższa niż 10 tys. zł, więc zgodnie z uwagą 1 do arkusza Środki trwałe w Instrukcji (środki trwałe poniżej 10 tys. zł amortyzuje się jednorazowo w roku zakupu) i z polityką rachunkowości Everest11 każdy komplet jest odpisywany jednorazowo w miesiącu oddania do używania. Dlatego aparatury nie wprowadzono do tabel zakupu: cała wartość 57,1 tys. zł jest kosztem 2027 r., a dofinansowanie dotyczy amortyzacji, jak mówią przypisy do Instrukcji dla projektów B+R. Pozycję ujęto w arkuszu Koszty operacyjne, w pozycji Zużycie materiałów i energii (Projekt), jako koszt kwalifikowalny badań przemysłowych z dofinansowaniem 80% (45,7 tys. zł). Wynik jest taki sam, jak po wpisaniu aparatury do tabeli z jednorazową amortyzacją: koszt 2027 r. wynosi 57,1 tys. zł, dofinansowanie 45,7 tys. zł, a wartość księgowa netto na koniec 2027 r. jest równa zero, więc po projekcie aparatura nie pozostaje w majątku spółki. Nakłady inwestycyjne projektu w arkuszu Opłacalność wynoszą 1 290 tys. zł (prace rozwojowe: 883 tys. zł w 2028 r. i 407 tys. zł w 2029 r.) i są w całości kwalifikowalne.</w:t>
      </w:r>
    </w:p>
    <w:p>
      <w:pPr>
        <w:pStyle w:val="Heading2"/>
      </w:pPr>
      <w:r>
        <w:t>4.6 Arkusz Rozliczenie dotacji (komórka B327)</w:t>
      </w:r>
    </w:p>
    <w:p>
      <w:pPr>
        <w:keepNext/>
        <w:spacing w:before="160" w:after="40"/>
      </w:pPr>
      <w:r>
        <w:rPr>
          <w:b/>
          <w:sz w:val="20"/>
        </w:rPr>
        <w:t>Komentarz do wklejenia, arkusz Rozliczenie dotacji</w:t>
      </w:r>
      <w:r>
        <w:rPr>
          <w:color w:val="666666"/>
          <w:sz w:val="17"/>
        </w:rPr>
        <w:t xml:space="preserve"> [1397 znaków]</w:t>
      </w:r>
    </w:p>
    <w:p>
      <w:pPr>
        <w:spacing w:after="60"/>
      </w:pPr>
      <w:r>
        <w:rPr>
          <w:b w:val="0"/>
        </w:rPr>
        <w:t>Spółka nie ma dotacji otrzymanych w latach poprzednich ani dotacji do rozliczenia w bilansie (rozliczenia międzyokresowe bierne wynoszą 0), więc tabele dotychczasowej działalności pozostają puste.</w:t>
      </w:r>
    </w:p>
    <w:p>
      <w:pPr>
        <w:spacing w:after="60"/>
      </w:pPr>
      <w:r>
        <w:rPr>
          <w:b w:val="0"/>
        </w:rPr>
        <w:t>Dla projektu arkusz rozlicza dofinansowanie w łącznej kwocie 2 964 tys. zł, czyli 2 964 296,11 zł według harmonogramu płatności po zaokrągleniu do tysiąca złotych zgodnie z Instrukcją. Składają się na nią dotacja do kosztów operacyjnych niebędących pracami rozwojowymi 2 191 tys. zł (201, 1 365, 550 i 75 tys. zł w latach 2026-2029), w tym dofinansowanie aparatury 46 tys. zł w 2027 r. (80% z 57,1 tys. zł), oraz dotacja do prac rozwojowych 773 tys. zł (60% z 1 290 tys. zł). Poziomy dofinansowania wynoszą 80% dla badań przemysłowych i aparatury, 60% dla prac rozwojowych i 50% dla internacjonalizacji, zgodnie z budżetem wniosku.</w:t>
      </w:r>
    </w:p>
    <w:p>
      <w:pPr>
        <w:spacing w:after="60"/>
      </w:pPr>
      <w:r>
        <w:rPr>
          <w:b w:val="0"/>
        </w:rPr>
        <w:t>Dotacja do kosztów operacyjnych jest ujmowana w pozostałych przychodach operacyjnych w roku poniesienia kosztów. Dotacja do prac rozwojowych jest ujmowana równolegle do amortyzacji skapitalizowanych kosztów, czyli 103 tys. zł w 2029 r., po 155 tys. zł w latach 2030-2033 i 50 tys. zł w 2034 r., więc rozliczenie kończy się w 2034 r. wraz z pięcioletnim okresem amortyzacji. Wpływy gotówkowe wynikają z harmonogramu w arkuszu Zaliczka-refundacja (siedem wniosków o płatność), a nie z momentu ujęcia dotacji w rachunku wyników, dlatego te dwa ujęcia różnią się w czasie.</w:t>
      </w:r>
    </w:p>
    <w:p>
      <w:pPr>
        <w:pStyle w:val="Heading2"/>
      </w:pPr>
      <w:r>
        <w:t>4.7 Arkusz Kapitał pracujący (komórka B133)</w:t>
      </w:r>
    </w:p>
    <w:p>
      <w:pPr>
        <w:keepNext/>
        <w:spacing w:before="160" w:after="40"/>
      </w:pPr>
      <w:r>
        <w:rPr>
          <w:b/>
          <w:sz w:val="20"/>
        </w:rPr>
        <w:t>Komentarz do wklejenia, arkusz Kapitał pracujący</w:t>
      </w:r>
      <w:r>
        <w:rPr>
          <w:color w:val="666666"/>
          <w:sz w:val="17"/>
        </w:rPr>
        <w:t xml:space="preserve"> [2930 znaków]</w:t>
      </w:r>
    </w:p>
    <w:p>
      <w:pPr>
        <w:spacing w:after="60"/>
      </w:pPr>
      <w:r>
        <w:rPr>
          <w:b w:val="0"/>
        </w:rPr>
        <w:t>Dla dotychczasowej działalności zastosowano kalkulację własną rotacji, ponieważ wartości historyczne z lat 2023-2025 nie opisują obecnych warunków handlowych spółki. Rotacja należności wynosiła 52, 17 i 121 dni w latach 2023-2025, a rotacja zobowiązań 52, 43 i 193 dni, natomiast na 30.06.2026 r. odpowiednio 37 i 29 dni. W prognozie przyjęto poziom z pierwszego półrocza 2026 r., czyli 37 dni dla należności i 29 dni dla zobowiązań z tytułu dostaw i usług, w całym okresie prognozy. Zapasy przyjęto na poziomie zero, bo spółka nie magazynuje towarów (bilans na 30.06.2026 r. nie wykazuje zapasów), co jest typowe dla brokera spedycyjnego.</w:t>
      </w:r>
    </w:p>
    <w:p>
      <w:pPr>
        <w:spacing w:after="60"/>
      </w:pPr>
      <w:r>
        <w:rPr>
          <w:b w:val="0"/>
        </w:rPr>
        <w:t>Podstawą są bilans na 30.06.2026 r. (należności z tytułu dostaw i usług 2 000 tys. zł, zobowiązania z tytułu dostaw i usług 1 444 tys. zł) oraz informacje księgowości z 05.10.2026 r. Terminy płatności wynoszą 30 dni zarówno wobec odbiorców, jak i wobec przewoźników, główny odbiorca płaci regularnie, spółka nie miała zaliczek ani przedpłat, a wszystkie należności i zobowiązania na 30.06.2026 r. mieściły się w terminie płatności. Rotacja należności 37 dni jest zbliżona do 30-dniowego terminu płatności, więc założenie jest realistyczne.</w:t>
      </w:r>
    </w:p>
    <w:p>
      <w:pPr>
        <w:spacing w:after="60"/>
      </w:pPr>
      <w:r>
        <w:rPr>
          <w:b w:val="0"/>
        </w:rPr>
        <w:t>Wysokie rotacje z 2025 r. i z marca 2026 r. wynikały z przeterminowanych płatności z wcześniejszego okresu. Zobowiązania z tytułu dostaw i usług wynosiły 7 513 tys. zł na koniec 2025 r. (193 dni), a należności 4 855 tys. zł (121 dni). W pierwszym półroczu 2026 r. spółka uregulowała zaległe zobowiązania (spadek do 1 444 tys. zł) i otrzymała płatności za należności (spadek do 2 000 tys. zł), co skróciło oba cykle do 29 i 37 dni. Księgowość wskazała, że po zmianie jedynego wspólnika w czerwcu 2025 r. spółka stopniowo uregulowała zaległości, a poziom z 2026 r. ma zostać utrzymany. Dlatego nie przyjęto średniej z lat 2023-2025, która odzwierciedlałaby zaległości, a nie bieżące warunki handlowe. Krótki cykl zobowiązań jest ostrożny dla płynności, bo model nie zakłada kredytu kupieckiego dłuższego niż 30 dni.</w:t>
      </w:r>
    </w:p>
    <w:p>
      <w:pPr>
        <w:spacing w:after="60"/>
      </w:pPr>
      <w:r>
        <w:rPr>
          <w:b w:val="0"/>
        </w:rPr>
        <w:t>Kapitał pracujący dotychczasowej działalności wynosi 556 tys. zł na 30.06.2026 r. i około 526 tys. zł w całym okresie prognozy, więc jego roczna zmiana jest bliska zeru (od -1 do +1 tys. zł) i prognoza nie generuje dodatkowego zapotrzebowania na środki.</w:t>
      </w:r>
    </w:p>
    <w:p>
      <w:pPr>
        <w:spacing w:after="60"/>
      </w:pPr>
      <w:r>
        <w:rPr>
          <w:b w:val="0"/>
        </w:rPr>
        <w:t>Dla projektu rotacje przyjęto w arkuszu Założenia: należności 45 dni, zobowiązania 30 dni i zapasy 30 dni od 2030 r. Kapitał pracujący projektu rośnie z 60 tys. zł w 2030 r. do 906 tys. zł w 2034 r. wraz ze wzrostem przychodów (490-7 347 tys. zł), a jego zmiana (od -73 tys. zł w 2030 r. do -453 tys. zł w 2034 r.) jest ujęta w przepływach w arkuszu Opłacalność. W 2034 r. należności projektu wynoszą 906 tys. zł, a zapasy komponentów i zobowiązania po 367 tys. zł. Dla całego przedsiębiorstwa kapitał pracujący wynosi 505 tys. zł w 2026 r. i 1 432 tys. zł w 2034 r., a jego wzrost finansuje rosnąca nadwyżka środków pieniężnych (4 562 tys. zł w 2030 r. i 11 423 tys. zł w 2034 r.).</w:t>
      </w:r>
    </w:p>
    <w:p>
      <w:pPr>
        <w:pStyle w:val="Heading2"/>
      </w:pPr>
      <w:r>
        <w:t>4.8 Arkusz Finansowanie (komórka B179)</w:t>
      </w:r>
    </w:p>
    <w:p>
      <w:pPr>
        <w:keepNext/>
        <w:spacing w:before="160" w:after="40"/>
      </w:pPr>
      <w:r>
        <w:rPr>
          <w:b/>
          <w:sz w:val="20"/>
        </w:rPr>
        <w:t>Komentarz do wklejenia, arkusz Finansowanie</w:t>
      </w:r>
      <w:r>
        <w:rPr>
          <w:color w:val="666666"/>
          <w:sz w:val="17"/>
        </w:rPr>
        <w:t xml:space="preserve"> [5989 znaków]</w:t>
      </w:r>
    </w:p>
    <w:p>
      <w:pPr>
        <w:spacing w:after="60"/>
      </w:pPr>
      <w:r>
        <w:rPr>
          <w:b w:val="0"/>
        </w:rPr>
        <w:t>Wkład własny Lidera wynosi 1 250 555,58 zł wydatków ogółem. Składa się na niego 1 172 420,21 zł wkładu w wydatki kwalifikowalne oraz 78 135,37 zł podatku VAT od wydatków objętych stawką 23% (podwykonawstwo 50 600 zł, aparatura 13 133 zł i internacjonalizacja 14 402,37 zł), który nie jest kosztem kwalifikowalnym (pkt 4.1 wniosku). Wkład wniesie inwestor, Zbigniew Natanek, który obejmie nowe udziały w podwyższonym kapitale zakładowym spółki. Spółka nie zaciągnie kredytów ani pożyczek i nie skorzysta z leasingu finansowego, dlatego model nie zawiera kosztów odsetkowych ani rat. Dopłaty do kapitału w arkuszu wynoszą 50 tys. zł w 2026 r., 341 tys. zł w 2027 r., 551 tys. zł w 2028 r. i 230 tys. zł w 2029 r., łącznie 1 172 tys. zł, zgodnie z zapotrzebowaniem na wydatki kwalifikowalne w poszczególnych latach. Model nie zakłada wypłaty dywidendy ani depozytów bankowych.</w:t>
      </w:r>
    </w:p>
    <w:p>
      <w:pPr>
        <w:spacing w:after="60"/>
      </w:pPr>
      <w:r>
        <w:rPr>
          <w:b w:val="0"/>
        </w:rPr>
        <w:t xml:space="preserve">Zmiana kwoty wkładu własnego. Warunkowa Umowa Inwestycyjna wskazuje wkład 1 253 357,99 zł, czyli kwotę z poprzedniej wersji wniosku. Po poprawie budżetu internacjonalizacji (Z10 i Z11: nowe pozycje budżetu, w tym wyjazdy rozliczone stawką jednostkową 5 489 zł na osobę, która nie zawiera VAT, oraz zmienione ceny stoiska i usług rzecznika patentowego) wydatki ogółem Lidera wynoszą 4 214 851,69 zł (było 4 217 654,10 zł), a wkład własny 1 250 555,58 zł, czyli o 2 802,41 zł mniej. Cała różnica to niższy VAT od wydatków internacjonalizacyjnych (14 402,37 zł zamiast 17 204,78 zł). Wydatki kwalifikowalne (4 136 716,32 zł), dofinansowanie (2 964 296,11 zł) i wkład w wydatki kwalifikowalne (1 172 420,21 zł) nie zmieniły się. Kwota z umowy jest wyższa od potrzebnego wkładu, więc zobowiązanie inwestora pokrywa cały wkład po zmianie, a model i wniosek (pkt 4.1) uwzględniają niższą kwotę 1 250 555,58 zł. </w:t>
      </w:r>
      <w:r>
        <w:rPr>
          <w:b w:val="0"/>
          <w:highlight w:val="yellow"/>
        </w:rPr>
        <w:t>Potwierdzić z inwestorem, czy wystarczy jego oświadczenie, że wniesie kwotę wynikającą z umowy o dofinansowanie (nie więcej niż 1 253 357,99 zł), czy potrzebny jest aneks do umowy, i wpisać datę tego dokumentu.</w:t>
      </w:r>
    </w:p>
    <w:p>
      <w:pPr>
        <w:spacing w:after="60"/>
      </w:pPr>
      <w:r>
        <w:rPr>
          <w:b w:val="0"/>
        </w:rPr>
        <w:t xml:space="preserve">Zobowiązanie inwestora potwierdza Warunkowa Umowa Inwestycyjna z warunkiem zawieszającym w postaci przyznania dofinansowania, zawarta </w:t>
      </w:r>
      <w:r>
        <w:rPr>
          <w:b w:val="0"/>
          <w:highlight w:val="yellow"/>
        </w:rPr>
        <w:t>data zawarcia umowy</w:t>
      </w:r>
      <w:r>
        <w:rPr>
          <w:b w:val="0"/>
        </w:rPr>
        <w:t xml:space="preserve">. Inwestor obejmie wszystkie nowe udziały, a dotychczasowy wspólnik nie obejmie nowych udziałów ani nie wniesie środków. Zdolność inwestora do wniesienia kwoty 1 253 357,99 zł z umowy, czyli także niższego wkładu 1 250 555,58 zł, potwierdza zaświadczenie banku </w:t>
      </w:r>
      <w:r>
        <w:rPr>
          <w:b w:val="0"/>
          <w:highlight w:val="yellow"/>
        </w:rPr>
        <w:t>nazwa banku</w:t>
      </w:r>
      <w:r>
        <w:rPr>
          <w:b w:val="0"/>
        </w:rPr>
        <w:t xml:space="preserve"> z dnia </w:t>
      </w:r>
      <w:r>
        <w:rPr>
          <w:b w:val="0"/>
          <w:highlight w:val="yellow"/>
        </w:rPr>
        <w:t>data</w:t>
      </w:r>
      <w:r>
        <w:rPr>
          <w:b w:val="0"/>
        </w:rPr>
        <w:t xml:space="preserve"> o stanie środków na rachunkach inwestora w wysokości </w:t>
      </w:r>
      <w:r>
        <w:rPr>
          <w:b w:val="0"/>
          <w:highlight w:val="yellow"/>
        </w:rPr>
        <w:t>kwota</w:t>
      </w:r>
      <w:r>
        <w:rPr>
          <w:b w:val="0"/>
        </w:rPr>
        <w:t xml:space="preserve"> zł, wystawione na dzień zawarcia umowy inwestycyjnej. Umowa i zaświadczenie są załączone do wniosku.</w:t>
      </w:r>
    </w:p>
    <w:p>
      <w:pPr>
        <w:spacing w:after="60"/>
      </w:pPr>
      <w:r>
        <w:rPr>
          <w:b w:val="0"/>
        </w:rPr>
        <w:t>Kapitał zakładowy Everest11 wynosi 5 000 zł (100 udziałów po 50 zł), a jedynym wspólnikiem i prezesem zarządu jest Wojciech Chrzanowski (wpis w KRS z 02.06.2025 r.). Podwyższenie kapitału zostanie przeprowadzone po przyznaniu dofinansowania na podstawie uchwały wspólników wskazującej inwestora jako jedyną osobę uprawnioną do objęcia nowych udziałów. Kapitał zakładowy wzrośnie tylko o wartość nominalną nowych udziałów: przy objęciu 25 udziałów po 50 zł, które odpowiadają 20% kapitału po podwyższeniu, będzie to 1 250 zł. Pozostała część wkładu inwestora zostanie wniesiona jako nadwyżka ponad wartość nominalną udziałów i przekazana na kapitał zapasowy. Liczbę obejmowanych udziałów i cenę emisyjną określi profesjonalna wycena spółki wykonana po przyznaniu dofinansowania, a udział inwestora nie przekroczy 20% zgodnie z warunkową umową inwestycyjną, więc co najmniej 80% kapitału pozostanie przy dotychczasowym wspólniku.</w:t>
      </w:r>
    </w:p>
    <w:p>
      <w:pPr>
        <w:spacing w:after="60"/>
      </w:pPr>
      <w:r>
        <w:rPr>
          <w:b w:val="0"/>
        </w:rPr>
        <w:t>Podatek VAT od wydatków kwalifikowalnych (78 135,37 zł) zostanie sfinansowany z tego samego dokapitalizowania i będzie odzyskiwany w rozliczeniach VAT spółki jako czynnego podatnika. Model prowadzono w kwotach netto, więc przepływy VAT nie są w nim widoczne.</w:t>
      </w:r>
    </w:p>
    <w:p>
      <w:pPr>
        <w:spacing w:after="60"/>
      </w:pPr>
      <w:r>
        <w:rPr>
          <w:b w:val="0"/>
        </w:rPr>
        <w:t>Inwestor jest powiązany z Natanek Logistics, głównym dostawcą usług transportowych spółki (około 95% zakupów usług), który udostępni flotę testową w zadaniu Z9 i jest jednym z trzech operatorów z listami intencyjnymi na zakup produktu. Transakcje z tym podmiotem będą zawierane na warunkach rynkowych, a ich ocena będzie prowadzona raz na kwartał, co opisano w analizie ryzyka wniosku.</w:t>
      </w:r>
    </w:p>
    <w:p>
      <w:pPr>
        <w:spacing w:after="60"/>
      </w:pPr>
      <w:r>
        <w:rPr>
          <w:b w:val="0"/>
        </w:rPr>
        <w:t>Harmonogram płatności Lidera obejmuje siedem wniosków o płatność: sześć zaliczek (od II półrocza 2026 r. do I półrocza 2029 r.) i końcową refundację w II półroczu 2029 r. Okres wniosków jest zgodny z realizacją projektu (pierwszy wniosek w II półroczu 2026 r., projekt rozpoczyna się w listopadzie 2026 r., ostatni w II półroczu 2029 r., projekt kończy się w kwietniu 2029 r.). Pierwsza zaliczka wynosi 223 304,52 zł, czyli 7,53% dofinansowania i spełnia wymóg co najmniej 5%. Największa pojedyncza zaliczka (850 008,67 zł) to 28,67% dofinansowania, czyli mniej niż limit 40%, suma zaliczek to 89,50% (limit 90%), a refundacja końcowa (311 251,09 zł) to 10,50%. Dla całego konsorcjum, z harmonogramem PRz (zaliczki 5,50%, 29,83% i 89,90% jej dofinansowania), odpowiednie wartości wynoszą 7,01%, 28,97%, 89,60% i 10,40%, więc zaliczki nie przekraczają 90% dofinansowania. Wydatki całkowite Lidera w harmonogramie wynoszą 4 214 851,69 zł, kwalifikowalne 4 136 716,32 zł. W okresach między wypłatami wydatki kwalifikowalne są finansowane wkładem inwestora i zaliczkami.</w:t>
      </w:r>
    </w:p>
    <w:p>
      <w:pPr>
        <w:spacing w:after="60"/>
      </w:pPr>
      <w:r>
        <w:rPr>
          <w:b w:val="0"/>
        </w:rPr>
        <w:t xml:space="preserve">Instrukcja wymaga opisania transakcji między członkami konsorcjum, dlatego opisujemy planowane przeniesienie praw PRz do wyników projektu na Lidera. Zgodnie z § 11 umowy konsorcjum Lider ma prawo pierwszeństwa nabycia tych praw, złoży oświadczenie w ciągu 120 dni od uzyskania wyników i zakończenia projektu (do 28.08.2029 r.), a cenę ustali niezależny ekspert, z możliwością powołania drugiego eksperta przy sporze. Przeniesienie praw zaplanowano do 30.11.2029 r. Koszt tego nabycia nie został ujęty w modelu zgodnie z Instrukcją, a jego wysokość nie jest jeszcze znana. </w:t>
      </w:r>
      <w:r>
        <w:rPr>
          <w:b w:val="0"/>
          <w:highlight w:val="yellow"/>
        </w:rPr>
        <w:t>Do potwierdzenia przez właścicielkę: źródłem sfinansowania nabycia praw będą środki własne Everest11 z działalności, a stan środków pieniężnych spółki na koniec 2029 r. wynosi 3 722 tys. zł.</w:t>
      </w:r>
    </w:p>
    <w:p>
      <w:pPr>
        <w:pStyle w:val="Heading2"/>
      </w:pPr>
      <w:r>
        <w:t>4.9 Arkusz Opłacalność (komórka B106)</w:t>
      </w:r>
    </w:p>
    <w:p>
      <w:pPr>
        <w:keepNext/>
        <w:spacing w:before="160" w:after="40"/>
      </w:pPr>
      <w:r>
        <w:rPr>
          <w:b/>
          <w:sz w:val="20"/>
        </w:rPr>
        <w:t>Komentarz do wklejenia, arkusz Opłacalność</w:t>
      </w:r>
      <w:r>
        <w:rPr>
          <w:color w:val="666666"/>
          <w:sz w:val="17"/>
        </w:rPr>
        <w:t xml:space="preserve"> [2925 znaków]</w:t>
      </w:r>
    </w:p>
    <w:p>
      <w:pPr>
        <w:spacing w:after="60"/>
      </w:pPr>
      <w:r>
        <w:rPr>
          <w:b w:val="0"/>
        </w:rPr>
        <w:t>Opłacalność projektu liczono na podstawie wolnych przepływów pieniężnych (FCF) wyłącznie z przychodów i kosztów projektu, przy stopie dyskonta 4% i bez wartości rezydualnej, zgodnie z Instrukcją. W wariancie z dotacją przepływy obejmują wpływy z dofinansowania (2 964 tys. zł łącznie), a w wariancie bez dotacji ich nie obejmują. Zmianę kapitału pracującego projektu ujęto w przepływach (-453 tys. zł w 2034 r.), a podatek dochodowy nie jest uwzględniany w FCF zgodnie ze schematem arkusza.</w:t>
      </w:r>
    </w:p>
    <w:p>
      <w:pPr>
        <w:spacing w:after="60"/>
      </w:pPr>
      <w:r>
        <w:rPr>
          <w:b w:val="0"/>
        </w:rPr>
        <w:t>Projekt osiąga opłacalność w 2034 r., czyli w piątym roku po zakończeniu realizacji, co jest minimalnym okresem prognozy wymaganym przez Instrukcję. Skumulowana zdyskontowana wartość przepływów (NPV) z dotacją zmienia znak z -333 tys. zł w 2033 r. na +1 444 tys. zł w 2034 r. i rośnie do +10 829 tys. zł w 2039 r., a IRR rośnie z 19,9% w 2034 r. do 40,5% w 2039 r. i przekracza stopę dyskonta 4%. Bez dotacji NPV staje się dodatnie w 2035 r. (+675 tys. zł) i wynosi +8 033 tys. zł w 2039 r., przy IRR 6,5% w 2035 r. i 18,7% w 2039 r. Projekt jest więc rentowny samodzielnie, a dofinansowanie przyspiesza zwrot o rok i ogranicza ryzyko fazy rozruchu.</w:t>
      </w:r>
    </w:p>
    <w:p>
      <w:pPr>
        <w:spacing w:after="60"/>
      </w:pPr>
      <w:r>
        <w:rPr>
          <w:b w:val="0"/>
        </w:rPr>
        <w:t>Wynik wynika z założeń opisanych w arkuszach Przychody i Koszty operacyjne. Przychody rosną z 490 tys. zł w 2030 r. do 7 347 tys. zł w 2034 r. wraz ze wzrostem bazy pojazdów z 50 do 1 000. Koszt komponentów zestawu retrofit to 4 875 zł za zestaw (65% ceny), hosting kosztuje 50 zł za pojazd miesięcznie, a koszty stałe komercjalizacji (zespół, marketing, administracja) wynoszą 1 367 tys. zł w 2034 r., co daje wynik operacyjny przed amortyzacją 2 885 tys. zł w 2034 r. (39% przychodu). Pierwszy próg sprzedaży pokrywają listy intencyjne trzech operatorów transportowych na łącznie 50 naczep, a dalszy wzrost opiera się na sprzedaży bezpośredniej do operatorów transportowych.</w:t>
      </w:r>
    </w:p>
    <w:p>
      <w:pPr>
        <w:spacing w:after="60"/>
      </w:pPr>
      <w:r>
        <w:rPr>
          <w:b w:val="0"/>
        </w:rPr>
        <w:t>Wrażliwość oszacowano w przybliżeniu na podstawie przepływów z arkusza, bez uwzględnienia oszczędności kosztów zmiennych i zmian kapitału pracującego, więc wyniki są orientacyjne i ostrożne. Spadek przychodów o 20% w całym okresie 2030-2039 obniża NPV w 2039 r. o około 6 950 tys. zł, do około 3 880 tys. zł z dotacją i około 1 080 tys. zł bez dotacji. Opóźnienie sprzedaży o rok obniża NPV o około 5 580 tys. zł, do około 5 250 tys. zł z dotacją. Wzrost kosztu komponentów zestawu o 20% obniża NPV o około 2 510 tys. zł, do około 8 320 tys. zł z dotacją. We wszystkich tych wariantach NPV w 2039 r. pozostaje dodatnie.</w:t>
      </w:r>
    </w:p>
    <w:p>
      <w:pPr>
        <w:spacing w:after="60"/>
      </w:pPr>
      <w:r>
        <w:rPr>
          <w:b w:val="0"/>
        </w:rPr>
        <w:t>Przyjęto 10-letni okres prognozy po zakończeniu projektu, który mieści się w limicie Instrukcji, a moment osiągnięcia opłacalności (2034 r.) przypada w jego pierwszej połowie. Wartość dofinansowania w arkuszu (2 964 tys. zł) jest równa kwocie z wniosku (2 964 296,11 zł) po zaokrągleniu do tysiąca złotych (Instrukcja, pkt 11). Aparatura projektu (57,1 tys. zł) jest ujęta w kosztach 2027 r. jako odpis jednorazowy, więc pełny wydatek gotówkowy jest uwzględniony w przepływach tego roku.</w:t>
      </w:r>
    </w:p>
    <w:p>
      <w:pPr>
        <w:pStyle w:val="Heading2"/>
      </w:pPr>
      <w:r>
        <w:t>4.10 Arkusz Ocena kondycji finansowej (komórka B444)</w:t>
      </w:r>
    </w:p>
    <w:p>
      <w:pPr>
        <w:keepNext/>
        <w:spacing w:before="160" w:after="40"/>
      </w:pPr>
      <w:r>
        <w:rPr>
          <w:b/>
          <w:sz w:val="20"/>
        </w:rPr>
        <w:t>Komentarz do wklejenia, arkusz Ocena kondycji finansowej</w:t>
      </w:r>
      <w:r>
        <w:rPr>
          <w:color w:val="666666"/>
          <w:sz w:val="17"/>
        </w:rPr>
        <w:t xml:space="preserve"> [4663 znaków]</w:t>
      </w:r>
    </w:p>
    <w:p>
      <w:pPr>
        <w:spacing w:after="60"/>
      </w:pPr>
      <w:r>
        <w:rPr>
          <w:b w:val="0"/>
        </w:rPr>
        <w:t>Płynność finansowa Lidera pozostaje dodatnia w całym okresie prognozy. Łączny stan środków pieniężnych (działalność dotychczasowa i projekt) wynosi 598 tys. zł na koniec 2026 r., 1 785 tys. zł w 2027 r. i 4 562 tys. zł w 2030 r., po czym rośnie do 28 123 tys. zł w 2039 r. Płynność bieżąca łącznie wynosi od 1,75 w 2026 r. do 17 w 2039 r. i przez cały okres prognozy przekracza 1,7. Stan środków na koniec 2026 r. jest niższy niż na koniec 2025 r. (2 766 tys. zł), ponieważ w 2026 r. spółka uregulowała zobowiązania z wcześniejszego okresu, co opisano w arkuszach Sprawozdania finansowe i Kapitał pracujący.</w:t>
      </w:r>
    </w:p>
    <w:p>
      <w:pPr>
        <w:spacing w:after="60"/>
      </w:pPr>
      <w:r>
        <w:rPr>
          <w:b w:val="0"/>
        </w:rPr>
        <w:t>Środki pieniężne projektu liczone osobno są ujemne w latach 2030 i 2031 (-202 i -225 tys. zł), gdy przychody projektu (490 i 982 tys. zł) nie pokrywają jeszcze kosztów komercjalizacji, a od 2032 r. są dodatnie (18 tys. zł) i rosną do 2 637 tys. zł w 2034 r. W tych dwóch latach deficyt projektu pokrywają środki z działalności dotychczasowej, których stan wynosi 4 580 i 5 583 tys. zł, a łączny stan środków to 4 562 i 5 554 tys. zł. Zadłużenie projektu liczone osobno wynosi około 100% w latach 2026-2027, ponieważ kapitał własny projektu jest bliski zera, gdy wkład inwestora jest wnoszony w transzach. Następnie wynosi 64% i 61% w latach 2028-2029, 74% i 76% w latach 2030-2031, 46% w 2032 r. i 4% w 2036 r. Dla łącznej działalności wskaźnik zadłużenia wynosi 57% w 2026 r., 27% w 2030 r. i 6% w 2039 r.</w:t>
      </w:r>
    </w:p>
    <w:p>
      <w:pPr>
        <w:spacing w:after="60"/>
      </w:pPr>
      <w:r>
        <w:rPr>
          <w:b w:val="0"/>
        </w:rPr>
        <w:t>Wskaźniki rentowności łącznie są dodatnie we wszystkich latach prognozy poza 2027 r. W 2027 r. spółka wykaże stratę na sprzedaży 468 tys. zł (rentowność sprzedaży -2,4%), ponieważ pierwszy pełny rok badań przemysłowych generuje koszty projektu 1 706 tys. zł, których nie pokrywają przychody ze sprzedaży. Strata ta nie przechodzi w stratę brutto ani netto: wynik netto w 2027 r. wynosi 727 tys. zł, bo koszty projektu są dofinansowane, a dotacje (1 365 tys. zł) są ujmowane jako pozostałe przychody operacyjne. W 2028 r. zysk ze sprzedaży wynosi 476 tys. zł (rentowność 2,4%). Rentowność sprzedaży w latach 2028-2031 (2,4%, 4,8%, 4,2% i 5,0%) jest niższa niż dotychczasowa 6,3%, bo obciążają ją koszty komercjalizacji przed osiągnięciem skali, a od 2032 r. rośnie do 6,5%, 9,2% w 2033 r. i 15% w 2034 r. Rentowność netto mieści się w przedziale od 3,7% (2027 r.) do 12,4%.</w:t>
      </w:r>
    </w:p>
    <w:p>
      <w:pPr>
        <w:spacing w:after="60"/>
      </w:pPr>
      <w:r>
        <w:rPr>
          <w:b w:val="0"/>
        </w:rPr>
        <w:t>Rentowność działalności dotychczasowej w prognozie (sprzedaży 6,3%, netto 5,1%) jest wyższa niż w 2025 r. (0,2% i 0,3%), ponieważ prognozę oparto na wyniku pierwszego półrocza 2026 r. (zysk netto 501 tys. zł przy przychodach 9 763 tys. zł), utrzymanym płasko. Podobny poziom rentowności sprzedaży spółka osiągnęła w 2024 r. (7,8%). Zwrot na aktywach dotychczasowej działalności (39% w 2026 r. i 6% w 2039 r.) wynika z niskiej sumy bilansowej spółki asset-light (2,6 mln zł na koniec 2026 r. wobec 7,6 mln zł na koniec 2025 r.) i maleje wraz ze wzrostem aktywów.</w:t>
      </w:r>
    </w:p>
    <w:p>
      <w:pPr>
        <w:spacing w:after="60"/>
      </w:pPr>
      <w:r>
        <w:rPr>
          <w:b w:val="0"/>
        </w:rPr>
        <w:t>Odchylenia wskaźników od wartości pożądanych w latach historycznych wynikają z niskiej skali i niskiej marży modelu asset-light. W 2023 r. rentowność sprzedaży, netto i zwrot na aktywach były ujemne (-1,8%, -3,2% i -21,1%) z powodu straty opisanej w arkuszu Sprawozdania finansowe. W 2025 r. rentowność sprzedaży wyniosła 0,2%, netto 0,3%, a zwrot na aktywach 0,5%, ponieważ przy przychodzie 14 254 tys. zł wynik netto wyniósł tylko 41 tys. zł (usługi obce to 99% kosztów). Udział kapitałów własnych wynosił 1,2% na koniec 2025 r., a zadłużenie 98,8%, ponieważ kapitał podstawowy to 5 tys. zł, a zobowiązania z tytułu dostaw i usług (7 513 tys. zł) wynikały z kosztów usług transportowych, w tym przeterminowanych płatności z wcześniejszego okresu. Po uregulowaniu zaległości na 30.06.2026 r. kapitał własny wynosi 593 tys. zł (26,9% sumy bilansowej), zadłużenie 73,1%, a płynność bieżąca 1,37, i wszystkie te wskaźniki poprawiają się w prognozie: udział kapitałów własnych przekracza 50% od 2027 r. (57,7%), zadłużenie spada poniżej 50% w 2027 r. (42,3%), a zwrot na aktywach jest w całym okresie prognozy wyższy niż 10% (najniżej 10,6% w 2039 r.). Wskaźnik obsługi długu nie jest liczony, bo spółka nie ma zadłużenia finansowego, a wskaźnik pokrycia majątku trwałego kapitałem stałym, gdy jest liczony, przekracza 100%.</w:t>
      </w:r>
    </w:p>
    <w:p>
      <w:pPr>
        <w:spacing w:after="60"/>
      </w:pPr>
      <w:r>
        <w:rPr>
          <w:b w:val="0"/>
        </w:rPr>
        <w:t>Komórki kontrolne „sprawdzenie” w wierszach 95 i 382 oraz w wierszu 124 wykazują FALSE ze względu na stałą różnicę 1 tys. zł (dotychczasowa działalność), 1,46 tys. zł (łącznie) i 1 tys. zł w rachunku przepływów. To efekt niezależnego zaokrąglania poszczególnych pozycji przez zablokowane formuły szablonu, których zgodnie z Instrukcją nie edytujemy. Dane źródłowe w arkuszu Sprawozdania finansowe bilansują się w tysiącach złotych, a różnica mieści się w dopuszczalnej tolerancji zaokrągleń.</w:t>
      </w:r>
    </w:p>
    <w:p>
      <w:pPr>
        <w:pStyle w:val="Heading2"/>
      </w:pPr>
      <w:r>
        <w:t>4.11 Arkusz Opłacalność - Konsorcjum (komórka B101)</w:t>
      </w:r>
    </w:p>
    <w:p>
      <w:pPr>
        <w:keepNext/>
        <w:spacing w:before="160" w:after="40"/>
      </w:pPr>
      <w:r>
        <w:rPr>
          <w:b/>
          <w:sz w:val="20"/>
        </w:rPr>
        <w:t>Komentarz do wklejenia, arkusz Opłacalność - Konsorcjum</w:t>
      </w:r>
      <w:r>
        <w:rPr>
          <w:color w:val="666666"/>
          <w:sz w:val="17"/>
        </w:rPr>
        <w:t xml:space="preserve"> [1454 znaków]</w:t>
      </w:r>
    </w:p>
    <w:p>
      <w:pPr>
        <w:spacing w:after="60"/>
      </w:pPr>
      <w:r>
        <w:rPr>
          <w:b w:val="0"/>
        </w:rPr>
        <w:t>Konsorcjum tworzą Everest11 jako Lider, który wdroży rezultat projektu we własnej działalności, oraz Politechnika Rzeszowska jako organizacja badawcza, finansowana w 100% i niewykazująca przychodów z projektu. Dane Lidera przeniesiono z arkusza Opłacalność jego modelu, a dane PRz (koszty operacyjne 30, 531, 163 i 18 tys. zł oraz nakłady 223 i 70 tys. zł w latach 2026-2029) z arkusza Opłacalność modelu PRz. Oba podmioty przyjęły te same daty rozpoczęcia i zakończenia projektu w arkuszu Założenia, zgodnie z Instrukcją.</w:t>
      </w:r>
    </w:p>
    <w:p>
      <w:pPr>
        <w:spacing w:after="60"/>
      </w:pPr>
      <w:r>
        <w:rPr>
          <w:b w:val="0"/>
        </w:rPr>
        <w:t>Łączna wartość dofinansowania to 3 998 262 zł, z czego Everest11 2 964 296 zł i PRz 1 033 966 zł. Dotacja PRz w arkuszu wynosi 1 035 tys. zł, ponieważ suma kwot rocznych zaokrąglonych do tysiąca złotych (30, 531, 386 i 88 tys. zł) różni się o 1 tys. zł od kwoty z wniosku, co wynika z zaokrągleń opisanych w pkt 11 Instrukcji. Koszty PRz są w każdym roku w całości pokryte dotacją, więc jej udział nie wpływa na przepływy pieniężne konsorcjum, a wyniki opłacalności całego konsorcjum pokrywają się z wynikami Lidera: NPV dodatnie od 2034 r. (+1 444 tys. zł z dotacją), IRR 19,9% w 2034 r. i 40,5% w 2039 r.</w:t>
      </w:r>
    </w:p>
    <w:p>
      <w:pPr>
        <w:spacing w:after="60"/>
      </w:pPr>
      <w:r>
        <w:rPr>
          <w:b w:val="0"/>
        </w:rPr>
        <w:t>Wydatki niekwalifikowalne PRz w wysokości 33 971 zł wykazane we wniosku (pkt 4.1) pokrywa PRz ze środków własnych i nie zostały one ujęte w modelu. W modelu nie ujęto sprzedaży ani zakupu wyników prac B+R między członkami konsorcjum, a planowane przeniesienie praw PRz do Lidera opisano w komentarzu do arkusza Finansowanie.</w:t>
      </w:r>
    </w:p>
    <w:p>
      <w:pPr>
        <w:pStyle w:val="Heading1"/>
      </w:pPr>
      <w:r>
        <w:t>5. Arkusze bez pola Komentarz</w:t>
      </w:r>
    </w:p>
    <w:p>
      <w:pPr>
        <w:spacing w:after="60"/>
      </w:pPr>
      <w:r>
        <w:rPr>
          <w:b w:val="0"/>
        </w:rPr>
        <w:t>Dane Wnioskodawcy, Zaliczka-refundacja, Konsorcja (Dane wejściowe) i Zaliczka-refundacja - Konsorcjum nie mają pola Komentarz, a Instrukcja nie wymaga w nich opisu. Informacje o harmonogramie płatności są w komentarzu do arkusza Finansowanie (część 4.8), a dane konsorcjum w komentarzu do Opłacalność - Konsorcjum (część 4.11).</w:t>
      </w:r>
    </w:p>
    <w:p>
      <w:pPr>
        <w:pStyle w:val="Heading1"/>
      </w:pPr>
      <w:r>
        <w:t>6. Do uzupełnienia i potwierdzenia</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b/>
                <w:sz w:val="18"/>
              </w:rPr>
              <w:t>Nr</w:t>
            </w:r>
          </w:p>
        </w:tc>
        <w:tc>
          <w:tcPr>
            <w:tcW w:type="dxa" w:w="3213"/>
          </w:tcPr>
          <w:p>
            <w:r/>
            <w:r>
              <w:rPr>
                <w:b/>
                <w:sz w:val="18"/>
              </w:rPr>
              <w:t>Sprawa</w:t>
            </w:r>
          </w:p>
        </w:tc>
        <w:tc>
          <w:tcPr>
            <w:tcW w:type="dxa" w:w="3213"/>
          </w:tcPr>
          <w:p>
            <w:r/>
            <w:r>
              <w:rPr>
                <w:b/>
                <w:sz w:val="18"/>
              </w:rPr>
              <w:t>Co zrobić</w:t>
            </w:r>
          </w:p>
        </w:tc>
      </w:tr>
      <w:tr>
        <w:tc>
          <w:tcPr>
            <w:tcW w:type="dxa" w:w="3213"/>
          </w:tcPr>
          <w:p>
            <w:r/>
            <w:r>
              <w:rPr>
                <w:b w:val="0"/>
                <w:sz w:val="18"/>
              </w:rPr>
              <w:t>1</w:t>
            </w:r>
          </w:p>
        </w:tc>
        <w:tc>
          <w:tcPr>
            <w:tcW w:type="dxa" w:w="3213"/>
          </w:tcPr>
          <w:p>
            <w:r/>
            <w:r>
              <w:rPr>
                <w:b/>
                <w:sz w:val="18"/>
              </w:rPr>
              <w:t>Umowa inwestycyjna ma starą kwotę wkładu (1 253 357,99 zł).</w:t>
            </w:r>
          </w:p>
        </w:tc>
        <w:tc>
          <w:tcPr>
            <w:tcW w:type="dxa" w:w="3213"/>
          </w:tcPr>
          <w:p>
            <w:r/>
            <w:r>
              <w:rPr>
                <w:b w:val="0"/>
                <w:sz w:val="18"/>
              </w:rPr>
              <w:t>Uzgodnić z inwestorem i kancelarią, czy wystarczy oświadczenie inwestora, że wniesie kwotę wynikającą z umowy o dofinansowanie (nie więcej niż w umowie), czy potrzebny jest aneks. Wpisać datę dokumentu w żółtym zdaniu w Finansowaniu. Rekomenduję oświadczenie lub aneks, bo ekspert porówna kwotę w umowie z kwotą w pkt 4.1 wniosku (1 250 555,58 zł). Zaświadczenie bankowe pozostaje ważne (kwota jest wyższa).</w:t>
            </w:r>
          </w:p>
        </w:tc>
      </w:tr>
      <w:tr>
        <w:tc>
          <w:tcPr>
            <w:tcW w:type="dxa" w:w="3213"/>
          </w:tcPr>
          <w:p>
            <w:r/>
            <w:r>
              <w:rPr>
                <w:b w:val="0"/>
                <w:sz w:val="18"/>
              </w:rPr>
              <w:t>2</w:t>
            </w:r>
          </w:p>
        </w:tc>
        <w:tc>
          <w:tcPr>
            <w:tcW w:type="dxa" w:w="3213"/>
          </w:tcPr>
          <w:p>
            <w:r/>
            <w:r>
              <w:rPr>
                <w:b w:val="0"/>
                <w:sz w:val="18"/>
              </w:rPr>
              <w:t>Dane umowy i zaświadczenia bankowego (data zawarcia umowy, bank, data i kwota zaświadczenia) oraz źródło sfinansowania nabycia praw od PRz</w:t>
            </w:r>
          </w:p>
        </w:tc>
        <w:tc>
          <w:tcPr>
            <w:tcW w:type="dxa" w:w="3213"/>
          </w:tcPr>
          <w:p>
            <w:r/>
            <w:r>
              <w:rPr>
                <w:b w:val="0"/>
                <w:sz w:val="18"/>
              </w:rPr>
              <w:t>Uzupełnić żółte pola w Finansowaniu (cztery pola plus zdanie o źródle środków; stan środków spółki na koniec 2029 r. w modelu wynosi 3 722 tys. zł).</w:t>
            </w:r>
          </w:p>
        </w:tc>
      </w:tr>
      <w:tr>
        <w:tc>
          <w:tcPr>
            <w:tcW w:type="dxa" w:w="3213"/>
          </w:tcPr>
          <w:p>
            <w:r/>
            <w:r>
              <w:rPr>
                <w:b w:val="0"/>
                <w:sz w:val="18"/>
              </w:rPr>
              <w:t>3</w:t>
            </w:r>
          </w:p>
        </w:tc>
        <w:tc>
          <w:tcPr>
            <w:tcW w:type="dxa" w:w="3213"/>
          </w:tcPr>
          <w:p>
            <w:r/>
            <w:r>
              <w:rPr>
                <w:b w:val="0"/>
                <w:sz w:val="18"/>
              </w:rPr>
              <w:t>Daty doradztwa i orzeczenia rzecznika w Z10 i Z11</w:t>
            </w:r>
          </w:p>
        </w:tc>
        <w:tc>
          <w:tcPr>
            <w:tcW w:type="dxa" w:w="3213"/>
          </w:tcPr>
          <w:p>
            <w:r/>
            <w:r>
              <w:rPr>
                <w:b w:val="0"/>
                <w:sz w:val="18"/>
              </w:rPr>
              <w:t>Wniosek nie podaje ich wprost. Przyjęłam 2028 r. (doradztwo przed kongresem w listopadzie, orzeczenie od listopada 2028 r.). Jeśli któraś pozycja przypada w 2029 r., zmienia się tylko podział między latami w modelu i w jednym zdaniu komentarza Koszty operacyjne.</w:t>
            </w:r>
          </w:p>
        </w:tc>
      </w:tr>
      <w:tr>
        <w:tc>
          <w:tcPr>
            <w:tcW w:type="dxa" w:w="3213"/>
          </w:tcPr>
          <w:p>
            <w:r/>
            <w:r>
              <w:rPr>
                <w:b w:val="0"/>
                <w:sz w:val="18"/>
              </w:rPr>
              <w:t>4</w:t>
            </w:r>
          </w:p>
        </w:tc>
        <w:tc>
          <w:tcPr>
            <w:tcW w:type="dxa" w:w="3213"/>
          </w:tcPr>
          <w:p>
            <w:r/>
            <w:r>
              <w:rPr>
                <w:b w:val="0"/>
                <w:sz w:val="18"/>
              </w:rPr>
              <w:t>Stawka składki wypadkowej 1,67%</w:t>
            </w:r>
          </w:p>
        </w:tc>
        <w:tc>
          <w:tcPr>
            <w:tcW w:type="dxa" w:w="3213"/>
          </w:tcPr>
          <w:p>
            <w:r/>
            <w:r>
              <w:rPr>
                <w:b w:val="0"/>
                <w:sz w:val="18"/>
              </w:rPr>
              <w:t>Potwierdzić z księgowością. Jeśli stawka jest inna, zmienia się tylko opis składek w Koszty operacyjne (stawka 20,5% w modelu jest przyjęta jako całość).</w:t>
            </w:r>
          </w:p>
        </w:tc>
      </w:tr>
      <w:tr>
        <w:tc>
          <w:tcPr>
            <w:tcW w:type="dxa" w:w="3213"/>
          </w:tcPr>
          <w:p>
            <w:r/>
            <w:r>
              <w:rPr>
                <w:b w:val="0"/>
                <w:sz w:val="18"/>
              </w:rPr>
              <w:t>5</w:t>
            </w:r>
          </w:p>
        </w:tc>
        <w:tc>
          <w:tcPr>
            <w:tcW w:type="dxa" w:w="3213"/>
          </w:tcPr>
          <w:p>
            <w:r/>
            <w:r>
              <w:rPr>
                <w:b w:val="0"/>
                <w:sz w:val="18"/>
              </w:rPr>
              <w:t>Załączniki do LSI (K6-07, K6-10, K6-11) i poprawa daty w pkt 1.3 (K6-18)</w:t>
            </w:r>
          </w:p>
        </w:tc>
        <w:tc>
          <w:tcPr>
            <w:tcW w:type="dxa" w:w="3213"/>
          </w:tcPr>
          <w:p>
            <w:r/>
            <w:r>
              <w:rPr>
                <w:b w:val="0"/>
                <w:sz w:val="18"/>
              </w:rPr>
              <w:t>Po Twojej stronie, poza modelem.</w:t>
            </w:r>
          </w:p>
        </w:tc>
      </w:tr>
    </w:tbl>
    <w:p/>
    <w:p>
      <w:pPr>
        <w:spacing w:after="60"/>
      </w:pPr>
      <w:r>
        <w:rPr>
          <w:b w:val="0"/>
        </w:rPr>
        <w:t>Uwaga o komórkach kontrolnych: w arkuszu Ocena kondycji finansowej komórki „sprawdzenie” w wierszach 95 i 382 pokazują FALSE z powodu stałej różnicy zaokrągleń (1 tys. zł i 1,46 tys. zł) w zablokowanych formułach szablonu. Komentarz Ocena kondycji to wyjaśnia. Różnicy nie da się usunąć bez edycji formuł, których Instrukcja zabrania (pkt 17), więc zostaje opis.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