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[821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Wynik w M9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[930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Zmianę architektury sensorycznej (na przykład kamery EO ze światłem strukturalnym) albo przerwanie zadania w M9 rekomenduje Rada Konsorcjum (§ 9 umowy konsorcjum), a decyduje kierownik zarządzający.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[862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[785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Rada Konsorcjum (§ 9 umowy konsorcjum) rekomenduje w M18 wstrzymanie zadania Z4 i zmianę zakresu, a decyzję podejmuje kierownik zarządzający.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[897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[828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Rada Konsorcjum (§ 9 umowy konsorcjum) rekomenduje w M18 zawężenie zakresu (taksonomia do pasów i klinów według EN 12195, ML do 2-3 klas) albo przerwanie zadania, a decyzję podejmuje kierownik zarządzający.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[849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[951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Rada Konsorcjum (§ 9 umowy konsorcjum) rekomenduje w M27 ograniczenie zakresu funkcji albo przerwanie zadania modelowego, a decyzję podejmuje kierownik zarządzający;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[865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Rada Konsorcjum (§ 9 umowy konsorcjum) rekomenduje w M27 zawężenie zakresu funkcji 3D albo przerwanie zadania, a decyzję podejmuje kierownik zarządzający.</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[752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[926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Rada Konsorcjum (§ 9 umowy konsorcjum) rekomenduje w M27 ograniczenie zakresu funkcji dokumentacyjnych albo przerwanie zadania, a decyzję podejmuje kierownik zarządzający.</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[799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[1043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Rada Konsorcjum (§ 9 umowy konsorcjum) rekomenduje w M27 zmianę platformy lub zakresu funkcji offline albo przerwanie zadania, a decyzję podejmuje kierownik zarządzający.</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[839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Wyniki w M26 (wersja RC) i w M30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[956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Rada Konsorcjum (§ 9 umowy konsorcjum) rekomenduje ograniczenie zakresu funkcji CV albo wydzielenie ich do prac po projekcie, a decyzję podejmuje kierownik zarządzający.</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[908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Zakończenie, modyfikację albo przerwanie zadania w M30 rekomenduje Rada Konsorcjum (§ 9 umowy konsorcjum), a decyzję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[1456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W M9 (zadanie Z1) lub w M27 (zadanie Z5) Rada Konsorcjum (§ 9 umowy konsorcjum) ocenia wyniki i rekomenduje zmianę architektury sensorycznej, na przykład na kamery EO ze światłem strukturalnym, albo przerwanie zadania. Decyzję podejmuje kierownik zarządzający, a zmiany w harmonogramie zgłasza do instytucji.</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[1811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W M18 (zadanie Z2) lub w M27 (zadanie Z4) Rada Konsorcjum (§ 9 umowy konsorcjum) ocenia wyniki i rekomenduje ograniczenie zakresu funkcji albo przerwanie zadania modelowego. Decyzję podejmuje kierownik zarządzający, a zmiany w harmonogramie zgłasza do instytucji.</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[1464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 M26 (wersja RC) i w M30 (wersja końcowa) Rada Konsorcjum (§ 9 umowy konsorcjum) ocenia wyniki i rekomenduje ograniczenie zakresu funkcji CV albo wydzielenie ich do prac po projekcie. Decyzję podejmuje kierownik zarządzający, a zmiany w harmonogramie zgłasza do instytucji.</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[1547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W M27 Rada Konsorcjum (§ 9 umowy konsorcjum) ocenia wyniki i rekomenduje zmianę platformy sprzętowej lub zakresu funkcji offline albo przerwanie zadania. Decyzję podejmuje kierownik zarządzający, a zmiany w harmonogramie zgłasza do instytucji.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[1400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Rada Konsorcjum (§ 9 umowy konsorcjum) rekomenduje ograniczenie zakresu funkcji uruchamianych na platformie embedded albo przerwanie zadania Z7, a decyzję podejmuje kierownik zarządzający.</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Rada Konsorcjum (§ 9 umowy konsorcjum): opisy kamieni i ryzyk odwołują się do Rady jako organu doradczego (po jednym przedstawicielu każdego członka, przewodniczy kierownik zarządzający Maciej Chrzanowski). We wniosku używamy wyłącznie nazwy „kierownik zarządzający”, zgodnie z wymaganiami konkursu. Rada ocenia wyniki i rekomenduje, decyzje o zmianie zakresu podejmuje kierownik zarządzający, a zmiany w harmonogramie zgłasza do instytucji. Skład osobowy Rady zostanie ustalony po otrzymaniu dofinansowania i nie jest wpisywany do wniosku. Stanowiska Backend/Full-Stack i Anotatorzy obsadzamy rekrutacją po dofinansowaniu (potwierdzone).</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opisu nadzoru nad zadaniami PRz i organu oceniającego kamienie milowe.</w:t>
            </w:r>
          </w:p>
        </w:tc>
        <w:tc>
          <w:tcPr>
            <w:tcW w:type="dxa" w:w="3175"/>
          </w:tcPr>
          <w:p>
            <w:pPr>
              <w:spacing w:after="20"/>
            </w:pPr>
            <w:r/>
            <w:r>
              <w:rPr>
                <w:b w:val="0"/>
                <w:sz w:val="15"/>
              </w:rPr>
              <w:t>Dopisać Radę Konsorcjum z § 9 umowy konsorcjum (po jednym przedstawicielu każdego członka, przewodniczy kierownik zarządzający (we wniosku wyłącznie ta nazwa), posiedzenia co najmniej raz na 6 miesięcy, protokoły, ocena merytoryczna i formalna realizacji zadań na wniosek kierownika zarządzającego, rekomendacje zmian w harmonogramie; to organ doradczy, nie decyzyjny),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821/1300</w:t>
            </w:r>
          </w:p>
        </w:tc>
        <w:tc>
          <w:tcPr>
            <w:tcW w:type="dxa" w:w="1191"/>
          </w:tcPr>
          <w:p>
            <w:pPr>
              <w:spacing w:after="20"/>
            </w:pPr>
            <w:r/>
            <w:r>
              <w:rPr>
                <w:b w:val="0"/>
                <w:sz w:val="17"/>
              </w:rPr>
              <w:t>930/1300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862/1300</w:t>
            </w:r>
          </w:p>
        </w:tc>
        <w:tc>
          <w:tcPr>
            <w:tcW w:type="dxa" w:w="1191"/>
          </w:tcPr>
          <w:p>
            <w:pPr>
              <w:spacing w:after="20"/>
            </w:pPr>
            <w:r/>
            <w:r>
              <w:rPr>
                <w:b w:val="0"/>
                <w:sz w:val="17"/>
              </w:rPr>
              <w:t>785/1300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897/1300</w:t>
            </w:r>
          </w:p>
        </w:tc>
        <w:tc>
          <w:tcPr>
            <w:tcW w:type="dxa" w:w="1191"/>
          </w:tcPr>
          <w:p>
            <w:pPr>
              <w:spacing w:after="20"/>
            </w:pPr>
            <w:r/>
            <w:r>
              <w:rPr>
                <w:b w:val="0"/>
                <w:sz w:val="17"/>
              </w:rPr>
              <w:t>828/1300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849/1300</w:t>
            </w:r>
          </w:p>
        </w:tc>
        <w:tc>
          <w:tcPr>
            <w:tcW w:type="dxa" w:w="1191"/>
          </w:tcPr>
          <w:p>
            <w:pPr>
              <w:spacing w:after="20"/>
            </w:pPr>
            <w:r/>
            <w:r>
              <w:rPr>
                <w:b w:val="0"/>
                <w:sz w:val="17"/>
              </w:rPr>
              <w:t>951/1300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865/1300</w:t>
            </w:r>
          </w:p>
        </w:tc>
        <w:tc>
          <w:tcPr>
            <w:tcW w:type="dxa" w:w="1191"/>
          </w:tcPr>
          <w:p>
            <w:pPr>
              <w:spacing w:after="20"/>
            </w:pPr>
            <w:r/>
            <w:r>
              <w:rPr>
                <w:b w:val="0"/>
                <w:sz w:val="17"/>
              </w:rPr>
              <w:t>863/1300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752/1300</w:t>
            </w:r>
          </w:p>
        </w:tc>
        <w:tc>
          <w:tcPr>
            <w:tcW w:type="dxa" w:w="1191"/>
          </w:tcPr>
          <w:p>
            <w:pPr>
              <w:spacing w:after="20"/>
            </w:pPr>
            <w:r/>
            <w:r>
              <w:rPr>
                <w:b w:val="0"/>
                <w:sz w:val="17"/>
              </w:rPr>
              <w:t>926/1300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799/1300</w:t>
            </w:r>
          </w:p>
        </w:tc>
        <w:tc>
          <w:tcPr>
            <w:tcW w:type="dxa" w:w="1191"/>
          </w:tcPr>
          <w:p>
            <w:pPr>
              <w:spacing w:after="20"/>
            </w:pPr>
            <w:r/>
            <w:r>
              <w:rPr>
                <w:b w:val="0"/>
                <w:sz w:val="17"/>
              </w:rPr>
              <w:t>1043/1300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839/1300</w:t>
            </w:r>
          </w:p>
        </w:tc>
        <w:tc>
          <w:tcPr>
            <w:tcW w:type="dxa" w:w="1191"/>
          </w:tcPr>
          <w:p>
            <w:pPr>
              <w:spacing w:after="20"/>
            </w:pPr>
            <w:r/>
            <w:r>
              <w:rPr>
                <w:b w:val="0"/>
                <w:sz w:val="17"/>
              </w:rPr>
              <w:t>956/1300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908/1300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1456/2000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1811/2000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1464/2000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1547/2000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1400/2000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