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Pkt 1.3 Zapotrzebowanie rynkowe i ceny</w:t>
      </w:r>
    </w:p>
    <w:p>
      <w:r>
        <w:rPr>
          <w:b w:val="0"/>
        </w:rPr>
        <w:t>Wniosek FENG.01.01-IP.01-A1RR/26, CargoDT. Wersja robocza do akceptacji (pakiet WP05, uwagi K2). Na żółto zaznaczono dane do uzupełnienia lub potwierdzenia przed wpisaniem do LSI. Pola z żółtym tekstem nie mogą trafić do wniosku w tej postaci.</w:t>
      </w:r>
    </w:p>
    <w:p>
      <w:pPr>
        <w:pStyle w:val="Heading1"/>
      </w:pPr>
      <w:r>
        <w:t>1. Co poprawiono w stosunku do obecnego tekstu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721"/>
          </w:tcPr>
          <w:p>
            <w:r/>
            <w:r>
              <w:rPr>
                <w:b/>
                <w:sz w:val="18"/>
              </w:rPr>
              <w:t>Obecny zapis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8"/>
              </w:rPr>
              <w:t>Poprawka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„Liczbie [567 800 ciągników] odpowiada zbliżona liczba naczep”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Podstawą szacunku powinna być liczba naczep, a nie ciągników.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TAM z Eurostatu: 544,97 tys. naczep w Polsce (2023).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TAM 600 000 naczep w Polsce (prezentacja), 200 000 SAM, 400-600 tys. w CEE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Trzy różne podstawy rynku w wniosku i prezentacji, brak metody SAM.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Jedna podstawa: TAM 544,97 tys., SAM 200 000 z metodą z danych publicznych (Aneks A), 1 000 pojazdów w 2034 r. to 0,50% SAM i 0,18% TAM. Wielkości rynku CEE usunięte do czasu pobrania danych Eurostatu.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„eFTI obowiązuje od 21.08.2024 i dotyczy każdego operatora”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Od 21.08.2025 obowiązek dotyczy organów, które muszą przyjmować eFTI. Dla przewoźników eFTI jest dobrowolne. Teza o popycie wymuszonym regulacją jest zbyt mocna.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Opis jako możliwość i ułatwienie, nie obowiązek. Do ujednolicenia w 1.4 i 7.4.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„Pierwsze rozwiązanie na rynku polskim i CEE” mierzące zajętość kubatury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SkyBitz (SkyCamera) i kamery TrailerConnect mierzą zajętość lub dają obraz.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„Według dostępnej dokumentacji żaden nie podaje położenia ładunku w ruchu”.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„43% ciężarówek jeździ częściowo pustych”, „duży załadowca traci ponad 5 mln USD rocznie”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Bez źródła w wymaganej postaci, a pierwsze zdanie dotyczy fill rate, który usuwamy.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Usunięte.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Jedno roszczenie CMR ok. 5 500 PLN, 15 miesięcy abonamentu; zakres 5 500-23 000 PLN; „3 000-15 000 PLN za incydent”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Trzy zakresy w jednym tekście. Dolna granica 5 500 PLN nie wynika z art. 23 CMR.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Obliczenie: 8,33 SDR/kg x 200-500 kg = 1 666-4 165 SDR = 8 489-21 222 PLN po kursie NBP 5,0954 z 04.09.2026. Dolna granica to 24 miesiące abonamentu.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„Łączny roczny koszt niższy niż reklamacja”, „ROI dodatni od pierwszego roku”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Nie da się tego udowodnić bez częstości roszczeń. Sam koszt 4 668 PLN rocznie na naczepę to 0,55 roszczenia na dolnej granicy CMR.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Usunięte. Wartość dla klienta opisana trzema czynnikami (roszczenia, czas dokumentacji, składka) z miejscami na dane z T04 i rozmów z ubezpieczycielem.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Spadek rejestracji naczep o 31,4% (17 268 wobec 25 336)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Z podanych liczb wychodzi 31,8%.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W tekście podano same liczby. Sprawdzić wartość procentową w raporcie IBRM Samar i ujednolicić w modelu finansowym.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Polska 19,7% przewozów UE (1.3) i 19,7% przebiegu pustego (1.4)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Ta sama liczba w dwóch znaczeniach. W wersji roboczej 1.3 usunięto tę liczbę.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Fill rate usunięty z 1.4. Jeśli 19,7% ma wrócić jako udział Polski w pracy przewozowej, sprawdzić w Eurostacie.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Brak cen konkurencji (K2-14, K2-15)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Producenci nie publikują cenników.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Orientacyjny abonament SkyBitz z Capterra i uczciwe „drożej niż sama telematyka, z uzasadnieniem zakresu”. Oferty w T10.</w:t>
            </w:r>
          </w:p>
        </w:tc>
      </w:tr>
    </w:tbl>
    <w:p/>
    <w:p>
      <w:pPr>
        <w:pStyle w:val="Heading1"/>
      </w:pPr>
      <w:r>
        <w:t>2. Tekst pkt 1.3 (limit 10 000 znaków)</w:t>
      </w:r>
    </w:p>
    <w:p>
      <w:pPr>
        <w:keepNext/>
        <w:spacing w:before="160" w:after="40"/>
      </w:pPr>
      <w:r>
        <w:rPr>
          <w:b/>
          <w:sz w:val="20"/>
        </w:rPr>
        <w:t>Zapotrzebowanie rynkowe na rezultat projektu</w:t>
      </w:r>
      <w:r>
        <w:rPr>
          <w:color w:val="666666"/>
          <w:sz w:val="17"/>
        </w:rPr>
        <w:t xml:space="preserve"> [8743 znaków]</w:t>
      </w:r>
    </w:p>
    <w:p>
      <w:pPr>
        <w:spacing w:before="120"/>
      </w:pPr>
      <w:r>
        <w:rPr>
          <w:b/>
        </w:rPr>
        <w:t>I. WIELKOŚĆ I STRUKTURA RYNKU</w:t>
      </w:r>
    </w:p>
    <w:p>
      <w:r>
        <w:rPr>
          <w:b w:val="0"/>
        </w:rPr>
        <w:t xml:space="preserve">Rynek docelowy CargoDT tworzą naczepy ciężarowe w przewozach drogowych w Polsce. System montuje się w naczepie, dlatego szacunek opieramy na liczbie naczep, a nie ciągników. TAM: w 2023 r. w Polsce zarejestrowano 544,97 tys. naczep, najwięcej w UE, przed Niemcami (402,62 tys.) i Francją (362,52 tys.) (Eurostat, road_eqs_semit </w:t>
      </w:r>
      <w:r>
        <w:rPr>
          <w:b w:val="0"/>
          <w:highlight w:val="yellow"/>
        </w:rPr>
        <w:t>dodać dane za 2024 r. i datę pobrania</w:t>
      </w:r>
      <w:r>
        <w:rPr>
          <w:b w:val="0"/>
        </w:rPr>
        <w:t>). Sektor jest rozdrobniony: według IRU firmy do 10 osób to 89% podmiotów transportowych w UE, a w Polsce ponad 76 000 firm TSL ma floty od 1 do 50 pojazdów (TLP/SpotData, 2025). Przewozy międzynarodowe obsługuje 43 280 przedsiębiorców z licencją wspólnotową (GITD, koniec lipca 2026 r.), o 2 285 mniej niż w 2023 r. Rejestracje nowych naczep spadły z 25 336 w 2023 r. do 17 268 w 2024 r. (IBRM Samar, dane PZPM, 2025), co ogranicza napływ naczep z telematyką fabryczną i zwiększa znaczenie rozwiązań retrofit.</w:t>
      </w:r>
    </w:p>
    <w:p>
      <w:r>
        <w:rPr>
          <w:b w:val="0"/>
        </w:rPr>
        <w:t xml:space="preserve">SAM to naczepy, w których można zamontować zestaw retrofit i które nie mają telematyki producenta. Według PZPM w 2025 r. platformy i nadwozia skrzyniowe, w tym kurtynowe, to 47-48% rejestracji nowych naczep, a furgony 24-25%, razem ok. 72%, a tylko te nadwozia nadają się do montażu zestawu (wywrotki i cysterny nie). Telematykę miało w 2019 r. ok. 14% naczep w Europie (Frost &amp; Sullivan </w:t>
      </w:r>
      <w:r>
        <w:rPr>
          <w:b w:val="0"/>
          <w:highlight w:val="yellow"/>
        </w:rPr>
        <w:t>sprawdzić źródło i dodać nowsze dane</w:t>
      </w:r>
      <w:r>
        <w:rPr>
          <w:b w:val="0"/>
        </w:rPr>
        <w:t>). Dają to ok. 337 000 naczep (544 970 x 72% x 86%), a do SAM przyjmujemy ostrożnie 200 000, czyli ok. 37% TAM, ponieważ struktura rejestracji nowych naczep jest tylko przybliżeniem struktury całej floty. SOM to operatorzy z flotami od 5 do 50 naczep w przewozach ogólnotowarowych PL-UE, bez własnego działu IT. W 2034 r. system ma pracować w 1 000 naczep, czyli 0,50% SAM w Polsce i 0,18% TAM. Pojazdy w regionie CEE, pozyskiwane przez partnerstwa z dostawcami TMS (Z10), obniżają udział w polskim SAM poniżej 0,50%.</w:t>
      </w:r>
    </w:p>
    <w:p>
      <w:pPr>
        <w:spacing w:before="120"/>
      </w:pPr>
      <w:r>
        <w:rPr>
          <w:b/>
        </w:rPr>
        <w:t>II. WYMAGANIA I POTRZEBY ODBIORCÓW</w:t>
      </w:r>
    </w:p>
    <w:p>
      <w:r>
        <w:rPr>
          <w:b w:val="0"/>
        </w:rPr>
        <w:t xml:space="preserve">Wymagania przewoźników MŚP, które przyjęliśmy do projektu, wynikają z 15 rozmów z klientami Everest11 </w:t>
      </w:r>
      <w:r>
        <w:rPr>
          <w:b w:val="0"/>
          <w:highlight w:val="yellow"/>
        </w:rPr>
        <w:t>okres rozmów</w:t>
      </w:r>
      <w:r>
        <w:rPr>
          <w:b w:val="0"/>
        </w:rPr>
        <w:t>: montaż w istniejącej naczepie bez zmian homologacji, działanie bez zasięgu GSM, alert dla kierowcy bez udziału dyspozytora, integracja z TMS i koszt rozłożony w abonamencie.</w:t>
      </w:r>
    </w:p>
    <w:p>
      <w:r>
        <w:rPr>
          <w:b w:val="0"/>
        </w:rPr>
        <w:t>Potrzeba 1: obiektywny obraz stanu ładunku w trasie. Systemy telematyczne dają przede wszystkim lokalizację i alerty progowe, a rozwiązania z kamerą lub czujnikiem wolumetrycznym w naczepie (SkyCamera, kamera przestrzeni ładunkowej TrailerConnect) pokazują obraz albo zajętość kubatury w wybranych chwilach. Według dostępnej dokumentacji żaden nie podaje położenia jednostek ładunkowych w jadącej naczepie. Tive (State of Visibility, 2023) podaje, że 77% zleceniodawców uznaje widoczność fizycznego stanu ładunku w czasie rzeczywistym za wymóg, a tylko 25% osiągnęło ten poziom.</w:t>
      </w:r>
    </w:p>
    <w:p>
      <w:r>
        <w:rPr>
          <w:b w:val="0"/>
        </w:rPr>
        <w:t>Potrzeba 2: dowód stanu ładunku przy roszczeniach. Według Flock Freight i Drive Research (n=200, 2023) 86% przewoźników LTL miało w ciągu 12 miesięcy roszczenia za uszkodzenie ładunku, a pokryli średnio 66% zgłoszonych wartości. Bariera obrony to brak obiektywnego, opatrzonego czasem dowodu stanu ładunku przy załadunku i rozładunku. CargoDT generuje go automatycznie jako Proof of Loading i Proof of Condition.</w:t>
      </w:r>
    </w:p>
    <w:p>
      <w:r>
        <w:rPr>
          <w:b w:val="0"/>
        </w:rPr>
        <w:t>Potrzeba 3: szybsza i cyfrowa dokumentacja. Od 21.08.2025 organy państw UE muszą przyjmować informacje w formacie eFTI (rozporządzenie UE 2020/1056). Stosowanie eFTI jest dla przewoźników dobrowolne, ale daje dokument uznawany w całej UE. Według badania PITD 6 na 10 logistyków wypełnia dokumenty ręcznie, a prawie połowa kierowców czeka na CMR od 15 do 30 minut.</w:t>
      </w:r>
    </w:p>
    <w:p>
      <w:r>
        <w:rPr>
          <w:b w:val="0"/>
        </w:rPr>
        <w:t>Potrzeba 4: dane dla ubezpieczyciela. Straty cargo w UE wyniosły 549 mln EUR w 2023 r., o 438% więcej niż rok wcześniej (TAPA EMEA TIS, 2025). Ubezpieczyciele różnicują składki według poziomu monitoringu zgodnego z TAPA TSR. Everest11 prowadzi rozmowy z co najmniej jednym towarzystwem ubezpieczeniowym cargo w Polsce w sprawie partnerstwa generującego popyt wymuszony wymogami kontrahenta: ubezpieczyciel rekomenduje CargoDT jako warunek preferencyjnej składki.</w:t>
      </w:r>
    </w:p>
    <w:p>
      <w:pPr>
        <w:spacing w:before="120"/>
      </w:pPr>
      <w:r>
        <w:rPr>
          <w:b/>
        </w:rPr>
        <w:t>III. PRODUKT W UŻYCIU</w:t>
      </w:r>
    </w:p>
    <w:p>
      <w:r>
        <w:rPr>
          <w:b w:val="0"/>
        </w:rPr>
        <w:t>Zestaw w naczepie (kamery, radar, czujniki, jednostka z AI) i platforma SaaS pracują w całym procesie przewozowym. Dyspozytor wprowadza plan załadunku w TMS. Przy załadunku kierowca uruchamia inicjalizację, system porównuje rozmieszczenie ładunku z planem i ocenia zabezpieczenia, a po zamknięciu drzwi tworzy Proof of Loading. W trasie jednostka lokalnie śledzi położenie ładunku i ryzyko uszkodzenia, a kierowca słyszy alert bez udziału dyspozytora. Dyspozytor widzi model 3D i zdarzenia w TMS po odzyskaniu łączności. Przy rozładunku system porównuje stan ładunku z załadunkiem i tworzy Proof of Condition, który trafia do TMS, platformy eFTI i działu reklamacji. System zastępuje ręczną kontrolę i fotografowanie ładunku, automatyzuje dokumentację stanu ładunku, a decyzje o reakcji zostawia człowiekowi.</w:t>
      </w:r>
    </w:p>
    <w:p>
      <w:pPr>
        <w:spacing w:before="120"/>
      </w:pPr>
      <w:r>
        <w:rPr>
          <w:b/>
        </w:rPr>
        <w:t>IV. NASYCENIE RYNKU I KONKURENCJA</w:t>
      </w:r>
    </w:p>
    <w:p>
      <w:r>
        <w:rPr>
          <w:b w:val="0"/>
        </w:rPr>
        <w:t xml:space="preserve">Telematyka naczep (Schmitz Cargobull TrailerConnect, Krone Telematics, Nexxiot, Arviem, Tive, SkyBitz) obejmuje lokalizację, warunki i alerty progowe, a w części przypadków obraz lub zajętość przestrzeni ładunkowej. Według dostępnej dokumentacji żaden produkt nie łączy modelu 3D z położeniem ładunku w ruchu, predykcji ryzyka z klasą ładunku, wizyjnej oceny zabezpieczeń i dokumentu eFTI. Rozwiązania fabryczne są kierowane do nowych naczep, a retrofit w tej klasie funkcji nie jest oferowany </w:t>
      </w:r>
      <w:r>
        <w:rPr>
          <w:b w:val="0"/>
          <w:highlight w:val="yellow"/>
        </w:rPr>
        <w:t>potwierdzić przeglądem ofert</w:t>
      </w:r>
      <w:r>
        <w:rPr>
          <w:b w:val="0"/>
        </w:rPr>
        <w:t>. Ryzyko nowej konkurencji w ciągu 3-5 lat oceniamy jako umiarkowane. Bariery wejścia: jednoczesne rozwiązanie trzech problemów badawczych (Z4, Z5, Z8), model sprzedaży OEM sprzeczny z retrofit oraz zgłoszenie patentowe planowane w projekcie.</w:t>
      </w:r>
    </w:p>
    <w:p>
      <w:r>
        <w:rPr>
          <w:b w:val="0"/>
        </w:rPr>
        <w:t xml:space="preserve">Ceny konkurencji. Producenci nie publikują cenników i wyceniają na zapytanie </w:t>
      </w:r>
      <w:r>
        <w:rPr>
          <w:b w:val="0"/>
          <w:highlight w:val="yellow"/>
        </w:rPr>
        <w:t>wpisać zakres PLN/naczepa/mies. z ofert, daty zapytań</w:t>
      </w:r>
      <w:r>
        <w:rPr>
          <w:b w:val="0"/>
        </w:rPr>
        <w:t>. Orientacyjnie abonament oprogramowania SkyBitz zaczyna się od 30 do 75 USD za zasób miesięcznie, czyli około 114-285 PLN (Capterra, dostęp 02.10.2026, kurs NBP 3,803 PLN/USD). Subskrypcja CargoDT, 349 PLN za pojazd miesięcznie, jest wyższa niż abonament za samą telematykę. Wynika to z zakresu: model 3D, ocena zabezpieczeń, predykcja ryzyka i dokument eFTI nie wchodzą w skład tych abonamentów.</w:t>
      </w:r>
    </w:p>
    <w:p>
      <w:pPr>
        <w:spacing w:before="120"/>
      </w:pPr>
      <w:r>
        <w:rPr>
          <w:b/>
        </w:rPr>
        <w:t>V. MODEL CENOWY I WARTOŚĆ DLA KLIENTA</w:t>
      </w:r>
    </w:p>
    <w:p>
      <w:r>
        <w:rPr>
          <w:b w:val="0"/>
        </w:rPr>
        <w:t xml:space="preserve">Subskrypcja SaaS 349 PLN za pojazd miesięcznie, zestaw retrofit średnio 7 500 PLN za naczepę (sprzedaż z instalacją) i licencja API 4 800 PLN rocznie na klienta. Zestaw sprzedajemy blisko kosztu wytworzenia </w:t>
      </w:r>
      <w:r>
        <w:rPr>
          <w:b w:val="0"/>
          <w:highlight w:val="yellow"/>
        </w:rPr>
        <w:t>koszt serii X PLN, kalkulacja BOM</w:t>
      </w:r>
      <w:r>
        <w:rPr>
          <w:b w:val="0"/>
        </w:rPr>
        <w:t xml:space="preserve">, a marża pochodzi z subskrypcji, która pokrywa chmurę, łączność, utrzymanie modeli i wsparcie </w:t>
      </w:r>
      <w:r>
        <w:rPr>
          <w:b w:val="0"/>
          <w:highlight w:val="yellow"/>
        </w:rPr>
        <w:t>koszt obsługi Y PLN/pojazd/mies.</w:t>
      </w:r>
      <w:r>
        <w:rPr>
          <w:b w:val="0"/>
        </w:rPr>
        <w:t>. Dla floty 10 naczep koszt klienta wynosi 12 168 PLN na naczepę w pierwszym roku i 4 668 PLN w kolejnych (4 188 PLN abonamentu i 480 PLN licencji API na naczepę).</w:t>
      </w:r>
    </w:p>
    <w:p>
      <w:r>
        <w:rPr>
          <w:b w:val="0"/>
        </w:rPr>
        <w:t xml:space="preserve">Wartość dla klienta tworzą trzy czynniki. Roszczenia: odpowiedzialność przewoźnika według art. 23 CMR to 8,33 SDR za kg, czyli dla 200-500 kg od 1 666 do 4 165 SDR, a po kursie NBP z 04.09.2026 (5,0954 PLN) od 8 489 do 21 222 PLN. Jedno roszczenie na dolnej granicy odpowiada 24 miesiącom abonamentu jednej naczepy. Czas: dokumentacja skraca się z 15-30 minut do poniżej minuty na rozładunek </w:t>
      </w:r>
      <w:r>
        <w:rPr>
          <w:b w:val="0"/>
          <w:highlight w:val="yellow"/>
        </w:rPr>
        <w:t>liczba rozładunków na naczepę rocznie i stawka godzinowa z danych Everest11</w:t>
      </w:r>
      <w:r>
        <w:rPr>
          <w:b w:val="0"/>
        </w:rPr>
        <w:t xml:space="preserve">. Składka: dane z trasy pozwalają ubezpieczycielowi różnicować składki </w:t>
      </w:r>
      <w:r>
        <w:rPr>
          <w:b w:val="0"/>
          <w:highlight w:val="yellow"/>
        </w:rPr>
        <w:t>wynik rozmów</w:t>
      </w:r>
      <w:r>
        <w:rPr>
          <w:b w:val="0"/>
        </w:rPr>
        <w:t>. Rentowność klienta liczymy na danych flot wdrożeniowych w Z9.</w:t>
      </w:r>
    </w:p>
    <w:p>
      <w:pPr>
        <w:spacing w:before="120"/>
      </w:pPr>
      <w:r>
        <w:rPr>
          <w:b/>
        </w:rPr>
        <w:t>VI. SEGMENTY I WEJŚCIE NA RYNEK</w:t>
      </w:r>
    </w:p>
    <w:p>
      <w:r>
        <w:rPr>
          <w:b w:val="0"/>
        </w:rPr>
        <w:t xml:space="preserve">Segment priorytetowy 2030-2031: floty od 5 do 50 naczep w przewozach ogólnotowarowych PL-UE. Kanałem jest baza ponad 50 aktywnych kontrahentów Everest11 </w:t>
      </w:r>
      <w:r>
        <w:rPr>
          <w:b w:val="0"/>
          <w:highlight w:val="yellow"/>
        </w:rPr>
        <w:t>struktura bazy z tabeli w Aneksie C</w:t>
      </w:r>
      <w:r>
        <w:rPr>
          <w:b w:val="0"/>
        </w:rPr>
        <w:t xml:space="preserve">. Pierwszy próg, 50 pojazdów u klientów zewnętrznych w 2030 r., pokrywają listy intencyjne trzech operatorów: Krajowe i Międzynarodowe Usługi Transportowe Hubert Lizak SZYK, Natanek Logistics i Transport Towarowy Paweł Łazarczyk, łącznie </w:t>
      </w:r>
      <w:r>
        <w:rPr>
          <w:b w:val="0"/>
          <w:highlight w:val="yellow"/>
        </w:rPr>
        <w:t>50 naczep, podział na operatorów</w:t>
      </w:r>
      <w:r>
        <w:rPr>
          <w:b w:val="0"/>
        </w:rPr>
        <w:t xml:space="preserve">. Listy określają liczbę naczep, harmonogram, warunki cenowe, kryteria zakupu i dane operatora o szkodach </w:t>
      </w:r>
      <w:r>
        <w:rPr>
          <w:b w:val="0"/>
          <w:highlight w:val="yellow"/>
        </w:rPr>
        <w:t>potwierdzić po ponownym podpisaniu</w:t>
      </w:r>
      <w:r>
        <w:rPr>
          <w:b w:val="0"/>
        </w:rPr>
        <w:t>. Promocja: demonstracje u klientów bazy, partnerstwo z ubezpieczycielem, udział w targach Trans Logistics Poland w Warszawie (listopad, od 2031 r.) oraz w TRANSLOG Connect Congress w Budapeszcie (edycja 2028, zadanie Z10). Segment 2 (od 2031): spedytorzy, ok. 12 000 firm (GUS, Działalność przedsiębiorstw transportowych 2023). Segment 3 (od 2032): floty 50-200 pojazdów przez kanał ubezpieczeniowy oraz klienci w CEE przez partnerstwa z dostawcami TMS i licencje API.</w:t>
      </w:r>
    </w:p>
    <w:p>
      <w:r>
        <w:rPr>
          <w:b w:val="0"/>
        </w:rPr>
        <w:t>VII. PRZYCHODY 2030-2034</w:t>
      </w:r>
    </w:p>
    <w:p>
      <w:r>
        <w:rPr>
          <w:b w:val="0"/>
        </w:rPr>
        <w:t>Pierwsze przychody w 2030 r., a rok 2029 to pilotaż bez przychodów. Źródła: abonament, zestawy i licencje API. Przychody: 2030, 50 pojazdów: 489 300 PLN; 2031, 125: 981 468 PLN; 2032, 250: 1 836 504 PLN; 2033, 500: 3 673 620 PLN; 2034, 1 000: 7 347 240 PLN. Razem 14 328 132 PLN.</w:t>
      </w:r>
    </w:p>
    <w:p>
      <w:pPr>
        <w:pStyle w:val="Heading1"/>
      </w:pPr>
      <w:r>
        <w:t>3. Co zespół musi uzupełnić przed wpisaniem do LSI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Uwaga</w:t>
            </w:r>
          </w:p>
        </w:tc>
        <w:tc>
          <w:tcPr>
            <w:tcW w:type="dxa" w:w="8277"/>
          </w:tcPr>
          <w:p>
            <w:r/>
            <w:r>
              <w:rPr>
                <w:b/>
                <w:sz w:val="18"/>
              </w:rPr>
              <w:t>Stan i dane do uzupełnienia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K2-05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SAM ma teraz metodę (Aneks A): TAM 544,97 tys. (Eurostat 2023), udział nadwozi nadających się do retrofit ok. 72% (PZPM, rejestracje nowych naczep 2025), udział naczep bez telematyki 86% (Frost &amp; Sullivan, stan z 2019). Wynik 337 tys., przyjęte 200 000. Przed wpisaniem sprawdzić liczby w raportach PZPM (CEP info, XI 2025) i znaleźć nowsze dane o telematyce naczep. Komentarz w modelu o ekspansji CEE jako części prognozy pojazdów ujednolicić z tekstem.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K2-06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Uzasadnienie cen wymaga trzech liczb od zespołu: koszt serii zestawu, koszt montażu, koszt obsługi subskrypcji na pojazd. Arkusz 5 przy rabacie 30% daje koszt serii ok. 7,6 tys. zł, więc zestaw za 7 500 zł jest sprzedawany w okolicy kosztu (marża wersji podstawowej -1,4%); 10% marży łącznej wymaga kosztu serii do ok. 6,6 tys. zł (D11). Tekst mówi więc, że marża pochodzi z subskrypcji.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K2-11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Wymagania odbiorców oparte na 15 rozmowach z klientami: uzupełnić okres rozmów i wyniki z karty rozmowy (Aneks C). Usunięto zdania bez źródła ("przeciętny duży załadowca traci ponad 5 mln USD", "43% ciężarówek jeździ częściowo pustych") oraz twierdzenia "pierwsze rozwiązanie w Polsce i CEE".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K2-14, K2-15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Publicznych cen konkurencji nie ma. W tekście: orientacyjny abonament SkyBitz 30-75 USD za zasób miesięcznie (Capterra) i stwierdzenie, że CargoDT jest droższy niż sama telematyka, z uzasadnieniem zakresu. Wymaga ofert (T10).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K2-17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Opis produktu w użyciu (część III) obejmuje grupy użytkowników, cały proces i to, co system zastępuje, automatyzuje i wspiera.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K2-01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Decyzja: wdrożenie na 50 pojazdach u trzech operatorów, bez pojazdów własnych Everest11 (D35). Wymaga ponownego podpisania listów intencyjnych na łącznie 50 naczep (elementy w Aneksie B) oraz opisu struktury bazy 50+ (Aneks C).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K2-10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Targi: TRANSLOG Connect Congress w Budapeszcie (edycja 2028, Z10, wg 3.2.2 wniosku) i Trans Logistics Poland w Warszawie (kanał akwizycji od 2031 r., wg 2.1). Stan rozmów z ubezpieczycielem: tekst bez zmian względem wniosku.</w:t>
            </w:r>
          </w:p>
        </w:tc>
      </w:tr>
    </w:tbl>
    <w:p/>
    <w:p>
      <w:pPr>
        <w:pStyle w:val="Heading1"/>
      </w:pPr>
      <w:r>
        <w:t>4. Zmiany powiązane w innych miejscach wniosku i modelu</w:t>
      </w:r>
    </w:p>
    <w:p>
      <w:pPr>
        <w:pStyle w:val="ListBullet"/>
      </w:pPr>
      <w:r>
        <w:rPr>
          <w:b/>
        </w:rPr>
        <w:t>Model finansowy, arkusz Przychody, komentarz:</w:t>
      </w:r>
      <w:r>
        <w:rPr>
          <w:b w:val="0"/>
        </w:rPr>
        <w:t xml:space="preserve"> usunąć „ROI klienta dodatni od pierwszego roku”, zastąpić 5 500 PLN obliczeniem CMR z kursem, usunąć „ekspansja CEE od 2033” (prognoza dotyczy tylko Polski), ujednolicić spadek rejestracji naczep.</w:t>
      </w:r>
    </w:p>
    <w:p>
      <w:pPr>
        <w:pStyle w:val="ListBullet"/>
      </w:pPr>
      <w:r>
        <w:rPr>
          <w:b/>
        </w:rPr>
        <w:t>Wskaźnik I1 w 1.4:</w:t>
      </w:r>
      <w:r>
        <w:rPr>
          <w:b w:val="0"/>
        </w:rPr>
        <w:t xml:space="preserve"> flota odniesienia 10 naczep, zgodnie z tym tekstem (6 168 PLN na naczepę rocznie). Plik ze wskaźnikami zaktualizowany.</w:t>
      </w:r>
    </w:p>
    <w:p>
      <w:pPr>
        <w:pStyle w:val="ListBullet"/>
      </w:pPr>
      <w:r>
        <w:rPr>
          <w:b/>
        </w:rPr>
        <w:t>Pkt 2.1:</w:t>
      </w:r>
      <w:r>
        <w:rPr>
          <w:b w:val="0"/>
        </w:rPr>
        <w:t xml:space="preserve"> data wdrożenia 11.2029 sprzeczna z decyzją D09 (start sprzedaży 01.2030).</w:t>
      </w:r>
    </w:p>
    <w:p>
      <w:pPr>
        <w:pStyle w:val="ListBullet"/>
      </w:pPr>
      <w:r>
        <w:rPr>
          <w:b/>
        </w:rPr>
        <w:t>Wdrożenie na 50 pojazdach u klientów (D35):</w:t>
      </w:r>
      <w:r>
        <w:rPr>
          <w:b w:val="0"/>
        </w:rPr>
        <w:t xml:space="preserve"> usunąć we wniosku wdrożenie własne na 20 naczepach: pkt 2.1 (Etap 1: „wdrożenie systemu we własnej działalności Everest11” opisać jako wprowadzenie usługi i integrację z TMS, a cel „50 aktywnych pojazdów” jako pojazdy trzech operatorów), komentarz w modelu finansowym (Przychody) i 1.3. Model finansowy bez zmian liczbowych. Flota testowa w Z9 (D10, min. 3 pojazdy) jest odrębna i nie wchodzi do liczby klientów.</w:t>
      </w:r>
    </w:p>
    <w:p>
      <w:pPr>
        <w:pStyle w:val="ListBullet"/>
      </w:pPr>
      <w:r>
        <w:rPr>
          <w:b/>
        </w:rPr>
        <w:t>Pkt 7.4 i 1.4:</w:t>
      </w:r>
      <w:r>
        <w:rPr>
          <w:b w:val="0"/>
        </w:rPr>
        <w:t xml:space="preserve"> sformułowania o eFTI jako obowiązku dla wszystkich operatorów zastąpić opisem z części II (obowiązek po stronie organów, stosowanie dobrowolne).</w:t>
      </w:r>
    </w:p>
    <w:p>
      <w:pPr>
        <w:pStyle w:val="ListBullet"/>
      </w:pPr>
      <w:r>
        <w:rPr>
          <w:b/>
        </w:rPr>
        <w:t>Prezentacja z panelu:</w:t>
      </w:r>
      <w:r>
        <w:rPr>
          <w:b w:val="0"/>
        </w:rPr>
        <w:t xml:space="preserve"> liczby 600 000 naczep w Polsce i w CEE są niespójne z TAM 544,97 tys. Przy rozmowach z oceniającymi używać jednej podstawy.</w:t>
      </w:r>
    </w:p>
    <w:p>
      <w:pPr>
        <w:pStyle w:val="Heading1"/>
      </w:pPr>
      <w:r>
        <w:t>Aneks A. Metoda SAM z danych publicznych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685"/>
          </w:tcPr>
          <w:p>
            <w:r/>
            <w:r>
              <w:rPr>
                <w:b/>
                <w:sz w:val="18"/>
              </w:rPr>
              <w:t>Krok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Wartość</w:t>
            </w:r>
          </w:p>
        </w:tc>
        <w:tc>
          <w:tcPr>
            <w:tcW w:type="dxa" w:w="4649"/>
          </w:tcPr>
          <w:p>
            <w:r/>
            <w:r>
              <w:rPr>
                <w:b/>
                <w:sz w:val="18"/>
              </w:rPr>
              <w:t>Źródło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>TAM: naczepy w Polsce, 2023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544 970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Eurostat, road_eqs_semit (Polska największa w UE, przed Niemcami 402,62 tys. i Francją 362,52 tys.)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>Udział nadwozi nadających się do retrofit (platformy i skrzyniowe w tym kurtynowe 47-48%, furgony 24-25%)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ok. 72%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PZPM, CEP info o rejestracjach przyczep i naczep, 2025. To struktura nowych rejestracji, więc tylko przybliżenie floty; grupa platform zawiera naczepy bez zabudowy, więc wartość jest górnym oszacowaniem.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>Naczepy bez telematyki fabrycznej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86%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 xml:space="preserve">Frost &amp; Sullivan: penetracja telematyki naczep w Europie ok. 14% w 2019 r. Dane starsze, do zastąpienia nowszymi </w:t>
            </w:r>
            <w:r>
              <w:rPr>
                <w:b w:val="0"/>
                <w:sz w:val="18"/>
                <w:highlight w:val="yellow"/>
              </w:rPr>
              <w:t>sprawdzić</w:t>
            </w:r>
            <w:r>
              <w:rPr>
                <w:b w:val="0"/>
                <w:sz w:val="18"/>
              </w:rPr>
              <w:t>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>Wynik: 544 970 x 72% x 86%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ok. 337 000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Obliczenie.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>SAM przyjęty w projekcie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200 000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Ostrożnie, ok. 59% wyniku i ok. 37% TAM.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>SOM 2034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1 000 naczep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0,50% SAM i 0,18% TAM.</w:t>
            </w:r>
          </w:p>
        </w:tc>
      </w:tr>
    </w:tbl>
    <w:p/>
    <w:p>
      <w:pPr>
        <w:spacing w:after="60"/>
      </w:pPr>
      <w:r>
        <w:rPr>
          <w:b w:val="0"/>
        </w:rPr>
        <w:t>Liczby PZPM pochodzą z dwóch raportów miesięcznych (zakres 47-48% i 24-25% wynika z różnych miesięcy), więc przed wpisaniem do LSI trzeba podać jeden raport i datę. Liczby dla Czech, Słowacji, Węgier i Rumunii z Eurostatu nie zostały pobrane. Dopóki ich nie ma, nie należy podawać wielkości rynku CEE, a we wniosku usunąć „400 000-600 000 naczep” (pkt 1.3, 2.1 Segment 3, Z10 pkt 3.2.2).</w:t>
      </w:r>
    </w:p>
    <w:p>
      <w:pPr>
        <w:pStyle w:val="Heading1"/>
      </w:pPr>
      <w:r>
        <w:t>Aneks B. Elementy listu intencyjnego, które wzmocnią wniosek</w:t>
      </w:r>
    </w:p>
    <w:p>
      <w:pPr>
        <w:spacing w:after="60"/>
      </w:pPr>
      <w:r>
        <w:rPr>
          <w:b w:val="0"/>
        </w:rPr>
        <w:t>Listy zostaną podpisane ponownie. Poniższe elementy odpowiadają na pytania eksperta z K2-01 i K2-06 (liczba naczep, warunki, gotowość płatnicza). List ma pozostać niewiążący, ale konkretny. Wszystkie liczby wpisuje operator na podstawie swoich danych.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Element</w:t>
            </w:r>
          </w:p>
        </w:tc>
        <w:tc>
          <w:tcPr>
            <w:tcW w:type="dxa" w:w="4649"/>
          </w:tcPr>
          <w:p>
            <w:r/>
            <w:r>
              <w:rPr>
                <w:b/>
                <w:sz w:val="18"/>
              </w:rPr>
              <w:t>Co zawiera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Po co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1. Strony i data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Everest11 sp. z o.o. oraz operator (nazwa, NIP, adres), miejscowość i data podpisania przed złożeniem poprawionego wniosku.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Wiarygodność i aktualność dokumentu.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2. Charakter listu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Zamiar zakupu systemu po zakończeniu prac B+R i certyfikacji CE. Zapis, że list nie jest umową przedwstępną, ale strony zamierzają negocjować umowę wdrożeniową w ciągu 3 miesięcy od certyfikacji.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Daje konkretny plan, bez ryzyka prawnego.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3. Profil operatora na 31.12.2025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Liczba ciągników i naczep, typy nadwozi (kurtyna, furgon, izoterma), wiek naczep, trasy (udział PL-UE), roczna liczba kursów, udział ładunków wrażliwych.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Potwierdza, że operator mieści się w SAM i SOM (floty 5-50 naczep, nadwozia nadające się do retrofit).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4. Zakres zainteresowania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Liczba naczep do wyposażenia w 2030 r. (łącznie trzy listy: 50) oraz opcja kolejnych naczep w 2031 r.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Pokrywa próg 50 pojazdów w 2030 r. i wyjaśnia pochodzenie liczby.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5. Warunki cenowe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Odniesienie do cen orientacyjnych: subskrypcja 349 PLN za pojazd miesięcznie, zestaw średnio 7 500 PLN za naczepę, licencja API 4 800 PLN rocznie, ceny netto, ważne do ustalonej daty. Oświadczenie operatora, że poziom cen jest dla niego akceptowalny, albo wskazanie maksymalnej ceny.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Gotowość płatnicza (K2-06), uzasadnienie cen.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6. Kryteria zakupu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Parametry, po których osiągnięciu operator kupi: alert lokalny w czasie nie dłuższym niż 1 s, czas Proof of Condition nie dłuższy niż 30 s, AUC-ROC nie mniejsze niż 0,82 po kompresji, integracja z TMS operatora (nazwa systemu), zgodność z RODO dla kamer.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Łączy list z wskaźnikami innowacyjności i z wymaganiami odbiorców (K2-11).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7. Dane o szkodach z ostatnich 12 miesięcy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Liczba roszczeń za uszkodzenie ładunku, ich wartość i średnia wartość, odsetek roszczeń bez skutecznej obrony, roczna składka ubezpieczenia cargo lub OC przewoźnika.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Pozwala policzyć wartość systemu dla klienta zamiast powoływać się na średnie z badań (K2-14).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8. Współpraca w projekcie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Udział w co najmniej 2 warsztatach wymagań w okresie realizacji, przekazanie opisu typowych zdarzeń w przewozie. Bez deklaracji udostępnienia pojazdów, bo flota testowa Z9 jest rozliczana osobno.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Pokazuje udział odbiorców w kształtowaniu produktu i nie koliduje z flotą testową.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9. Ważność i warunki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List ważny do 31.12.2030, bez wyłączności, z klauzulą poufności i zgodą na wskazanie operatora z nazwy we wniosku.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Porządek formalny.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10. Podpisy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Osoby uprawnione do reprezentacji obu stron, zgodnie z KRS.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Ważność.</w:t>
            </w:r>
          </w:p>
        </w:tc>
      </w:tr>
    </w:tbl>
    <w:p/>
    <w:p>
      <w:pPr>
        <w:pStyle w:val="Heading1"/>
      </w:pPr>
      <w:r>
        <w:t>Aneks C. Struktura bazy ponad 50 kontrahentów i karta rozmowy</w:t>
      </w:r>
    </w:p>
    <w:p>
      <w:pPr>
        <w:spacing w:after="60"/>
      </w:pPr>
      <w:r>
        <w:rPr>
          <w:b w:val="0"/>
        </w:rPr>
        <w:t>Do opisu w pkt 1.3 i 2.1 proponuję jedną tabelę z bazy klientów (CRM) według tych samych kryteriów co SAM i SOM. Liczby wpisuje Everest11. Do tekstu trafiają tylko sumy.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Wymiar</w:t>
            </w:r>
          </w:p>
        </w:tc>
        <w:tc>
          <w:tcPr>
            <w:tcW w:type="dxa" w:w="4309"/>
          </w:tcPr>
          <w:p>
            <w:r/>
            <w:r>
              <w:rPr>
                <w:b/>
                <w:sz w:val="18"/>
              </w:rPr>
              <w:t>Podział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8"/>
              </w:rPr>
              <w:t>Wynik do tekstu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Rola klienta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8"/>
              </w:rPr>
              <w:t>przewoźnik z własnymi naczepami; przewoźnik tylko podwykonawca; załadowca; spedytor bez taboru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liczba klientów w każdej grupie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Flota naczep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8"/>
              </w:rPr>
              <w:t>1-4; 5-19; 20-50; powyżej 50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liczba firm i łączna liczba naczep, osobno suma dla firm z flotą 5-50 (SOM)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Typ nadwozia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8"/>
              </w:rPr>
              <w:t>kurtyna; furgon; izoterma lub chłodnia; inne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liczba naczep nadających się do retrofit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Trasy i ładunki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8"/>
              </w:rPr>
              <w:t>udział przewozów PL-UE; ładunki wrażliwe (kruche, temperaturowe)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liczba firm z przewozami PL-UE i ładunkami wrażliwymi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Współpraca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8"/>
              </w:rPr>
              <w:t>lata współpracy, roczna liczba zleceń od Everest11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liczba klientów współpracujących od co najmniej 2 lat</w:t>
            </w:r>
          </w:p>
        </w:tc>
      </w:tr>
    </w:tbl>
    <w:p/>
    <w:p>
      <w:pPr>
        <w:spacing w:after="60"/>
      </w:pPr>
      <w:r>
        <w:rPr>
          <w:b w:val="0"/>
        </w:rPr>
        <w:t>Karta rozmowy z klientem, wypełniona dla każdej z 15 rozmów, pozwoli podać wyniki w tekście 1.3: ilu rozmówców zainteresowało się systemem, ile naczep chciałoby wyposażyć, jakie wymagania wskazywali najczęściej i jaką cenę uznali za akceptowalną.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669"/>
          </w:tcPr>
          <w:p>
            <w:r/>
            <w:r>
              <w:rPr>
                <w:b/>
                <w:sz w:val="18"/>
              </w:rPr>
              <w:t>Pytanie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8"/>
              </w:rPr>
              <w:t>Odpowiedź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8"/>
              </w:rPr>
              <w:t>Data rozmowy, firma, rola rozmówcy, liczba naczep i ich typy</w:t>
            </w:r>
          </w:p>
        </w:tc>
        <w:tc>
          <w:tcPr>
            <w:tcW w:type="dxa" w:w="4082"/>
          </w:tcPr>
          <w:p>
            <w:r/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8"/>
              </w:rPr>
              <w:t>Czy firma miała w ostatnich 12 miesiącach roszczenia za uszkodzenie ładunku (liczba, wartość)?</w:t>
            </w:r>
          </w:p>
        </w:tc>
        <w:tc>
          <w:tcPr>
            <w:tcW w:type="dxa" w:w="4082"/>
          </w:tcPr>
          <w:p>
            <w:r/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8"/>
              </w:rPr>
              <w:t>Jak dziś dokumentuje stan ładunku przy załadunku i rozładunku, ile to trwa?</w:t>
            </w:r>
          </w:p>
        </w:tc>
        <w:tc>
          <w:tcPr>
            <w:tcW w:type="dxa" w:w="4082"/>
          </w:tcPr>
          <w:p>
            <w:r/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8"/>
              </w:rPr>
              <w:t>Które funkcje są najważniejsze (model 3D, alert, ocena zabezpieczeń, dokument eFTI)?</w:t>
            </w:r>
          </w:p>
        </w:tc>
        <w:tc>
          <w:tcPr>
            <w:tcW w:type="dxa" w:w="4082"/>
          </w:tcPr>
          <w:p>
            <w:r/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8"/>
              </w:rPr>
              <w:t>Jaka forma płatności i jaka cena jest akceptowalna (abonament, zestaw, licencja API)?</w:t>
            </w:r>
          </w:p>
        </w:tc>
        <w:tc>
          <w:tcPr>
            <w:tcW w:type="dxa" w:w="4082"/>
          </w:tcPr>
          <w:p>
            <w:r/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8"/>
              </w:rPr>
              <w:t>Ile naczep zechciałaby wyposażyć w 2030 r. i pod jakimi warunkami?</w:t>
            </w:r>
          </w:p>
        </w:tc>
        <w:tc>
          <w:tcPr>
            <w:tcW w:type="dxa" w:w="4082"/>
          </w:tcPr>
          <w:p>
            <w:r/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