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Sekcje 7.1 do 7.4: zasady horyzontalne i 6R</w:t>
      </w:r>
    </w:p>
    <w:p>
      <w:r>
        <w:rPr>
          <w:b w:val="0"/>
        </w:rPr>
        <w:t>Wniosek FENG.01.01-IP.01-A1RR/26, CargoDT. Pakiet WP12 (uwagi K10-01 do K13-06). Teksty są gotowe do wklejenia, bez pól do uzupełnienia. Dane, które musisz potwierdzić lub zrobić Ty albo PRz, są w części 8.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937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Wymieniono dokumenty wewnętrzne Everest11 (4 dokumenty przyjęte przed startem, z treścią) i PRz (Plan Równości Płci, regulamin pracy, kodeks etyki, regulacje antymobbingowe).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K10-02, K10-03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Opisano nabór otwarty, formularz bez cech chronionych i udogodnienia: dla osób różnego pochodzenia i wyznania oraz dla osób z niepełnosprawnościami (dostosowanie stanowiska, praca zdalna, napisy na żywo).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Projektowanie uniwersalne w B+R (kryteria akceptacji w Z1, test w Z7, lista kontrolna dostępności w badaniu UX Z9) i w internacjonalizacji (Z10).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Tabela dostępności ma 7 pozycji: zestaw z panelem HMI, platforma, dokumenty PoL i PoC, API, aparatura, oprogramowanie, usługi zewnętrzne. Zestaw z panelem HMI zmieniono z „neutralny” na „pozytywny”, bo kierowca jest jego użytkownikiem (panel HMI i buzzer). Instrukcja dopuszcza neutralność tylko dla produktów bez użytkowników.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Zamiast deklaracji: rekrutacja (karta, co najmniej jedna kobieta na rozmowie, cel 30%), analiza różnic płac co 12 miesięcy z progiem 5%, godziny spotkań, monitorowanie w kwartalnych przeglądach.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K11-01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Każdy artykuł z listy (1, 3-8, 10, 15, 20-23, 25-28, 30-33) ma konkretne działanie lub uzasadnioną neutralność. Dodano art. 13, 17 i 37 oraz deklarację neutralności dla reszty.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K12-01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Każdy artykuł (2-7, 9, 27) ma działanie lub uzasadnienie. Art. 27 nie jest już neutralny. Dodano art. 24 i 25 jako neutralne.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K13-01 do K13-04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Wariant A (reduce + refuse) zastąpiony wariantem B: zasada reduce i dwa wskaźniki mierzone w trakcie projektu. Wskaźnik wypełnienia naczep 65% do 80% usunięty. Metodologia z bazą, celem, liczbą cykli i sposobem pomiaru.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K13-05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Podział prac zgodny z planem: oba wskaźniki osiąga Everest11, PRz wspiera dobór lekkich architektur w Z3 i Z8 oraz przelicza wynik wolumenu danych. PRz nie ma już „metodyki walidacji dokumentacji cyfrowej”.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K13-06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Usunięto deklarację o zielonych zamówieniach i ograniczaniu zużycia materiałów. Dodano konkretne: testy w rzeczywistych kursach bez dodatkowych przejazdów. Odpady: demontaż i wycofanie po Z9, nie niszczenie.</w:t>
            </w:r>
          </w:p>
        </w:tc>
      </w:tr>
    </w:tbl>
    <w:p/>
    <w:p>
      <w:pPr>
        <w:pStyle w:val="Heading1"/>
      </w:pPr>
      <w:r>
        <w:t>2. Pkt 7.1 Równość szans i niedyskryminacja</w:t>
      </w:r>
    </w:p>
    <w:p>
      <w:pPr>
        <w:pStyle w:val="Heading3"/>
      </w:pPr>
      <w:r>
        <w:t>Pozytywny wpływ projektu na zasadę równości szans (limit 5000)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[4290 znaków]</w:t>
      </w:r>
    </w:p>
    <w:p>
      <w:pPr>
        <w:spacing w:after="60"/>
      </w:pPr>
      <w:r>
        <w:rPr>
          <w:b w:val="0"/>
        </w:rPr>
        <w:t>Projekt realizujemy zgodnie z zasadą równości szans i niedyskryminacji z art. 9 ust. 2 i 3 rozporządzenia 2021/1060 oraz Wytycznymi dotyczącymi realizacji zasad równościowych w ramach funduszy unijnych na lata 2021-2027. Opis dotyczy obu członków konsorcjum.</w:t>
      </w:r>
    </w:p>
    <w:p>
      <w:pPr>
        <w:spacing w:after="60"/>
      </w:pPr>
      <w:r>
        <w:rPr>
          <w:b w:val="0"/>
        </w:rPr>
        <w:t>Dokumenty wewnętrzne. Everest11 przyjmie zarządzeniem zarządu, najpóźniej 31.10.2026, czyli przed startem projektu, cztery dokumenty obowiązujące wszystkie osoby pracujące w projekcie, także na umowach cywilnoprawnych. 1) Politykę równego traktowania, która zakazuje dyskryminacji ze względu na wszystkie przesłanki z art. 21 Karty Praw Podstawowych, mobbingu i molestowania, w tym seksualnego, i określa tryb skargi: rozpatrzenie w 14 dni przez osobę wskazaną przez zarząd oraz zakaz działań odwetowych wobec zgłaszającego. 2) Procedurę rekrutacji i wynagradzania: opis stanowiska i karta oceny oparte wyłącznie na kompetencjach, ta sama karta dla każdego kandydata, jawna siatka wynagrodzeń dla stanowiska. 3) Politykę godzenia pracy z życiem prywatnym: elastyczny czas pracy, praca hybrydowa i zdalna, urlopy opiekuńcze zgodne z Kodeksem pracy i dyrektywą 2019/1158. 4) Politykę ochrony danych osobowych zgodną z RODO. Za wdrożenie odpowiada kierownik zarządzający, a każda osoba w zespole potwierdza zapoznanie się z dokumentami na piśmie przed rozpoczęciem pracy.</w:t>
      </w:r>
    </w:p>
    <w:p>
      <w:pPr>
        <w:spacing w:after="60"/>
      </w:pPr>
      <w:r>
        <w:rPr>
          <w:b w:val="0"/>
        </w:rPr>
        <w:t>Politechnika Rzeszowska stosuje Plan Równości Płci wprowadzony zarządzeniem nr 91 Rektora z 28.10.2022, w którym działa zespół ds. równości i pełnomocnik Rektora, oraz regulamin pracy, kodeks etyki i regulacje przeciwdziałające mobbingowi i dyskryminacji. Rekrutacja w PRz przebiega według procedur uczelni zgodnych z ustawą Prawo o szkolnictwie wyższym i nauce, a dodatki projektowe przyznaje się według regulaminu wynagradzania, czyli zarządzenia Rektora nr 123/2021.</w:t>
      </w:r>
    </w:p>
    <w:p>
      <w:pPr>
        <w:spacing w:after="60"/>
      </w:pPr>
      <w:r>
        <w:rPr>
          <w:b w:val="0"/>
        </w:rPr>
        <w:t>Zatrudnienie osób różnej rasy, pochodzenia, religii, światopoglądu, wieku i orientacji. Nabór na 7 planowanych stanowisk jest otwarty. Ogłoszenia nie zawierają wymagań niezwiązanych z pracą, formularz zgłoszeniowy nie zbiera zdjęcia, daty urodzenia ani informacji o wyznaniu i orientacji, a kandydatów oceniamy kartą kompetencji. Do zespołu mogą dołączyć osoby każdego pochodzenia i wyznania. Udogodnienia: komunikacja zespołu w języku polskim i angielskim, wsparcie kierownika zarządzającego w formalnościach zatrudnienia cudzoziemca, możliwość odpracowania dni wolnych na święta religijne, zakaz mowy nienawiści w polityce równego traktowania.</w:t>
      </w:r>
    </w:p>
    <w:p>
      <w:pPr>
        <w:spacing w:after="60"/>
      </w:pPr>
      <w:r>
        <w:rPr>
          <w:b w:val="0"/>
        </w:rPr>
        <w:t>Zatrudnienie osób z niepełnosprawnościami. Prace B+R w projekcie polegają głównie na pracy przy komputerze, więc mogą je wykonywać osoby z różnymi niepełnosprawnościami. Everest11 i PRz na wniosek osoby zatrudnionej dostosują stanowisko: oprogramowanie czytnika ekranu lub powiększania, ergonomiczne wyposażenie, oświetlenie, praca zdalna lub hybrydowa, elastyczny czas pracy. Przed zatrudnieniem osoby z niepełnosprawnością ruchową Everest11 ocenia dostępność biura, a w razie barier organizuje pracę zdalną i spotkania w dostępnych miejscach. PRz zapewnia dostępność budynków zgodnie z ustawą z 19.07.2019 o zapewnianiu dostępności. Spotkania zdalne prowadzimy z napisami na żywo, a materiały udostępniamy w formatach dostępnych cyfrowo. Koszty dostosowań ponosi zatrudniający ze środków własnych, poza kosztami kwalifikowalnymi.</w:t>
      </w:r>
    </w:p>
    <w:p>
      <w:pPr>
        <w:spacing w:after="60"/>
      </w:pPr>
      <w:r>
        <w:rPr>
          <w:b w:val="0"/>
        </w:rPr>
        <w:t>Uniwersalne projektowanie w pracach B+R. Wymagania dostępności wpisujemy w zadaniu Z1 do specyfikacji interfejsów jako kryteria akceptacji: alert w kabinie ma być jednocześnie dźwiękowy i wizualny, tekst i ikony czytelne w słabym świetle i przy słońcu, obsługa bez precyzyjnych ruchów, a panel dyspozytora ma spełniać WCAG 2.1 poziom AA. W Z7 sprawdzamy panel HMI i sygnał dźwiękowy w kabinie. W badaniu UX w Z9, z udziałem co najmniej 2 kierowców i 2 dyspozytorów, stosujemy listę kontrolną dostępności: kontrast co najmniej 4,5:1, obsługa samą klawiaturą, test czytnikiem NVDA, czytelność alertów w jeździe. Wynik listy jest kryterium odbioru kamienia milowego Z9.</w:t>
      </w:r>
    </w:p>
    <w:p>
      <w:pPr>
        <w:spacing w:after="60"/>
      </w:pPr>
      <w:r>
        <w:rPr>
          <w:b w:val="0"/>
        </w:rPr>
        <w:t>Uniwersalne projektowanie w internacjonalizacji (Z10). Materiały na wydarzenie branżowe w regionie CEE przygotowujemy po polsku i angielsku jako dostępne dokumenty cyfrowe: tagowane PDF, kontrast, tekst alternatywny, prosty język. W zapytaniu o udział wymagamy obiektu dostępnego architektonicznie. Strona prezentująca produkt spełnia WCAG 2.1 AA.</w:t>
      </w:r>
    </w:p>
    <w:p>
      <w:pPr>
        <w:pStyle w:val="Heading3"/>
      </w:pPr>
      <w:r>
        <w:t>Dostępność produktu/usługi w projekcie (limit 500 na uzasadnienie)</w:t>
      </w:r>
    </w:p>
    <w:p>
      <w:pPr>
        <w:spacing w:after="60"/>
      </w:pPr>
      <w:r>
        <w:rPr>
          <w:b w:val="0"/>
        </w:rPr>
        <w:t>Pole sekcji powtarzalnej. Pozycje 1 i 2 zastępują dotychczasowe, pozycje 3 do 7 dodaj.</w:t>
      </w:r>
    </w:p>
    <w:p>
      <w:pPr>
        <w:keepNext/>
        <w:spacing w:before="160" w:after="40"/>
      </w:pPr>
      <w:r>
        <w:rPr>
          <w:b/>
          <w:sz w:val="20"/>
        </w:rPr>
        <w:t>1. Nazwa produktu/usługi: Zestaw CargoDT z panelem HMI i alarmem dźwiękowym w kabinie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[364 znaków]</w:t>
      </w:r>
    </w:p>
    <w:p>
      <w:pPr>
        <w:spacing w:after="60"/>
      </w:pPr>
      <w:r>
        <w:rPr>
          <w:b w:val="0"/>
        </w:rPr>
        <w:t>Kierowca jest bezpośrednim użytkownikiem. Alert ma trzy poziomy ryzyka i jest przekazywany jednocześnie sygnałem dźwiękowym i wizualnie na panelu HMI, więc osoba słabosłysząca lub słabowidząca otrzyma go drugim kanałem. Tekst i ikony o wysokim kontraście, obsługa bez precyzyjnych ruchów. Czytelność i słyszalność sprawdzamy w badaniu UX w Z9 z udziałem kierowców.</w:t>
      </w:r>
    </w:p>
    <w:p>
      <w:pPr>
        <w:keepNext/>
        <w:spacing w:before="160" w:after="40"/>
      </w:pPr>
      <w:r>
        <w:rPr>
          <w:b/>
          <w:sz w:val="20"/>
        </w:rPr>
        <w:t>2. Nazwa produktu/usługi: Platforma CargoDT, panel dyspozytora (wynik projektu)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[396 znaków]</w:t>
      </w:r>
    </w:p>
    <w:p>
      <w:pPr>
        <w:spacing w:after="60"/>
      </w:pPr>
      <w:r>
        <w:rPr>
          <w:b w:val="0"/>
        </w:rPr>
        <w:t>Panel opracowujemy według WCAG 2.1 poziom AA: obsługa czytnikami ekranu NVDA i JAWS, pełna obsługa klawiaturą, kontrast co najmniej 4,5:1, tekst alternatywny dla map 3D i wykresów, prosty język, alerty tekstowe, wizualne i dźwiękowe. Dostępność weryfikujemy listą kontrolną w Z9. Zasada uniwersalnego projektowania: równe szanse, elastyczność użycia, postrzegalność informacji, tolerancja błędów.</w:t>
      </w:r>
    </w:p>
    <w:p>
      <w:pPr>
        <w:keepNext/>
        <w:spacing w:before="160" w:after="40"/>
      </w:pPr>
      <w:r>
        <w:rPr>
          <w:b/>
          <w:sz w:val="20"/>
        </w:rPr>
        <w:t>3. Nazwa produktu/usługi: Dokumenty Proof of Loading i Proof of Condition w formacie eFTI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[319 znaków]</w:t>
      </w:r>
    </w:p>
    <w:p>
      <w:pPr>
        <w:spacing w:after="60"/>
      </w:pPr>
      <w:r>
        <w:rPr>
          <w:b w:val="0"/>
        </w:rPr>
        <w:t>Odbiorcami są dyspozytorzy, kierowcy i organy kontroli. Dokument powstaje w formacie maszynowym XML, a człowiek ogląda go w panelu z podglądem w dostępnym HTML i PDF z tagami, w prostym języku, ze stałą strukturą nagłówków. Czytnik ekranu odczyta wszystkie pola, a stan ładunku opisuje tekst, nie tylko kolor lub ikona.</w:t>
      </w:r>
    </w:p>
    <w:p>
      <w:pPr>
        <w:keepNext/>
        <w:spacing w:before="160" w:after="40"/>
      </w:pPr>
      <w:r>
        <w:rPr>
          <w:b/>
          <w:sz w:val="20"/>
        </w:rPr>
        <w:t>4. Nazwa produktu/usługi: Interfejs API integracji z TMS, eFTI i e-CMR</w:t>
      </w:r>
    </w:p>
    <w:p>
      <w:r>
        <w:rPr>
          <w:b/>
        </w:rPr>
        <w:t xml:space="preserve">Wpływ: </w:t>
      </w:r>
      <w:r>
        <w:t>neutralny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[284 znaków]</w:t>
      </w:r>
    </w:p>
    <w:p>
      <w:pPr>
        <w:spacing w:after="60"/>
      </w:pPr>
      <w:r>
        <w:rPr>
          <w:b w:val="0"/>
        </w:rPr>
        <w:t>Interfejs służy wyłącznie do komunikacji między systemami i nie ma bezpośrednich użytkowników: człowiek nie obsługuje go podczas działania. Dostęp osób do wyników zapewnia dostępny panel i dokumenty opisane wyżej. Dokumentację techniczną dla integratorów publikujemy w dostępnym HTML.</w:t>
      </w:r>
    </w:p>
    <w:p>
      <w:pPr>
        <w:keepNext/>
        <w:spacing w:before="160" w:after="40"/>
      </w:pPr>
      <w:r>
        <w:rPr>
          <w:b/>
          <w:sz w:val="20"/>
        </w:rPr>
        <w:t>5. Nazwa produktu/usługi: Aparatura badawcza i sprzęt pomiarowy kupowane w projekcie</w:t>
      </w:r>
    </w:p>
    <w:p>
      <w:r>
        <w:rPr>
          <w:b/>
        </w:rPr>
        <w:t xml:space="preserve">Wpływ: </w:t>
      </w:r>
      <w:r>
        <w:t>neutralny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[339 znaków]</w:t>
      </w:r>
    </w:p>
    <w:p>
      <w:pPr>
        <w:spacing w:after="60"/>
      </w:pPr>
      <w:r>
        <w:rPr>
          <w:b w:val="0"/>
        </w:rPr>
        <w:t>Kamery ToF i EO, radar, platforma embedded, przełączniki, stanowisko wibracyjne i stacje robocze pracują w pojeździe lub na stanowisku badawczym i nie mają użytkowników zewnętrznych. Konfigurują je pracownicy zespołu z użyciem oprogramowania opisanego w kolejnej pozycji, dostosowanego w razie potrzeby do osoby ze szczególnymi potrzebami.</w:t>
      </w:r>
    </w:p>
    <w:p>
      <w:pPr>
        <w:keepNext/>
        <w:spacing w:before="160" w:after="40"/>
      </w:pPr>
      <w:r>
        <w:rPr>
          <w:b/>
          <w:sz w:val="20"/>
        </w:rPr>
        <w:t>6. Nazwa produktu/usługi: Oprogramowanie i licencje narzędziowe używane przez zespół projektu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[332 znaków]</w:t>
      </w:r>
    </w:p>
    <w:p>
      <w:pPr>
        <w:spacing w:after="60"/>
      </w:pPr>
      <w:r>
        <w:rPr>
          <w:b w:val="0"/>
        </w:rPr>
        <w:t>Oprogramowanie do anotacji, rozwoju kodu i obsługi kamer wybieramy z uwzględnieniem obsługi klawiaturą, kontrastu i współpracy z czytnikami ekranu i powiększaniem. Jeśli osoba ze szczególnymi potrzebami dołączy do zespołu, dobieramy narzędzia z odpowiednimi funkcjami asystującymi, a koszt pokrywa zatrudniający ze środków własnych.</w:t>
      </w:r>
    </w:p>
    <w:p>
      <w:pPr>
        <w:keepNext/>
        <w:spacing w:before="160" w:after="40"/>
      </w:pPr>
      <w:r>
        <w:rPr>
          <w:b/>
          <w:sz w:val="20"/>
        </w:rPr>
        <w:t>7. Nazwa produktu/usługi: Usługi zewnętrzne: montaż, obsługa patentowa, doradztwo i udział w wydarzeniu branżowym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[328 znaków]</w:t>
      </w:r>
    </w:p>
    <w:p>
      <w:pPr>
        <w:spacing w:after="60"/>
      </w:pPr>
      <w:r>
        <w:rPr>
          <w:b w:val="0"/>
        </w:rPr>
        <w:t>W zapytaniach ofertowych wymagamy dostępności: wydarzenie w obiekcie dostępnym architektonicznie, materiały w dostępnych formatach cyfrowych, możliwość tłumaczenia lub napisów na życzenie uczestnika, umowa z klauzulą o dostępności. Usługi doradcze i patentowe dostarczane są w formie dokumentów cyfrowych w dostępnych formatach.</w:t>
      </w:r>
    </w:p>
    <w:p>
      <w:pPr>
        <w:pStyle w:val="Heading3"/>
      </w:pPr>
      <w:r>
        <w:t>Zgodność projektu z zasadą równości kobiet i mężczyzn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[2941 znaków]</w:t>
      </w:r>
    </w:p>
    <w:p>
      <w:pPr>
        <w:spacing w:after="60"/>
      </w:pPr>
      <w:r>
        <w:rPr>
          <w:b w:val="0"/>
        </w:rPr>
        <w:t>Projekt realizujemy zgodnie z zasadą równości kobiet i mężczyzn z art. 9 ust. 2 i 3 rozporządzenia 2021/1060 i Wytycznymi równościowymi na lata 2021-2027. Zasadę stosują oba podmioty: Everest11 i Politechnika Rzeszowska. Dokumenty wewnętrzne opisaliśmy w pkt 7.1, tu podajemy działania dotyczące równości płci.</w:t>
      </w:r>
    </w:p>
    <w:p>
      <w:pPr>
        <w:spacing w:after="60"/>
      </w:pPr>
      <w:r>
        <w:rPr>
          <w:b w:val="0"/>
        </w:rPr>
        <w:t>Rekrutacja. Ogłoszenia redagujemy neutralnie płciowo i zachęcamy w nich do zgłoszeń osoby każdej płci. Na każde z 7 planowanych stanowisk, 4 u Lidera i 3 w PRz, każdy kandydat jest oceniany tą samą kartą kompetencji. Zapraszamy na rozmowę co najmniej jedną kobietę na stanowisko, o ile wpłynie kwalifikujące się zgłoszenie. Dążymy do tego, by kobiety stanowiły co najmniej 30% osób rekrutowanych w projekcie, bez obniżania wymagań merytorycznych. W komisji rekrutacyjnej Lidera zasiadają kobieta i mężczyzna.</w:t>
      </w:r>
    </w:p>
    <w:p>
      <w:pPr>
        <w:spacing w:after="60"/>
      </w:pPr>
      <w:r>
        <w:rPr>
          <w:b w:val="0"/>
        </w:rPr>
        <w:t>Wynagrodzenia. Wynagrodzenie zależy od stanowiska i kwalifikacji według jawnej siatki Everest11, a w PRz według regulaminu wynagradzania. Przed startem projektu i co 12 miesięcy Everest11 sprawdza różnice w wynagrodzeniach kobiet i mężczyzn na tych samych stanowiskach, uwzględniając wszystkie składniki wynagrodzenia. Różnicę przekraczającą 5% bez uzasadnienia stanowiskiem lub kwalifikacjami wyrównujemy, zgodnie z progiem z dyrektywy 2023/970. Wyniki przedstawia kierownik zarządzający na kwartalnym przeglądzie projektu.</w:t>
      </w:r>
    </w:p>
    <w:p>
      <w:pPr>
        <w:spacing w:after="60"/>
      </w:pPr>
      <w:r>
        <w:rPr>
          <w:b w:val="0"/>
        </w:rPr>
        <w:t>Godzenie pracy z życiem prywatnym. Zespół pracuje hybrydowo i zdalnie, a czas pracy jest elastyczny. Spotkania synchronizacyjne planujemy w godzinach 9.00-15.00, żeby nie kolidowały z opieką nad dziećmi i osobami zależnymi. Osoby korzystające z urlopów rodzicielskich i opiekuńczych zachowują prawa wynikające z Kodeksu pracy, a po powrocie wracają na to samo lub równorzędne stanowisko w projekcie.</w:t>
      </w:r>
    </w:p>
    <w:p>
      <w:pPr>
        <w:spacing w:after="60"/>
      </w:pPr>
      <w:r>
        <w:rPr>
          <w:b w:val="0"/>
        </w:rPr>
        <w:t>Przeciwdziałanie molestowaniu. Procedura z polityki równego traktowania obejmuje molestowanie seksualne i niesie sankcje porządkowe i dyscyplinarne. Zgłoszenie może złożyć każda osoba w zespole, także poufnie.</w:t>
      </w:r>
    </w:p>
    <w:p>
      <w:pPr>
        <w:spacing w:after="60"/>
      </w:pPr>
      <w:r>
        <w:rPr>
          <w:b w:val="0"/>
        </w:rPr>
        <w:t>Udział kobiet w projekcie. Wśród 14 osób imiennie wskazanych w zespole są 3 kobiety: 2 z 9 w Everest11 i 1 z 5 w PRz. Przewaga mężczyzn wynika ze struktury zawodowej branży ICT i TSL, a nie z kryteriów doboru. Kobiety pełnią funkcje o istotnym znaczeniu: Natalia Wojdat jako AI Senior Engineer odpowiada za optymalizację modeli na platformie embedded i analizę wyników w terenie, Ewa Retajczyk jako zastępca kierownika zarządzającego prowadzi rozliczenia i sprawozdawczość, a Karolina Król jako młodszy specjalista ds. uczenia maszynowego w PRz uczestniczy w pracach nad modelami predykcji.</w:t>
      </w:r>
    </w:p>
    <w:p>
      <w:pPr>
        <w:spacing w:after="60"/>
      </w:pPr>
      <w:r>
        <w:rPr>
          <w:b w:val="0"/>
        </w:rPr>
        <w:t>Monitorowanie. Co kwartał raportujemy Radzie Konsorcjum udział kobiet w zespole i w rekrutacji oraz stan analizy wynagrodzeń. Przy odchyleniu od założeń kierownik zarządzający przedstawia działania korygujące.</w:t>
      </w:r>
    </w:p>
    <w:p>
      <w:pPr>
        <w:spacing w:after="60"/>
      </w:pPr>
      <w:r>
        <w:rPr>
          <w:b w:val="0"/>
        </w:rPr>
        <w:t>Produkt. CargoDT przetwarza dane o ładunku, nie o osobach, i jest tak samo użyteczny dla kierowców i dyspozytorów każdej płci. Nie wpływa na podział stanowisk między kobiety i mężczyzn.</w:t>
      </w:r>
    </w:p>
    <w:p>
      <w:pPr>
        <w:pStyle w:val="Heading1"/>
      </w:pPr>
      <w:r>
        <w:t>3. Pkt 7.2 Karta Praw Podstawowych (limit 5000)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[3659 znaków]</w:t>
      </w:r>
    </w:p>
    <w:p>
      <w:pPr>
        <w:spacing w:after="60"/>
      </w:pPr>
      <w:r>
        <w:rPr>
          <w:b w:val="0"/>
        </w:rPr>
        <w:t>Opis dotyczy Everest11 i Politechniki Rzeszowskiej. Dokumenty wewnętrzne, które zapewniają przestrzeganie Karty, opisaliśmy w pkt 7.1. Poniżej podajemy, co robimy i co zrobimy w projekcie dla każdego artykułu.</w:t>
      </w:r>
    </w:p>
    <w:p>
      <w:pPr>
        <w:spacing w:after="60"/>
      </w:pPr>
      <w:r>
        <w:rPr>
          <w:b w:val="0"/>
        </w:rPr>
        <w:t>Art. 1 Godność. Zespół traktujemy z szacunkiem, a polityka równego traktowania zakazuje poniżania. Art. 3 Integralność osoby. Prace nie obejmują badań na ludziach. Montaż w naczepach wykonują osoby przeszkolone w BHP, a instalacja 12 i 24 V jest zabezpieczona obwodem. Art. 4 i 5 Zakaz tortur, niewolnictwa i pracy przymusowej. Projekt jest neutralny: każdą osobę zatrudniamy na piśmie, dobrowolnie i za wynagrodzeniem. Art. 6 Wolność i bezpieczeństwo osobiste. Projekt jest neutralny: nie ogranicza wolności osób, a system nie śledzi ludzi.</w:t>
      </w:r>
    </w:p>
    <w:p>
      <w:pPr>
        <w:spacing w:after="60"/>
      </w:pPr>
      <w:r>
        <w:rPr>
          <w:b w:val="0"/>
        </w:rPr>
        <w:t>Art. 7 Życie prywatne. Kamery ToF i EO obserwują wyłącznie przestrzeń ładunkową, a kabiny kierowcy i jego zachowania nie rejestrujemy. Klatki, na których pojawi się osoba przy załadunku, rozmywamy lub usuwamy przed anotacją i przekazaniem zbioru do PRz. Art. 8 Dane osobowe. Lokalizacja pojazdu jest daną osobową kierowcy, więc służy tylko monitorowaniu floty i nie trafia do trenowania modeli. Zbiór pseudonimizujemy i szyfrujemy, a dostęp ma wyłącznie zespół na podstawie umowy o poufności. Everest11 przeprowadzi ocenę skutków dla ochrony danych (DPIA) przed pierwszą kampanią Z2, a kierowców informuje zgodnie z art. 13 RODO. Wymagania RODO wdraża Cybersecurity Specialist.</w:t>
      </w:r>
    </w:p>
    <w:p>
      <w:pPr>
        <w:spacing w:after="60"/>
      </w:pPr>
      <w:r>
        <w:rPr>
          <w:b w:val="0"/>
        </w:rPr>
        <w:t>Art. 10 Wolność myśli, sumienia i religii. Nie pytamy o wyznanie ani światopogląd, a na wniosek umożliwiamy odpracowanie dni wolnych na święta religijne. Art. 15 Wolność wyboru zawodu. Zespół wybiera pracę dobrowolnie, a PRz stosuje procedury konkursowe uczelni. Art. 20 Równość wobec prawa. Te same zasady oceny i wynagradzania obowiązują wszystkich. Art. 21 Niedyskryminacja. Polityka obejmuje wszystkie przesłanki z art. 21, a nabór opisaliśmy w pkt 7.1. Art. 22 Różnorodność kulturowa, religijna i językowa. Zespół pracuje po polsku i angielsku, a materiały dla rynków CEE przygotowujemy w kilku wersjach językowych. Art. 23 Równość kobiet i mężczyzn. Działania opisaliśmy w pkt 7.1.</w:t>
      </w:r>
    </w:p>
    <w:p>
      <w:pPr>
        <w:spacing w:after="60"/>
      </w:pPr>
      <w:r>
        <w:rPr>
          <w:b w:val="0"/>
        </w:rPr>
        <w:t>Art. 25 Prawa osób starszych. Nie stosujemy limitów wieku w naborze, a interfejsy mają duże, kontrastowe elementy. Art. 26 Integracja osób z niepełnosprawnościami. Dostosowanie stanowisk i dostępność produktów opisaliśmy w pkt 7.1 i 7.3. Art. 27 Informacja i konsultacja pracowników. Zespół zna zasady projektu z kwartalnych przeglądów, a uwagi zgłasza kierownikowi zarządzającemu lub na cotygodniowych spotkaniach. Art. 28 Rokowania i działania zbiorowe. Projekt nie ogranicza prawa do zrzeszania się w związkach zawodowych ani do działań zbiorowych. Art. 30 Ochrona w razie nieuzasadnionego zwolnienia. Umowy zawieramy według Kodeksu pracy, a wypowiedzenie wymaga uzasadnienia. Art. 31 Godne warunki pracy. Przed pracą w pojazdach każda osoba przechodzi szkolenie BHP, a czas pracy i odpoczynek zgodny jest z Kodeksem pracy. Art. 32 Ochrona młodzieży. Zespół składa się z osób pełnoletnich. Art. 33 Życie rodzinne i zawodowe. Elastyczny czas pracy i praca zdalna opisane w pkt 7.1.</w:t>
      </w:r>
    </w:p>
    <w:p>
      <w:pPr>
        <w:spacing w:after="60"/>
      </w:pPr>
      <w:r>
        <w:rPr>
          <w:b w:val="0"/>
        </w:rPr>
        <w:t>Inne artykuły. Art. 13 Wolność nauki: PRz publikuje wyniki zgodnie z umową konsorcjum, po ochronie własności przemysłowej. Art. 17 Własność: prawa majątkowe do wyników dzielimy proporcjonalnie do wkładu, według § 11 umowy konsorcjum. Art. 37 Ochrona środowiska: opisaliśmy w pkt 7.4.</w:t>
      </w:r>
    </w:p>
    <w:p>
      <w:pPr>
        <w:spacing w:after="60"/>
      </w:pPr>
      <w:r>
        <w:rPr>
          <w:b w:val="0"/>
        </w:rPr>
        <w:t>Pozostałe artykuły Karty projekt nie dotyczy i jest wobec nich neutralny. Nie wpływa na prawa polityczne, sądowe, azylowe ani dotyczące dzieci, ponieważ jest projektem B+R dla przedsiębiorstw transportowych i nie zatrudnia, ani nie obsługuje osób, których te prawa dotyczą.</w:t>
      </w:r>
    </w:p>
    <w:p>
      <w:pPr>
        <w:pStyle w:val="Heading1"/>
      </w:pPr>
      <w:r>
        <w:t>4. Pkt 7.3 Konwencja o Prawach Osób Niepełnosprawnych (limit 5000)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[3182 znaków]</w:t>
      </w:r>
    </w:p>
    <w:p>
      <w:pPr>
        <w:spacing w:after="60"/>
      </w:pPr>
      <w:r>
        <w:rPr>
          <w:b w:val="0"/>
        </w:rPr>
        <w:t>Opis dotyczy Everest11 i Politechniki Rzeszowskiej. Obaj członkowie konsorcjum zobowiązali się w umowie konsorcjum (§ 2 ust. 2) do przestrzegania Konwencji, art. 2-7, 9 i 27. Dokumenty wewnętrzne i działania równościowe opisaliśmy w pkt 7.1 i 7.2, tu nie powtarzamy ich, tylko wskazujemy zastosowanie w poszczególnych artykułach.</w:t>
      </w:r>
    </w:p>
    <w:p>
      <w:pPr>
        <w:spacing w:after="60"/>
      </w:pPr>
      <w:r>
        <w:rPr>
          <w:b w:val="0"/>
        </w:rPr>
        <w:t>Art. 2 Definicje: komunikacja, język, projektowanie uniwersalne. Komunikację w projekcie prowadzimy prostym i niedyskryminującym językiem. Spotkania zdalne mają napisy na żywo, a dokumenty projektu publikujemy w dostępnych formatach cyfrowych. Projektowanie uniwersalne stosujemy w interfejsach CargoDT: alert jest jednocześnie dźwiękowy i wizualny, kontrast co najmniej 4,5:1, obsługa bez precyzyjnych ruchów.</w:t>
      </w:r>
    </w:p>
    <w:p>
      <w:pPr>
        <w:spacing w:after="60"/>
      </w:pPr>
      <w:r>
        <w:rPr>
          <w:b w:val="0"/>
        </w:rPr>
        <w:t>Art. 3 Zasady ogólne: godność, niedyskryminacja, pełne uczestnictwo, równość szans. Osoby z niepełnosprawnościami mogą uczestniczyć w projekcie na tych samych zasadach co inne osoby.</w:t>
      </w:r>
    </w:p>
    <w:p>
      <w:pPr>
        <w:spacing w:after="60"/>
      </w:pPr>
      <w:r>
        <w:rPr>
          <w:b w:val="0"/>
        </w:rPr>
        <w:t>Art. 4 Obowiązki ogólne. Everest11 i PRz nie wprowadzają przepisów ani praktyk dyskryminujących, a wymagania dostępności wpisujemy do specyfikacji produktu i do kryteriów odbioru kamieni milowych Z1, Z7 i Z9.</w:t>
      </w:r>
    </w:p>
    <w:p>
      <w:pPr>
        <w:spacing w:after="60"/>
      </w:pPr>
      <w:r>
        <w:rPr>
          <w:b w:val="0"/>
        </w:rPr>
        <w:t>Art. 5 Równość i niedyskryminacja. Zapewniamy racjonalne usprawnienia: na wniosek osoby zatrudnionej dostosowujemy stanowisko, czas i miejsce pracy, a odmowa jest możliwa tylko, gdy dostosowanie stanowiłoby nieproporcjonalne obciążenie, i wymaga pisemnego uzasadnienia.</w:t>
      </w:r>
    </w:p>
    <w:p>
      <w:pPr>
        <w:spacing w:after="60"/>
      </w:pPr>
      <w:r>
        <w:rPr>
          <w:b w:val="0"/>
        </w:rPr>
        <w:t>Art. 6 Kobiety z niepełnosprawnościami. Procedura rekrutacji i polityka równego traktowania chronią przed dyskryminacją wielokrotną, a skargi rozpatruje osoba wskazana przez zarząd w 14 dni.</w:t>
      </w:r>
    </w:p>
    <w:p>
      <w:pPr>
        <w:spacing w:after="60"/>
      </w:pPr>
      <w:r>
        <w:rPr>
          <w:b w:val="0"/>
        </w:rPr>
        <w:t>Art. 7 Dzieci z niepełnosprawnościami. Projekt jest neutralny: produkt jest przeznaczony dla przedsiębiorstw transportowych, a zespół składa się z osób pełnoletnich.</w:t>
      </w:r>
    </w:p>
    <w:p>
      <w:pPr>
        <w:spacing w:after="60"/>
      </w:pPr>
      <w:r>
        <w:rPr>
          <w:b w:val="0"/>
        </w:rPr>
        <w:t>Art. 9 Dostępność. Panel dyspozytora spełnia WCAG 2.1 poziom AA, to znaczy obsługa czytnikami NVDA i JAWS, obsługa klawiaturą, kontrast co najmniej 4,5:1, tekst alternatywny dla wykresów i map 3D. Panel HMI w kabinie przekazuje alert dźwiękiem i obrazem. Weryfikujemy to listą kontrolną w badaniu UX w Z9. Everest11 ocenia dostępność biura przed zatrudnieniem osoby z niepełnosprawnością ruchową, a w razie barier organizuje pracę zdalną. PRz zapewnia dostępność architektoniczną budynków zgodnie z ustawą z 19.07.2019 o zapewnianiu dostępności. Zakupy w projekcie, w tym usługi wydarzenia branżowego, obejmują wymagania dostępności w zapytaniach ofertowych.</w:t>
      </w:r>
    </w:p>
    <w:p>
      <w:pPr>
        <w:spacing w:after="60"/>
      </w:pPr>
      <w:r>
        <w:rPr>
          <w:b w:val="0"/>
        </w:rPr>
        <w:t>Art. 27 Praca i zatrudnienie. Rekrutacja jest otwarta i oparta na kompetencjach, a ogłoszenia zawierają informację o możliwości dostosowania stanowiska. Wynagrodzenie, szkolenia i awans obowiązują na równych zasadach. Prace zdalne, hybrydowe i elastyczny czas pracy umożliwiają zatrudnienie osób, którym utrudnia pracę stacjonarną niepełnosprawność. Everest11 i PRz zapewniają dostosowanie stanowiska i zakup narzędzi asystujących na wniosek zatrudnionego.</w:t>
      </w:r>
    </w:p>
    <w:p>
      <w:pPr>
        <w:spacing w:after="60"/>
      </w:pPr>
      <w:r>
        <w:rPr>
          <w:b w:val="0"/>
        </w:rPr>
        <w:t>Art. 24 Edukacja i art. 25 Zdrowie. Projekt jest neutralny: nie obejmuje szkoleń dla uczniów ani produktów i usług zdrowotnych.</w:t>
      </w:r>
    </w:p>
    <w:p>
      <w:pPr>
        <w:spacing w:after="60"/>
      </w:pPr>
      <w:r>
        <w:rPr>
          <w:b w:val="0"/>
        </w:rPr>
        <w:t>Pozostałe artykuły Konwencji nie mają zastosowania do zakresu projektu, który jest pracą B+R nad systemem dla przedsiębiorstw transportowych, i projekt jest wobec nich neutralny.</w:t>
      </w:r>
    </w:p>
    <w:p>
      <w:pPr>
        <w:pStyle w:val="Heading1"/>
      </w:pPr>
      <w:r>
        <w:t>5. Pkt 7.4 Zasada zrównoważonego rozwoju</w:t>
      </w:r>
    </w:p>
    <w:p>
      <w:pPr>
        <w:pStyle w:val="Heading3"/>
      </w:pPr>
      <w:r>
        <w:t>Zgodność z przepisami (limit 1000 na akt prawny)</w:t>
      </w:r>
    </w:p>
    <w:p>
      <w:pPr>
        <w:keepNext/>
        <w:spacing w:before="160" w:after="40"/>
      </w:pPr>
      <w:r>
        <w:rPr>
          <w:b/>
          <w:sz w:val="20"/>
        </w:rPr>
        <w:t>Prawo ochrony środowiska, uzasadnienie</w:t>
      </w:r>
      <w:r>
        <w:rPr>
          <w:color w:val="666666"/>
          <w:sz w:val="17"/>
        </w:rPr>
        <w:t xml:space="preserve"> [621 znaków]</w:t>
      </w:r>
    </w:p>
    <w:p>
      <w:pPr>
        <w:spacing w:after="60"/>
      </w:pPr>
      <w:r>
        <w:rPr>
          <w:b w:val="0"/>
        </w:rPr>
        <w:t>Projekt realizujemy zgodnie z ustawą z 27.04.2001 Prawo ochrony środowiska. Prace B+R Everest11 i PRz nie obejmują instalacji wymagających pozwolenia zintegrowanego ani emisji wymagających pozwoleń sektorowych. Testy terenowe Z2 i Z9 prowadzimy w trakcie rzeczywistych kursów floty partnera, więc nie generują dodatkowych przejazdów, spalania paliwa ani emisji. Badania PRz, w tym na stanowisku wibracyjnym, odbywają się w laboratorium uczelni i zużywają tylko energię elektryczną. Zasadę zapobiegania z art. 6 stosujemy przez wykorzystanie istniejących pojazdów, zbiorów i infrastruktury zamiast budowy nowych stanowisk.</w:t>
      </w:r>
    </w:p>
    <w:p>
      <w:pPr>
        <w:keepNext/>
        <w:spacing w:before="160" w:after="40"/>
      </w:pPr>
      <w:r>
        <w:rPr>
          <w:b/>
          <w:sz w:val="20"/>
        </w:rPr>
        <w:t>Ustawa o odpadach, uzasadnienie</w:t>
      </w:r>
      <w:r>
        <w:rPr>
          <w:color w:val="666666"/>
          <w:sz w:val="17"/>
        </w:rPr>
        <w:t xml:space="preserve"> [704 znaków]</w:t>
      </w:r>
    </w:p>
    <w:p>
      <w:pPr>
        <w:spacing w:after="60"/>
      </w:pPr>
      <w:r>
        <w:rPr>
          <w:b w:val="0"/>
        </w:rPr>
        <w:t>Projekt realizujemy zgodnie z ustawą z 14.12.2012 o odpadach. W trakcie prac powstaną odpady elektroniczne: zużyte lub uszkodzone komponenty zestawów prototypowych, płytki, czujniki i akumulatory bufora zasilania. Prototypy po zakończeniu Z9 demontujemy i wycofujemy z pojazdów, niczego nie niszczymy celowo. Sprawne komponenty przeznaczamy do dalszych prac rozwojowych lub jako zestawy demonstracyjne. Niesprawne przekazujemy uprawnionym podmiotom zbierającym zużyty sprzęt elektryczny i elektroniczny, a akumulatory do punktu zbierania baterii, z dokumentem przekazania. Postępujemy według hierarchii z art. 17 ustawy: zapobieganie, ponowne użycie, recykling. Obowiązek wynika także z umowy konsorcjum.</w:t>
      </w:r>
    </w:p>
    <w:p>
      <w:pPr>
        <w:keepNext/>
        <w:spacing w:before="160" w:after="40"/>
      </w:pPr>
      <w:r>
        <w:rPr>
          <w:b/>
          <w:sz w:val="20"/>
        </w:rPr>
        <w:t>Ustawa OOŚ, uzasadnienie</w:t>
      </w:r>
      <w:r>
        <w:rPr>
          <w:color w:val="666666"/>
          <w:sz w:val="17"/>
        </w:rPr>
        <w:t xml:space="preserve"> [694 znaków]</w:t>
      </w:r>
    </w:p>
    <w:p>
      <w:pPr>
        <w:spacing w:after="60"/>
      </w:pPr>
      <w:r>
        <w:rPr>
          <w:b w:val="0"/>
        </w:rPr>
        <w:t>Projekt realizujemy z poszanowaniem ustawy z 3.10.2008 o udostępnianiu informacji o środowisku i jego ochronie, udziale społeczeństwa w ochronie środowiska oraz o ocenach oddziaływania na środowisko. Zakres projektu, czyli prace B+R nad zestawem retrofit i oprogramowaniem, nie należy do przedsięwzięć mogących zawsze lub potencjalnie znacząco oddziaływać na środowisko według przepisów wykonawczych i nie wymaga decyzji o środowiskowych uwarunkowaniach. Projekt nie obejmuje robót budowlanych, zmiany zagospodarowania terenu ani ingerencji w obszary chronione. Gdyby w trakcie realizacji pojawiła się taka konieczność, przeprowadzimy wymaganą procedurę przed rozpoczęciem odpowiednich działań.</w:t>
      </w:r>
    </w:p>
    <w:p>
      <w:pPr>
        <w:pStyle w:val="Heading3"/>
      </w:pPr>
      <w:r>
        <w:t>Zgodność z zasadami 6R</w:t>
      </w:r>
    </w:p>
    <w:p>
      <w:pPr>
        <w:spacing w:after="60"/>
      </w:pPr>
      <w:r>
        <w:rPr>
          <w:b w:val="0"/>
        </w:rPr>
        <w:t>Wybór z listy: WARIANT B, jedna zasada 6R. Zasada: ogranicz (reduce). Wskaźniki do wybrania w polu „Stosowanie zasad 6R zostało odzwierciedlone w następujących wskaźnikach”: oba z części 6 poniżej, obu wskaźników z poprzedniej wersji (wypełnienie naczep, udział dokumentacji cyfrowej) nie wybieraj.</w:t>
      </w:r>
    </w:p>
    <w:p>
      <w:pPr>
        <w:keepNext/>
        <w:spacing w:before="160" w:after="40"/>
      </w:pPr>
      <w:r>
        <w:rPr>
          <w:b/>
          <w:sz w:val="20"/>
        </w:rPr>
        <w:t>Opis sposobu realizacji projektu zgodnie z zasadą 6R (limit 4000)</w:t>
      </w:r>
      <w:r>
        <w:rPr>
          <w:color w:val="666666"/>
          <w:sz w:val="17"/>
        </w:rPr>
        <w:t xml:space="preserve"> [2437 znaków]</w:t>
      </w:r>
    </w:p>
    <w:p>
      <w:pPr>
        <w:spacing w:after="60"/>
      </w:pPr>
      <w:r>
        <w:rPr>
          <w:b w:val="0"/>
        </w:rPr>
        <w:t>Projekt realizujemy według wariantu B: jedna zasada 6R, ogranicz (reduce), potwierdzona dwoma wskaźnikami. Oba wskaźniki mierzymy w trakcie projektu, w kursach testowych zadań Z6, Z7 i Z9, więc dotyczą realizacji projektu, a nie późniejszej eksploatacji. Nie przypisujemy projektowi efektów w zużyciu paliwa ani emisjach, bo CargoDT nie tworzy planu załadunku i nie zmienia liczby kursów.</w:t>
      </w:r>
    </w:p>
    <w:p>
      <w:pPr>
        <w:spacing w:after="60"/>
      </w:pPr>
      <w:r>
        <w:rPr>
          <w:b w:val="0"/>
        </w:rPr>
        <w:t>Wskaźnik 1: papier. W kursach testowych dokumenty stanu ładunku, czyli protokół załadunku (PoL) i protokół stanu ładunku po rozładunku (PoC), powstają cyfrowo w systemie CargoDT i trafiają do TMS bez wydruku. W tradycyjnej metodzie, stosowanej dotąd przez Everest11, każdy cykl wymaga dwóch papierowych dokumentów po 1 stronie A4. Wartość bazowa to 500 stron A4 dla 250 cykli testowych, czyli 50 cykli w Z6 i 200 w Z9. Wartość docelowa to nie więcej niż 50 wydrukowanych stron, czyli ograniczenie o co najmniej 90%. Pozostałe 10% to dokumenty, których papierową kopię wymaga kontrahent lub przepisy. Pomiar prowadzi automatyczny licznik systemu i rejestr wydruków Everest11. Weryfikujemy go w protokole z Z9.</w:t>
      </w:r>
    </w:p>
    <w:p>
      <w:pPr>
        <w:spacing w:after="60"/>
      </w:pPr>
      <w:r>
        <w:rPr>
          <w:b w:val="0"/>
        </w:rPr>
        <w:t>Wskaźnik 2: dane przesyłane do chmury. Przetwarzanie modeli 3D, CV i ML odbywa się lokalnie na platformie embedded, więc do chmury trafiają tylko zdarzenia, metadane, dokumenty i wybrane zdjęcia, a nie surowe strumienie z kamer i radaru. Ogranicza to transfer danych i zużycie energii w sieci i centrach danych. Wartością bazową jest 100% wolumenu surowych danych wygenerowanych przez sensory w kursach testowych, czyli wolumen, który trzeba by przesłać przy przetwarzaniu w chmurze. Wartość docelowa to nie więcej niż 5% tego wolumenu. Pomiar: liczniki bajtów wygenerowanych i wysłanych w logu urządzenia, w teście platformy w Z7 i w co najmniej 180 kursach Z9.</w:t>
      </w:r>
    </w:p>
    <w:p>
      <w:pPr>
        <w:spacing w:after="60"/>
      </w:pPr>
      <w:r>
        <w:rPr>
          <w:b w:val="0"/>
        </w:rPr>
        <w:t>Podział prac. Everest11 realizuje oba wskaźniki: wdraża cyfrowy obieg dokumentów PoL i PoC w Z6, kompresuje modele w Z7 i prowadzi pomiary w Z9 w kursach floty partnera. PRz wspiera zasadę w Z3 i Z8, dobierając architektury modeli także pod kątem rozmiaru i kosztu obliczeń, tak by model mieścił się na platformie embedded bez przesyłu do chmury, a wyniki pomiaru wolumenu danych przelicza niezależnie na zbiorze testowym. Wartości docelowe obu wskaźników przypisujemy w całości Everest11, ponieważ PRz nie prowadzi kursów ani obiegu dokumentów.</w:t>
      </w:r>
    </w:p>
    <w:p>
      <w:pPr>
        <w:spacing w:after="60"/>
      </w:pPr>
      <w:r>
        <w:rPr>
          <w:b w:val="0"/>
        </w:rPr>
        <w:t>Projekt nie ma społecznie negatywnego charakteru: wspiera pracę przedsiębiorstw transportowych i poprawia bezpieczeństwo przewozu.</w:t>
      </w:r>
    </w:p>
    <w:p>
      <w:pPr>
        <w:pStyle w:val="Heading1"/>
      </w:pPr>
      <w:r>
        <w:t>6. Pkt 8.2 Wskaźniki środowiskowe i pkt 8.1 przedsięwzięcie proekologiczne</w:t>
      </w:r>
    </w:p>
    <w:p>
      <w:pPr>
        <w:spacing w:after="60"/>
      </w:pPr>
      <w:r>
        <w:rPr>
          <w:b w:val="0"/>
        </w:rPr>
        <w:t>W pkt 8.2 usuń dwa dotychczasowe wskaźniki 6R i dodaj poniższe dwa (funkcja „dodaj wskaźnik”). Rok bazowy 2026 to rok startu projektu, a rok docelowy 2030 to rok po jego zakończeniu, zgodnie z Instrukcją. Pomiary wykonujemy w trakcie projektu, do 04.2029.</w:t>
      </w:r>
    </w:p>
    <w:p>
      <w:pPr>
        <w:pStyle w:val="Heading3"/>
      </w:pPr>
      <w:r>
        <w:t>Wskaźnik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Ograniczenie zużycia papieru na dokumenty stanu ładunku w kursach testowych projektu (REDUCE)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strony A4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50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[654 znaków]</w:t>
      </w:r>
    </w:p>
    <w:p>
      <w:pPr>
        <w:spacing w:after="60"/>
      </w:pPr>
      <w:r>
        <w:rPr>
          <w:b w:val="0"/>
        </w:rPr>
        <w:t>Wskaźnik liczy strony A4 wydrukowane na dokumenty stanu ładunku, czyli protokół załadunku (PoL) i protokół stanu ładunku po rozładunku (PoC), w 250 kursach testowych projektu: 50 cykli w Z6 i 200 cykli w Z9. W tradycyjnej metodzie Everest11 każdy cykl wymaga dwóch dokumentów papierowych po 1 stronie A4, co daje wartość bazową 500 stron. Wartość docelowa to nie więcej niż 50 stron, czyli ograniczenie o co najmniej 90%. Pozostałe dokumenty drukujemy tylko, gdy papierową kopię wymaga kontrahent lub przepisy. Wskaźnik osiąga w całości Everest11, pomiar w Z6 i Z9, najpóźniej w kwietniu 2029 r., a jako rok docelowy wykazujemy 2030 zgodnie z Instrukcją.</w:t>
      </w:r>
    </w:p>
    <w:p>
      <w:pPr>
        <w:keepNext/>
        <w:spacing w:before="160" w:after="40"/>
      </w:pPr>
      <w:r>
        <w:rPr>
          <w:b/>
          <w:sz w:val="20"/>
        </w:rPr>
        <w:t>Opis sposobu weryfikacji osiągnięcia wartości</w:t>
      </w:r>
      <w:r>
        <w:rPr>
          <w:color w:val="666666"/>
          <w:sz w:val="17"/>
        </w:rPr>
        <w:t xml:space="preserve"> [193 znaków]</w:t>
      </w:r>
    </w:p>
    <w:p>
      <w:pPr>
        <w:spacing w:after="60"/>
      </w:pPr>
      <w:r>
        <w:rPr>
          <w:b w:val="0"/>
        </w:rPr>
        <w:t>Automatyczny licznik dokumentów PoL i PoC wygenerowanych cyfrowo w systemie CargoDT, rejestr wydruków Everest11 w kursach testowych, protokół testu terenowego Z9 podpisany przez kierownika B+R.</w:t>
      </w:r>
    </w:p>
    <w:p>
      <w:pPr>
        <w:pStyle w:val="Heading3"/>
      </w:pPr>
      <w:r>
        <w:t>Wskaźnik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Ograniczenie wolumenu danych przesyłanych do chmury dzięki przetwarzaniu brzegowemu (REDUCE)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[602 znaków]</w:t>
      </w:r>
    </w:p>
    <w:p>
      <w:pPr>
        <w:spacing w:after="60"/>
      </w:pPr>
      <w:r>
        <w:rPr>
          <w:b w:val="0"/>
        </w:rPr>
        <w:t>Wskaźnik to wolumen danych wysłanych z urządzenia do chmury w stosunku do wolumenu surowych danych wygenerowanych przez kamery, radar i czujniki w tych samych kursach testowych. Wartość bazowa 100% odpowiada przetwarzaniu w chmurze, w którym trzeba przesłać cały strumień. Wartość docelowa to nie więcej niż 5%, ponieważ modele 3D, CV i ML działają lokalnie i do chmury trafiają tylko zdarzenia, metadane, dokumenty PoL i PoC oraz wybrane zdjęcia. Pomiar prowadzimy w teście platformy embedded w Z7 i w co najmniej 180 kursach Z9. Wskaźnik osiąga w całości Everest11, a PRz przelicza wynik niezależnie.</w:t>
      </w:r>
    </w:p>
    <w:p>
      <w:pPr>
        <w:keepNext/>
        <w:spacing w:before="160" w:after="40"/>
      </w:pPr>
      <w:r>
        <w:rPr>
          <w:b/>
          <w:sz w:val="20"/>
        </w:rPr>
        <w:t>Opis sposobu weryfikacji osiągnięcia wartości</w:t>
      </w:r>
      <w:r>
        <w:rPr>
          <w:color w:val="666666"/>
          <w:sz w:val="17"/>
        </w:rPr>
        <w:t xml:space="preserve"> [197 znaków]</w:t>
      </w:r>
    </w:p>
    <w:p>
      <w:pPr>
        <w:spacing w:after="60"/>
      </w:pPr>
      <w:r>
        <w:rPr>
          <w:b w:val="0"/>
        </w:rPr>
        <w:t>Liczniki bajtów wygenerowanych przez sensory i wysłanych do chmury w logu urządzenia, raport z testu platformy embedded Z7 oraz protokół Z9, niezależne przeliczenie przez PRz na zamrożonym zbiorze.</w:t>
      </w:r>
    </w:p>
    <w:p>
      <w:pPr>
        <w:pStyle w:val="Heading3"/>
      </w:pPr>
      <w:r>
        <w:t>Pkt 8.1, wskaźnik „Liczba przedsięwzięć proekologicznych” (wartość 1, bez zmian)</w:t>
      </w:r>
    </w:p>
    <w:p>
      <w:pPr>
        <w:spacing w:after="60"/>
      </w:pPr>
      <w:r>
        <w:rPr>
          <w:b w:val="0"/>
        </w:rPr>
        <w:t>Zastąp tylko dwa pola opisowe, bo obecny tekst mówi o ograniczeniu zużycia paliwa i o zasadzie refuse.</w:t>
      </w:r>
    </w:p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[553 znaków]</w:t>
      </w:r>
    </w:p>
    <w:p>
      <w:pPr>
        <w:spacing w:after="60"/>
      </w:pPr>
      <w:r>
        <w:rPr>
          <w:b w:val="0"/>
        </w:rPr>
        <w:t>Wartość docelowa 1 odpowiada jednemu przedsięwzięciu proekologicznemu, czyli całościowemu procesowi opracowania i weryfikacji w projekcie systemu CargoDT, w którym dokumenty stanu ładunku powstają cyfrowo bez wydruku, a modele działają lokalnie na platformie embedded, bez przesyłu surowych danych do chmury. Przedsięwzięcie obejmuje zadania Z6, Z7 i Z9, a poszczególne etapy prac nie są odrębnymi przedsięwzięciami. Realizuje je Everest11, a PRz wspiera dobór lekkich architektur modeli w Z3 i Z8. Efekt mierzą dwa wskaźniki zasady reduce z sekcji 7.4.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[210 znaków]</w:t>
      </w:r>
    </w:p>
    <w:p>
      <w:pPr>
        <w:spacing w:after="60"/>
      </w:pPr>
      <w:r>
        <w:rPr>
          <w:b w:val="0"/>
        </w:rPr>
        <w:t>Protokół z Z9 z wynikami obu wskaźników zasady reduce: licznik i rejestr wydruków dokumentów w 250 kursach testowych oraz liczniki bajtów wygenerowanych i wysłanych w logu urządzenia w teście Z7 i w kursach Z9.</w:t>
      </w:r>
    </w:p>
    <w:p>
      <w:pPr>
        <w:pStyle w:val="Heading1"/>
      </w:pPr>
      <w:r>
        <w:t>7. Zmiany w innych miejscach wniosku</w:t>
      </w:r>
    </w:p>
    <w:p>
      <w:pPr>
        <w:pStyle w:val="ListBullet"/>
      </w:pPr>
      <w:r>
        <w:rPr>
          <w:b/>
        </w:rPr>
        <w:t>Pkt 7.1, 7.2, 7.3:</w:t>
      </w:r>
      <w:r>
        <w:rPr>
          <w:b w:val="0"/>
        </w:rPr>
        <w:t xml:space="preserve"> zastąp całe dotychczasowe teksty. W starych tekstach zestaw retrofit był „neutralny, bez użytkowników”, a opisy zadań mają panel HMI i buzzer dla kierowcy.</w:t>
      </w:r>
    </w:p>
    <w:p>
      <w:pPr>
        <w:pStyle w:val="ListBullet"/>
      </w:pPr>
      <w:r>
        <w:rPr>
          <w:b/>
        </w:rPr>
        <w:t>Pkt 7.4:</w:t>
      </w:r>
      <w:r>
        <w:rPr>
          <w:b w:val="0"/>
        </w:rPr>
        <w:t xml:space="preserve"> wariant z A na B (lista rozwijana), zasada tylko reduce.</w:t>
      </w:r>
    </w:p>
    <w:p>
      <w:pPr>
        <w:pStyle w:val="ListBullet"/>
      </w:pPr>
      <w:r>
        <w:rPr>
          <w:b/>
        </w:rPr>
        <w:t>Pkt 1.2, wskaźnik „Poprawa wskaźnika wykorzystania kubatury naczepy (fill rate)”:</w:t>
      </w:r>
      <w:r>
        <w:rPr>
          <w:b w:val="0"/>
        </w:rPr>
        <w:t xml:space="preserve"> powinien być już usunięty zgodnie z pakietem wskaźników innowacyjności. Sprawdź, że nie został w sekcji 1.2.</w:t>
      </w:r>
    </w:p>
    <w:p>
      <w:pPr>
        <w:pStyle w:val="ListBullet"/>
      </w:pPr>
      <w:r>
        <w:rPr>
          <w:b/>
        </w:rPr>
        <w:t>Wszędzie w opisie projektu:</w:t>
      </w:r>
      <w:r>
        <w:rPr>
          <w:b w:val="0"/>
        </w:rPr>
        <w:t xml:space="preserve"> nie pisz, że CargoDT ogranicza zużycie paliwa lub emisje, jeśli nie ma tego pomiaru. Dopuszczalne: wspiera dokumentację cyfrową i przetwarzanie lokalne.</w:t>
      </w:r>
    </w:p>
    <w:p>
      <w:pPr>
        <w:pStyle w:val="ListBullet"/>
      </w:pPr>
      <w:r>
        <w:rPr>
          <w:b/>
        </w:rPr>
        <w:t>Panel dyspozytora:</w:t>
      </w:r>
      <w:r>
        <w:rPr>
          <w:b w:val="0"/>
        </w:rPr>
        <w:t xml:space="preserve"> opisy zadań wyłączają z projektu produkcyjny dashboard TMS. Dlatego w 7.1 panel opisano jako wynik projektu weryfikowany w badaniu UX w Z9, a pełne wdrożenie komercyjne następuje po projekcie według tej samej specyfikacji. W pkt 7.1 starego wniosku zdanie „zaprojektowana i wdrożona” zastąpiono tym ujęciem.</w:t>
      </w:r>
    </w:p>
    <w:p>
      <w:pPr>
        <w:pStyle w:val="Heading1"/>
      </w:pPr>
      <w:r>
        <w:t>8. Do potwierdzenia przez Ciebie, zarząd Everest11 i PRz</w:t>
      </w:r>
    </w:p>
    <w:p>
      <w:pPr>
        <w:spacing w:after="60"/>
      </w:pPr>
      <w:r>
        <w:rPr>
          <w:b w:val="0"/>
        </w:rPr>
        <w:t>Poniższe zdania są zobowiązaniami albo faktami, których nie mogłam sprawdzić. Jeśli któreś nie odpowiada stanowi faktycznemu, zmień zdanie, a nie tylko pole.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Co jest w tekście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Kto potwierdza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Everest11 przyjmie do 31.10.2026 cztery dokumenty (polityka równego traktowania, procedura rekrutacji i wynagradzania, polityka godzenia pracy z życiem prywatnym, polityka danych). Jeśli któryś już obowiązuje, zmień „przyjmie” na „stosuje”.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Zarząd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PRz: Plan Równości Płci wprowadzony zarządzeniem Rektora nr 91 z 28.10.2022 (źródło: strona PRz, plan na lata 2022-2025), regulamin pracy, kodeks etyki, regulacje antymobbingowe. Potwierdź, że obowiązuje plan także po 2025.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Zobowiązania równościowe: cel 30% kobiet wśród rekrutowanych, co najmniej jedna kobieta na rozmowie, komisja z kobietą i mężczyzną, próg 5% różnicy płac, spotkania 9.00-15.00, koszty dostosowań własne.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Zarząd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Rozmywanie lub usuwanie klatek z wizerunkiem osoby przed anotacją i przekazaniem zbioru do PRz oraz informowanie kierowców według art. 13 RODO.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Dział techniczny, Cybersecurity Specialist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Lista kontrolna dostępności w badaniu UX w Z9 (kontrast 4,5:1, klawiatura, NVDA, alerty) jako kryterium odbioru Z9 oraz kryteria dostępności w specyfikacji w Z1. Rozważ dopisanie ich do opisu Z1 i Z9.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Dział techniczny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7 stanowisk do rekrutacji (4 Everest11, 3 PRz) i 14 osób imiennie w zespole (9 Everest11, 5 PRz), w tym 3 kobiety. Zgodne z pkt 6.1. Stary tekst miał 16 osób i 10 stanowisk (rozbieżność N60 rozwiązana).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Ty, 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Papier: w dotychczasowej praktyce Everest11 cykl załadunek-rozładunek wymaga 2 dokumentów po 1 stronie A4 i nie ma ich cyfrowych odpowiedników w tych kursach. Cel: co najmniej 90% mniej, czyli nie więcej niż 50 stron na 250 cykli.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Ty,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Dane do chmury: co najmniej 95% mniej niż surowy strumień. Przy 3-4 kamerach i radarze to cel bardzo ostrożny, bo surowy strumień jest o rzędy większy niż zdarzenia i dokumenty. Wymaga potwierdzenia pomiarem w Z7.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Dział techniczny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Rola PRz w 6R ograniczona do doboru lekkich architektur w Z3 i Z8 i niezależnego przeliczenia wolumenu. Potwierdź, że to pokrywa się z zakresem zadań PRz.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Everest11 oceni dostępność biura przed zatrudnieniem osoby z niepełnosprawnością ruchową. Nie opisałam szerokości drzwi ani windy, bo nie znam budynku przy Książkowej. Jeśli biuro jest dostępne, możesz dopisać zdanie z danymi, co wzmocni punkt 7.1.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</w:t>
            </w:r>
          </w:p>
        </w:tc>
      </w:tr>
    </w:tbl>
    <w:p/>
    <w:p>
      <w:pPr>
        <w:pStyle w:val="Heading1"/>
      </w:pPr>
      <w:r>
        <w:t>9.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K10-01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akapity o dokumentach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K10-02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zatrudnienie osób różnej rasy i religii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K10-03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zatrudnienie osób z niepełnosprawnościami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K10-04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uniwersalne projektowanie w B+R i internacjonalizacji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K10-05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tabela 7 pozycji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K10-06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pole równości kobiet i mężczyzn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K11-01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K12-01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K13-01, K13-03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7.4 i 8.2, wskaźniki w trakcie projektu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K13-02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Wariant B, reduce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K13-04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8.2, metodologia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K13-05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7.4, podział prac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K13-06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7.4, akty prawne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