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11.2026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badania eksperckie w formie wywiadów pogłębionych (100 osób) oraz określenie dodatkowych parametrów obrazów (miara sentymentu),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Nadzór psychometryczny nad rozbudową środowiska badawczego i opracowaniem algorytmów analizy sentymentu,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Współpraca z ekspertami AI przy dopracowaniu modeli AI dla reprezentatywnego modelu systemu,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walidację reprezentatywnego modelu systemu poprzez porównanie z wynikami wywiadów eksperckich.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02.12.2026</w:t>
        <w:tab/>
        <w:tab/>
        <w:tab/>
        <w:tab/>
        <w:tab/>
        <w:tab/>
        <w:tab/>
        <w:tab/>
        <w:tab/>
        <w:tab/>
        <w:tab/>
        <w:t xml:space="preserve">02.12.2026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sectPr>
      <w:head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b="0" l="0" r="0" t="0"/>
          <wp:wrapNone/>
          <wp:docPr descr="Pasek logotypów Fundudzy Europejskich: Logotyp Fundusze Europejskie dla Nowoczesnej Gospodarki, Logotyp Rzeczpospolita Polska, logotyp Dofinansowane przez Unię Europejską" id="1" name="image1.png"/>
          <a:graphic>
            <a:graphicData uri="http://schemas.openxmlformats.org/drawingml/2006/picture">
              <pic:pic>
                <pic:nvPicPr>
                  <pic:cNvPr descr="Pasek logotypów Fundudzy Europejskich: Logotyp Fundusze Europejskie dla Nowoczesnej Gospodarki, Logotyp Rzeczpospolita Polska, logotyp Dofinansowane przez Unię Europejsk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