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7f619223ae554b1f9407110490571d606c8f061"/>
    <w:p>
      <w:pPr>
        <w:pStyle w:val="Heading1"/>
      </w:pPr>
      <w:r>
        <w:t xml:space="preserve">Obowiązki Beneficjenta – Umowa nr 393/2026/Wn7/OA-IN-FM/D</w:t>
      </w:r>
    </w:p>
    <w:p>
      <w:pPr>
        <w:pStyle w:val="FirstParagraph"/>
      </w:pPr>
      <w:r>
        <w:rPr>
          <w:bCs/>
          <w:b/>
        </w:rPr>
        <w:t xml:space="preserve">Beneficjent:</w:t>
      </w:r>
      <w:r>
        <w:t xml:space="preserve"> </w:t>
      </w:r>
      <w:r>
        <w:t xml:space="preserve">MEGALOG sp. z o.o., Ciechanów</w:t>
      </w:r>
      <w:r>
        <w:t xml:space="preserve"> </w:t>
      </w:r>
      <w:r>
        <w:rPr>
          <w:bCs/>
          <w:b/>
        </w:rPr>
        <w:t xml:space="preserve">Instytucja:</w:t>
      </w:r>
      <w:r>
        <w:t xml:space="preserve"> </w:t>
      </w:r>
      <w:r>
        <w:t xml:space="preserve">NFOŚiGW (Fundusz Modernizacyjny)</w:t>
      </w:r>
      <w:r>
        <w:t xml:space="preserve"> </w:t>
      </w:r>
      <w:r>
        <w:rPr>
          <w:bCs/>
          <w:b/>
        </w:rPr>
        <w:t xml:space="preserve">Inwestycja:</w:t>
      </w:r>
      <w:r>
        <w:t xml:space="preserve"> </w:t>
      </w:r>
      <w:r>
        <w:t xml:space="preserve">„Budowa stacji ładowania dla pojazdów kat. N2/N3 w bazie eksploatacyjnej MEGALOG sp. z o.o. w Ciechanowie przy ul. Tysiąclecia 1"</w:t>
      </w:r>
      <w:r>
        <w:t xml:space="preserve"> </w:t>
      </w:r>
      <w:r>
        <w:rPr>
          <w:bCs/>
          <w:b/>
        </w:rPr>
        <w:t xml:space="preserve">Data zawarcia umowy:</w:t>
      </w:r>
      <w:r>
        <w:t xml:space="preserve"> </w:t>
      </w:r>
      <w:r>
        <w:t xml:space="preserve">30.09.2026 r. (obie strony podpisały tego dnia; § 19 ust. 11 – dzień ostatniego podpisu)</w:t>
      </w:r>
    </w:p>
    <w:p>
      <w:pPr>
        <w:pStyle w:val="BodyText"/>
      </w:pPr>
      <w:r>
        <w:t xml:space="preserve">Oznaczenia:</w:t>
      </w:r>
      <w:r>
        <w:t xml:space="preserve"> </w:t>
      </w:r>
      <w:r>
        <w:rPr>
          <w:bCs/>
          <w:b/>
        </w:rPr>
        <w:t xml:space="preserve">WO</w:t>
      </w:r>
      <w:r>
        <w:t xml:space="preserve"> </w:t>
      </w:r>
      <w:r>
        <w:t xml:space="preserve">= Warunki Ogólne (§),</w:t>
      </w:r>
      <w:r>
        <w:t xml:space="preserve"> </w:t>
      </w:r>
      <w:r>
        <w:rPr>
          <w:bCs/>
          <w:b/>
        </w:rPr>
        <w:t xml:space="preserve">WS</w:t>
      </w:r>
      <w:r>
        <w:t xml:space="preserve"> </w:t>
      </w:r>
      <w:r>
        <w:t xml:space="preserve">= Warunki Szczególne (pkt),</w:t>
      </w:r>
      <w:r>
        <w:t xml:space="preserve"> </w:t>
      </w:r>
      <w:r>
        <w:rPr>
          <w:bCs/>
          <w:b/>
        </w:rPr>
        <w:t xml:space="preserve">OŚ</w:t>
      </w:r>
      <w:r>
        <w:t xml:space="preserve"> </w:t>
      </w:r>
      <w:r>
        <w:t xml:space="preserve">= Oświadczenia Beneficjenta (rozdz. I),</w:t>
      </w:r>
      <w:r>
        <w:t xml:space="preserve"> </w:t>
      </w:r>
      <w:r>
        <w:rPr>
          <w:bCs/>
          <w:b/>
        </w:rPr>
        <w:t xml:space="preserve">DEF</w:t>
      </w:r>
      <w:r>
        <w:t xml:space="preserve"> </w:t>
      </w:r>
      <w:r>
        <w:t xml:space="preserve">= Definicje (rozdz. II).</w:t>
      </w:r>
    </w:p>
    <w:p>
      <w:pPr>
        <w:pStyle w:val="BlockText"/>
      </w:pPr>
      <w:r>
        <w:rPr>
          <w:bCs/>
          <w:b/>
        </w:rPr>
        <w:t xml:space="preserve">Zastrzeżenie.</w:t>
      </w:r>
      <w:r>
        <w:t xml:space="preserve"> </w:t>
      </w:r>
      <w:r>
        <w:t xml:space="preserve">W pliku PDF nie ma załączników 1–10 (m.in. Harmonogramu rzeczowo-finansowego, Opisu Inwestycji, wzorów wniosku, rozliczenia, raportu, oświadczeń, DNSH). Umowa odsyła do nich, a one mogą zawierać dalsze obowiązki. Należy je sprawdzić osobno. Poniższe zestawienie obejmuje wyłącznie treść 30 stron umowy. To analiza treści, nie porada prawna.</w:t>
      </w:r>
    </w:p>
    <w:p>
      <w:r>
        <w:pict>
          <v:rect style="width:0;height:1.5pt" o:hralign="center" o:hrstd="t" o:hr="t"/>
        </w:pict>
      </w:r>
    </w:p>
    <w:bookmarkStart w:id="20" w:name="X4236cb655c599c4a67867c9443f8df2935365dd"/>
    <w:p>
      <w:pPr>
        <w:pStyle w:val="Heading2"/>
      </w:pPr>
      <w:r>
        <w:t xml:space="preserve">0. Dane kluczowe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Wartość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Źródło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Koszt całkowity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4 972 398,00 zł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Koszty kwalifikowane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4 042 600,00 zł (w całości inwestycyjne, zadań bieżących 0 zł)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Koszty niekwalifikowane (= wkład własny)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929 798,00 zł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2, OŚ 1e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Dotacja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4 042 600,00 zł, nie więcej niż 100% kosztów kwalifikowanych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12a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Zwiększenie dotacji przy wyższych kosztach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niemożliwe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Początek realizacji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01.07.2026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Koniec realizacji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31.12.2026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Efekt rzeczowy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szt. wybudowanych ogólnodostępnych stacji ładowania DC ≥ 350 kW (N2/N3), 0 szt. rozbudowanych; termin 31.12.2026; tolerancja −5%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Efekt ekologiczny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redukcja CO2 6 840 Mg/rok; termin 31.12.2026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Okres trwałości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Przewidywany okres istnienia inwestycji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Kara umowna (wysokość)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404 260,00 zł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12d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Płatność końcowa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dotacji = 202 130,00 zł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12c,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 wypłat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refundacja (zaliczek brak)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13–14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d52ff88803c5b514ec799e89756011ccee17f2e"/>
    <w:p>
      <w:pPr>
        <w:pStyle w:val="Heading2"/>
      </w:pPr>
      <w:r>
        <w:t xml:space="preserve">1. Kalendarz terminów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Źródło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14.10.2026</w:t>
            </w:r>
            <w:r>
              <w:t xml:space="preserve"> </w:t>
            </w:r>
            <w:r>
              <w:t xml:space="preserve">(10 dni roboczych od 30.09.2026; do potwierdzenia)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Przekazać osobom fizycznym (reprezentantom, pracownikom, współpracownikom) klauzulę informacyjną RODO NFOŚiGW (zał. 7). Na żądanie NFOŚiGW potwierdzić to w ciągu 5 dni roboczych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 § 18 ust. 4–5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Przed pierwszą wypłatą (grudzień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Ustanowić zabezpieczenie (weksel in blanco + deklaracja wekslowa) i przekazać dokumenty NFOŚiGW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 § 2 ust. 4, § 3 ust. 1, § 13 ust. 2; WS 16–17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 najmniej 14 dni przed terminem wypłaty transzy (przy transzy 1 okno 01–20.12.2026 – konserwatywnie ok.</w:t>
            </w:r>
            <w:r>
              <w:t xml:space="preserve"> </w:t>
            </w:r>
            <w:r>
              <w:rPr>
                <w:bCs/>
                <w:b/>
              </w:rPr>
              <w:t xml:space="preserve">17.11.2026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Złożyć wniosek o wypłatę (refundacja) z załącznikami, warunki przyłączenia do sieci, dokumenty o prawie do nieruchomości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01.07.2026 –</w:t>
            </w:r>
            <w:r>
              <w:t xml:space="preserve"> </w:t>
            </w:r>
            <w:r>
              <w:rPr>
                <w:bCs/>
                <w:b/>
              </w:rPr>
              <w:t xml:space="preserve">31.12.2026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Zrealizować inwestycję, odebrać ją, uzyskać dopuszczenie UDT/pozwolenie na użytkowanie. Osiągnąć efekt rzeczowy i ekologiczny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3, 4, 6, 7; WO § 9 ust.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ok.</w:t>
            </w:r>
            <w:r>
              <w:t xml:space="preserve"> </w:t>
            </w:r>
            <w:r>
              <w:rPr>
                <w:bCs/>
                <w:b/>
              </w:rPr>
              <w:t xml:space="preserve">30.03.2027</w:t>
            </w:r>
            <w:r>
              <w:t xml:space="preserve"> </w:t>
            </w:r>
            <w:r>
              <w:t xml:space="preserve">(6 miesięcy od 30.09.2026)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Uzyskać warunki przyłączeniowe od OSD (patrz uwaga w pkt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18a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 dni od zakończenia realizacji</w:t>
            </w:r>
            <w:r>
              <w:t xml:space="preserve"> </w:t>
            </w:r>
            <w:r>
              <w:t xml:space="preserve">(przy zakończeniu 31.12.2026 ok. 14.02.2027, a ponieważ to niedziela, wg § 16 ust. 6 WO ok. 15.02.2027)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Rozliczenie końcowe wykorzystania dotacji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 § 3 ust.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 dni od zakończenia realizacji</w:t>
            </w:r>
            <w:r>
              <w:t xml:space="preserve"> </w:t>
            </w:r>
            <w:r>
              <w:t xml:space="preserve">(przy 31.12.2026 ok. 01.03.2027)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Komplet dokumentów potwierdzających efekt rzeczowy i ekologiczny (WS 9 a–m)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9, 10; WO § 9 ust.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Okno 01–28.02.2027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Płatność końcowa 5% (po akceptacji dokumentów, najpóźniej 14 dni od akceptacji)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</w:t>
            </w:r>
            <w:r>
              <w:t xml:space="preserve"> </w:t>
            </w:r>
            <w:r>
              <w:rPr>
                <w:bCs/>
                <w:b/>
              </w:rPr>
              <w:t xml:space="preserve">30 dni od końca każdego roku kalendarzowego</w:t>
            </w:r>
            <w:r>
              <w:t xml:space="preserve"> </w:t>
            </w:r>
            <w:r>
              <w:t xml:space="preserve">okresu trwałości (np. do 30.01)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Dokumenty trwałości (WS 11 a–d) i roczny raport (zał.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11; WO § 10 ust.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 koniec 5-letniego okresu trwałości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Raport końcowy weryfikacji zasady DNSH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11e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Cały okres trwałości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Przechowywanie dokumentów księgowych, płatności i protokołów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 § 6 ust. 5, § 10 ust. 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X14a227c8edf8d11d41b1b5147ede90018e67030"/>
    <w:p>
      <w:pPr>
        <w:pStyle w:val="Heading2"/>
      </w:pPr>
      <w:r>
        <w:t xml:space="preserve">2. Oświadczenia Beneficjenta (rozdz. I) – utrzymanie ich prawdziwości</w:t>
      </w:r>
    </w:p>
    <w:p>
      <w:pPr>
        <w:pStyle w:val="FirstParagraph"/>
      </w:pPr>
      <w:r>
        <w:t xml:space="preserve">Beneficjent oświadczył i zapewnił, że: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1a</w:t>
      </w:r>
      <w:r>
        <w:t xml:space="preserve"> </w:t>
      </w:r>
      <w:r>
        <w:t xml:space="preserve">– zawarcie umowy nie narusza aktów założycielskich ani regulacji dotyczących działania spółki.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1b</w:t>
      </w:r>
      <w:r>
        <w:t xml:space="preserve"> </w:t>
      </w:r>
      <w:r>
        <w:t xml:space="preserve">– nie toczy się wobec niego postępowanie upadłościowe, naprawcze, egzekucyjne ani restrukturyzacyjne. Nie ma przesłanek do ich wszczęcia.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1c</w:t>
      </w:r>
      <w:r>
        <w:t xml:space="preserve"> </w:t>
      </w:r>
      <w:r>
        <w:t xml:space="preserve">– wszystkie dokumenty, dane, informacje i oświadczenia przekazane NFOŚiGW są prawdziwe i kompletne. Nieprawdziwe lub niepełne dane we wniosku lub dokumentach rozliczeniowych dają podstawę do wypowiedzenia (WO § 12 ust. 1e).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1d</w:t>
      </w:r>
      <w:r>
        <w:t xml:space="preserve"> </w:t>
      </w:r>
      <w:r>
        <w:t xml:space="preserve">– zawarcie umowy i dotacja nie naruszają przepisów o pomocy publicznej.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1e</w:t>
      </w:r>
      <w:r>
        <w:t xml:space="preserve"> </w:t>
      </w:r>
      <w:r>
        <w:t xml:space="preserve">– dysponuje wkładem własnym (różnica między kosztem całkowitym a dotacją, tu 929 798 zł).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1f</w:t>
      </w:r>
      <w:r>
        <w:t xml:space="preserve"> </w:t>
      </w:r>
      <w:r>
        <w:t xml:space="preserve">– status prawny: N, jednostka spoza finansów publicznych.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1g</w:t>
      </w:r>
      <w:r>
        <w:t xml:space="preserve"> </w:t>
      </w:r>
      <w:r>
        <w:t xml:space="preserve">– te same koszty nie zostały i nie zostaną sfinansowane z innych środków publicznych krajowych lub zagranicznych, w tym z budżetu UE (patrz też WS 21 pkt 3).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1h</w:t>
      </w:r>
      <w:r>
        <w:t xml:space="preserve"> </w:t>
      </w:r>
      <w:r>
        <w:t xml:space="preserve">– jest podatnikiem VAT.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1i</w:t>
      </w:r>
      <w:r>
        <w:t xml:space="preserve"> </w:t>
      </w:r>
      <w:r>
        <w:t xml:space="preserve">– VAT nie stanowi kosztu inwestycji. Wszystkie kwoty w Harmonogramie rzeczowo-finansowym są</w:t>
      </w:r>
      <w:r>
        <w:t xml:space="preserve"> </w:t>
      </w:r>
      <w:r>
        <w:rPr>
          <w:bCs/>
          <w:b/>
        </w:rPr>
        <w:t xml:space="preserve">netto</w:t>
      </w:r>
      <w:r>
        <w:t xml:space="preserve">. W konsekwencji:</w:t>
      </w:r>
      <w:r>
        <w:t xml:space="preserve"> </w:t>
      </w:r>
      <w:r>
        <w:rPr>
          <w:bCs/>
          <w:b/>
        </w:rPr>
        <w:t xml:space="preserve">koszt VAT jest niekwalifikowany</w:t>
      </w:r>
      <w:r>
        <w:t xml:space="preserve">, a w razie wątpliwości co do możliwości odliczenia trzeba złożyć właściwe oświadczenie VAT (WO § 2 ust. 5).</w:t>
      </w:r>
    </w:p>
    <w:p>
      <w:pPr>
        <w:pStyle w:val="FirstParagraph"/>
      </w:pPr>
      <w:r>
        <w:rPr>
          <w:bCs/>
          <w:b/>
        </w:rPr>
        <w:t xml:space="preserve">Dokumentacja fotograficzna (OŚ 2):</w:t>
      </w:r>
    </w:p>
    <w:p>
      <w:pPr>
        <w:numPr>
          <w:ilvl w:val="0"/>
          <w:numId w:val="1002"/>
        </w:numPr>
        <w:pStyle w:val="Compact"/>
      </w:pPr>
      <w:r>
        <w:t xml:space="preserve">Na każde wezwanie NFOŚiGW, w trakcie realizacji i po jej zakończeniu, przesłać dokumentację fotograficzną (min. 5 zdjęć) na adres</w:t>
      </w:r>
      <w:r>
        <w:t xml:space="preserve"> </w:t>
      </w:r>
      <w:hyperlink r:id="rId22">
        <w:r>
          <w:rPr>
            <w:rStyle w:val="Hyperlink"/>
            <w:bCs/>
            <w:b/>
          </w:rPr>
          <w:t xml:space="preserve">media@nfosigw.gov.pl</w:t>
        </w:r>
      </w:hyperlink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Wymogi (2.1.1–2.1.2): plik jpg, min. 4 megapiksele, pełny kolor, krótki opis zdjęcia, wskazanie autora,</w:t>
      </w:r>
      <w:r>
        <w:t xml:space="preserve"> </w:t>
      </w:r>
      <w:r>
        <w:rPr>
          <w:bCs/>
          <w:b/>
        </w:rPr>
        <w:t xml:space="preserve">bez wizerunków ludzi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Licencja (2.2–2.4): nieodpłatna, bezterminowa, bez ograniczeń terytorialnych, niewyłączna, na pola eksploatacji z pkt 2.3. Obejmuje prawo do opracowań, zmian i skrótów. Beneficjent musi mieć uprawnienie do udzielania dalszych licencji.</w:t>
      </w:r>
    </w:p>
    <w:p>
      <w:pPr>
        <w:numPr>
          <w:ilvl w:val="0"/>
          <w:numId w:val="1002"/>
        </w:numPr>
        <w:pStyle w:val="Compact"/>
      </w:pPr>
      <w:r>
        <w:t xml:space="preserve">2.5 – zapewnić, że korzystanie ze zdjęć nie naruszy praw osób trzecich.</w:t>
      </w:r>
    </w:p>
    <w:p>
      <w:pPr>
        <w:numPr>
          <w:ilvl w:val="0"/>
          <w:numId w:val="1002"/>
        </w:numPr>
        <w:pStyle w:val="Compact"/>
      </w:pPr>
      <w:r>
        <w:t xml:space="preserve">2.6 – przenieść na NFOŚiGW własność nośników ze zdjęciami.</w:t>
      </w:r>
    </w:p>
    <w:p>
      <w:r>
        <w:pict>
          <v:rect style="width:0;height:1.5pt" o:hralign="center" o:hrstd="t" o:hr="t"/>
        </w:pict>
      </w:r>
    </w:p>
    <w:bookmarkEnd w:id="23"/>
    <w:bookmarkStart w:id="41" w:name="X5469a0654c468aef9cf2b73b754ee2a7fd9b030"/>
    <w:p>
      <w:pPr>
        <w:pStyle w:val="Heading2"/>
      </w:pPr>
      <w:r>
        <w:t xml:space="preserve">3. Warunki Ogólne – obowiązki według paragrafów</w:t>
      </w:r>
    </w:p>
    <w:bookmarkStart w:id="24" w:name="Xc49c29734cc2ed212fb2ee5beaf9e4728057181"/>
    <w:p>
      <w:pPr>
        <w:pStyle w:val="Heading3"/>
      </w:pPr>
      <w:r>
        <w:t xml:space="preserve">§ 2 – Postanowienia ogólne</w:t>
      </w:r>
    </w:p>
    <w:p>
      <w:pPr>
        <w:numPr>
          <w:ilvl w:val="0"/>
          <w:numId w:val="1003"/>
        </w:numPr>
        <w:pStyle w:val="Compact"/>
      </w:pPr>
      <w:r>
        <w:t xml:space="preserve">W razie niezgodności pierwszeństwo mają Warunki Szczególne (ust. 2).</w:t>
      </w:r>
    </w:p>
    <w:p>
      <w:pPr>
        <w:numPr>
          <w:ilvl w:val="0"/>
          <w:numId w:val="1003"/>
        </w:numPr>
        <w:pStyle w:val="Compact"/>
      </w:pPr>
      <w:r>
        <w:t xml:space="preserve">Składać prawidłowo sporządzone i kompletne dokumenty wskazane w umowie, w szczególności potwierdzające ustanowienie zabezpieczeń. Sankcją jest zawieszenie wypłaty i wypowiedzenie umowy (ust. 3).</w:t>
      </w:r>
    </w:p>
    <w:p>
      <w:pPr>
        <w:numPr>
          <w:ilvl w:val="0"/>
          <w:numId w:val="1003"/>
        </w:numPr>
        <w:pStyle w:val="Compact"/>
      </w:pPr>
      <w:r>
        <w:t xml:space="preserve">Dokumenty z ust. 3 złożyć w terminach z WS, najpóźniej przed terminem przekazania pierwszej transzy (ust. 4).</w:t>
      </w:r>
    </w:p>
    <w:p>
      <w:pPr>
        <w:numPr>
          <w:ilvl w:val="0"/>
          <w:numId w:val="1003"/>
        </w:numPr>
        <w:pStyle w:val="Compact"/>
      </w:pPr>
      <w:r>
        <w:t xml:space="preserve">Złożyć właściwe oświadczenie, czy w związku z inwestycją będzie miał możliwość odliczenia VAT. VAT jest kosztem kwalifikowanym tylko wtedy, gdy jest faktycznie i ostatecznie poniesiony i nie ma prawnej możliwości jego odliczenia w jakiejkolwiek części. VAT możliwy do odliczenia nie jest kwalifikowany, nawet jeśli Beneficjent z odliczenia zrezygnował (ust. 5).</w:t>
      </w:r>
    </w:p>
    <w:p>
      <w:pPr>
        <w:numPr>
          <w:ilvl w:val="0"/>
          <w:numId w:val="1003"/>
        </w:numPr>
        <w:pStyle w:val="Compact"/>
      </w:pPr>
      <w:r>
        <w:t xml:space="preserve">Dotacja nie podlega waloryzacji inflacyjnej (ust. 6).</w:t>
      </w:r>
    </w:p>
    <w:p>
      <w:pPr>
        <w:numPr>
          <w:ilvl w:val="0"/>
          <w:numId w:val="1003"/>
        </w:numPr>
        <w:pStyle w:val="Compact"/>
      </w:pPr>
      <w:r>
        <w:t xml:space="preserve">Wszelkie koszty zawarcia i realizacji umowy ponosi Beneficjent (ust. 7).</w:t>
      </w:r>
    </w:p>
    <w:bookmarkEnd w:id="24"/>
    <w:bookmarkStart w:id="25" w:name="X91b18cab2cceaeb9a4c0edf645bc255682dc05e"/>
    <w:p>
      <w:pPr>
        <w:pStyle w:val="Heading3"/>
      </w:pPr>
      <w:r>
        <w:t xml:space="preserve">§ 3 – Warunki wypłaty dotacji</w:t>
      </w:r>
    </w:p>
    <w:p>
      <w:pPr>
        <w:numPr>
          <w:ilvl w:val="0"/>
          <w:numId w:val="1004"/>
        </w:numPr>
        <w:pStyle w:val="Compact"/>
      </w:pPr>
      <w:r>
        <w:t xml:space="preserve">Warunek wypłaty: ustanowienie zabezpieczeń z WS i zaakceptowanie przez NFOŚiGW dokumentów je potwierdzających (ust. 1).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Wniosek o wypłatę środków</w:t>
      </w:r>
      <w:r>
        <w:t xml:space="preserve"> </w:t>
      </w:r>
      <w:r>
        <w:t xml:space="preserve">składać na wzorze z załącznika do umowy, z opisem inwestycji i Harmonogramem rzeczowo-finansowym. Wniosek jest jednocześnie potwierdzeniem realizacji inwestycji (w całości lub części). Wypełniać go w</w:t>
      </w:r>
      <w:r>
        <w:t xml:space="preserve"> </w:t>
      </w:r>
      <w:r>
        <w:rPr>
          <w:bCs/>
          <w:b/>
        </w:rPr>
        <w:t xml:space="preserve">Generatorze Wniosków</w:t>
      </w:r>
      <w:r>
        <w:t xml:space="preserve"> </w:t>
      </w:r>
      <w:r>
        <w:t xml:space="preserve">i złożyć jedną z form (ust. 2):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wydruk z kodem kreskowym (sumą kontrolną), podpisany zgodnie z reprezentacją, złożony pocztą, kurierem lub osobiście,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PDF z kodem kreskowym, podpisany kwalifikowanym podpisem elektronicznym, przez ePUAP lub adres do doręczeń elektronicznych,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wniosek elektroniczny z sumą kontrolną, podpisany kwalifikowanym podpisem, przez mechanizmy Generatora.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Brak dostępu do Generatora</w:t>
      </w:r>
      <w:r>
        <w:t xml:space="preserve"> </w:t>
      </w:r>
      <w:r>
        <w:t xml:space="preserve">z przyczyn technicznych: wniosek można złożyć tylko pisemnie, podpisany przez osobę upoważnioną. Po przywróceniu dostępu trzeba</w:t>
      </w:r>
      <w:r>
        <w:t xml:space="preserve"> </w:t>
      </w:r>
      <w:r>
        <w:rPr>
          <w:bCs/>
          <w:b/>
        </w:rPr>
        <w:t xml:space="preserve">niezwłocznie, nie później niż w 3 dni</w:t>
      </w:r>
      <w:r>
        <w:t xml:space="preserve">, złożyć wniosek przez Generator, nawet jeśli wniosek papierowy już złożono (ust. 3).</w:t>
      </w:r>
    </w:p>
    <w:p>
      <w:pPr>
        <w:numPr>
          <w:ilvl w:val="0"/>
          <w:numId w:val="1004"/>
        </w:numPr>
        <w:pStyle w:val="Compact"/>
      </w:pPr>
      <w:r>
        <w:t xml:space="preserve">Przed złożeniem wniosku w trybie awaryjnym</w:t>
      </w:r>
      <w:r>
        <w:t xml:space="preserve"> </w:t>
      </w:r>
      <w:r>
        <w:rPr>
          <w:bCs/>
          <w:b/>
        </w:rPr>
        <w:t xml:space="preserve">uzyskać potwierdzenie braku dostępu</w:t>
      </w:r>
      <w:r>
        <w:t xml:space="preserve"> </w:t>
      </w:r>
      <w:r>
        <w:t xml:space="preserve">od pracownika NFOŚiGW właściwego ds. informatyki (ust. 4).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Opis faktur i dokumentów księgowych</w:t>
      </w:r>
      <w:r>
        <w:t xml:space="preserve"> </w:t>
      </w:r>
      <w:r>
        <w:t xml:space="preserve">(ust. 5):</w:t>
      </w:r>
    </w:p>
    <w:p>
      <w:pPr>
        <w:numPr>
          <w:ilvl w:val="1"/>
          <w:numId w:val="1006"/>
        </w:numPr>
        <w:pStyle w:val="Compact"/>
      </w:pPr>
      <w:r>
        <w:t xml:space="preserve">oryginały faktur wyszczególnione w zestawieniu muszą być zatwierdzone do wypłaty zgodnie z reprezentacją i zawierać stwierdzenie: „dofinansowano ze środków NFOŚiGW zgromadzonych na rachunku Funduszu Modernizacyjnego na podstawie umowy nr [...] w kwocie ogółem [...], w tym: – wysokość środków na realizację inwestycji i zakupów inwestycyjnych w kwocie [...] – wysokość środków na realizację zadań bieżących w kwocie [...]",</w:t>
      </w:r>
    </w:p>
    <w:p>
      <w:pPr>
        <w:numPr>
          <w:ilvl w:val="1"/>
          <w:numId w:val="1006"/>
        </w:numPr>
        <w:pStyle w:val="Compact"/>
      </w:pPr>
      <w:r>
        <w:t xml:space="preserve">jeśli faktura dotyczy w całości kosztów kwalifikowanych, opis ma wskazywać rozbicie inwestycje/zadania bieżące,</w:t>
      </w:r>
    </w:p>
    <w:p>
      <w:pPr>
        <w:numPr>
          <w:ilvl w:val="1"/>
          <w:numId w:val="1006"/>
        </w:numPr>
        <w:pStyle w:val="Compact"/>
      </w:pPr>
      <w:r>
        <w:t xml:space="preserve">jeśli dotyczy też kosztów niekwalifikowanych, opis ma wskazywać wysokość kosztów kwalifikowanych.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 każdego wniosku o wypłatę</w:t>
      </w:r>
      <w:r>
        <w:t xml:space="preserve"> </w:t>
      </w:r>
      <w:r>
        <w:t xml:space="preserve">dołączyć poświadczone za zgodność z oryginałem kserokopie faktur o najwyższej wartości kosztów kwalifikowanych spośród wskazanych w zestawieniu, opiewające na</w:t>
      </w:r>
      <w:r>
        <w:t xml:space="preserve"> </w:t>
      </w:r>
      <w:r>
        <w:rPr>
          <w:bCs/>
          <w:b/>
        </w:rPr>
        <w:t xml:space="preserve">sumę min. 10% kosztów kwalifikowanych</w:t>
      </w:r>
      <w:r>
        <w:t xml:space="preserve"> </w:t>
      </w:r>
      <w:r>
        <w:t xml:space="preserve">rozliczanych w danym wniosku. Dołączyć też poświadczone kopie protokołów odbioru. Poświadczają osoby uprawnione do reprezentacji. Przy wnioskach elektronicznych (ust. 2 lit. c) skany wykonać z oryginałów i zaznaczyć we wniosku właściwe oświadczenie.</w:t>
      </w:r>
    </w:p>
    <w:p>
      <w:pPr>
        <w:numPr>
          <w:ilvl w:val="0"/>
          <w:numId w:val="1004"/>
        </w:numPr>
        <w:pStyle w:val="Compact"/>
      </w:pPr>
      <w:r>
        <w:t xml:space="preserve">Przy pozostałych oryginałach faktur muszą być załączone oryginały lub poświadczone kopie protokołów odbioru. Powinny one zawierać szczegółowy opis zrealizowanego zakresu rzeczowego i być podpisane przez uprawnionego inspektora nadzoru lub inne osoby upoważnione przez Beneficjenta.</w:t>
      </w:r>
    </w:p>
    <w:p>
      <w:pPr>
        <w:numPr>
          <w:ilvl w:val="0"/>
          <w:numId w:val="1004"/>
        </w:numPr>
        <w:pStyle w:val="Compact"/>
      </w:pPr>
      <w:r>
        <w:t xml:space="preserve">Oświadczenia wymagane w WS składać w</w:t>
      </w:r>
      <w:r>
        <w:t xml:space="preserve"> </w:t>
      </w:r>
      <w:r>
        <w:rPr>
          <w:bCs/>
          <w:b/>
        </w:rPr>
        <w:t xml:space="preserve">oryginałach podpisanych przez osoby upoważnione do reprezentacji</w:t>
      </w:r>
      <w:r>
        <w:t xml:space="preserve">. Pozostałe dokumenty z WS składać w oryginale, jeśli WS tak stanowią (ust. 6).</w:t>
      </w:r>
    </w:p>
    <w:p>
      <w:pPr>
        <w:numPr>
          <w:ilvl w:val="0"/>
          <w:numId w:val="1004"/>
        </w:numPr>
        <w:pStyle w:val="Compact"/>
      </w:pPr>
      <w:r>
        <w:t xml:space="preserve">NFOŚiGW kontroluje prawidłowość dokumentów rozliczeniowych. W razie braków lub zastrzeżeń Beneficjent przedkłada żądane dokumenty w formie i zakresie wskazanym przez NFOŚiGW,</w:t>
      </w:r>
      <w:r>
        <w:t xml:space="preserve"> </w:t>
      </w:r>
      <w:r>
        <w:rPr>
          <w:bCs/>
          <w:b/>
        </w:rPr>
        <w:t xml:space="preserve">w terminie nie krótszym niż 14 dni</w:t>
      </w:r>
      <w:r>
        <w:t xml:space="preserve"> </w:t>
      </w:r>
      <w:r>
        <w:t xml:space="preserve">(ust. 7). NFOŚiGW może zawiesić wypłatę lub wypłacić część uznaną za uzasadnioną (ust. 8).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 każde żądanie NFOŚiGW</w:t>
      </w:r>
      <w:r>
        <w:t xml:space="preserve"> </w:t>
      </w:r>
      <w:r>
        <w:t xml:space="preserve">okazać (ust. 9):</w:t>
      </w:r>
      <w:r>
        <w:t xml:space="preserve"> </w:t>
      </w:r>
      <w:r>
        <w:rPr>
          <w:bCs/>
          <w:b/>
        </w:rPr>
        <w:t xml:space="preserve">a)</w:t>
      </w:r>
      <w:r>
        <w:t xml:space="preserve"> </w:t>
      </w:r>
      <w:r>
        <w:t xml:space="preserve">poświadczone kopie lub oryginały faktur i dokumentów księgowych, prawidłowo opisanych, wraz z protokołami odbioru,</w:t>
      </w:r>
      <w:r>
        <w:t xml:space="preserve"> </w:t>
      </w:r>
      <w:r>
        <w:rPr>
          <w:bCs/>
          <w:b/>
        </w:rPr>
        <w:t xml:space="preserve">b)</w:t>
      </w:r>
      <w:r>
        <w:t xml:space="preserve"> </w:t>
      </w:r>
      <w:r>
        <w:t xml:space="preserve">wyciągi bankowe potwierdzające zapłatę,</w:t>
      </w:r>
      <w:r>
        <w:t xml:space="preserve"> </w:t>
      </w:r>
      <w:r>
        <w:rPr>
          <w:bCs/>
          <w:b/>
        </w:rPr>
        <w:t xml:space="preserve">c)</w:t>
      </w:r>
      <w:r>
        <w:t xml:space="preserve"> </w:t>
      </w:r>
      <w:r>
        <w:t xml:space="preserve">protokoły odbioru robót/dostaw/usług podpisane przez wykonawcę, przedstawiciela Beneficjenta i Inspektora Nadzoru (jeśli dotyczy). Dokumenty (poza lit. b i c) opisać zgodnie z ust. 5.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Rozliczenie końcowe dotacji w terminie 45 dni od zakończenia realizacji inwestycji</w:t>
      </w:r>
      <w:r>
        <w:t xml:space="preserve"> </w:t>
      </w:r>
      <w:r>
        <w:t xml:space="preserve">(ust. 13). Wypłata transzy nastąpi w ciągu 15 dni od wpływu prawidłowych dokumentów (ust. 10). Opóźnienie wynikające z zawieszenia wypłaty z przyczyn po stronie Beneficjenta nie rodzi odsetek (ust. 12).</w:t>
      </w:r>
    </w:p>
    <w:bookmarkEnd w:id="25"/>
    <w:bookmarkStart w:id="26" w:name="Xb7bb4337500d34f50d975b8f954910405a0f506"/>
    <w:p>
      <w:pPr>
        <w:pStyle w:val="Heading3"/>
      </w:pPr>
      <w:r>
        <w:t xml:space="preserve">§ 4 i § 5 – Zaliczki i zwrot pożytków</w:t>
      </w:r>
    </w:p>
    <w:p>
      <w:pPr>
        <w:pStyle w:val="FirstParagraph"/>
      </w:pPr>
      <w:r>
        <w:t xml:space="preserve">Przypis 4 i 5: przepisy mają zastosowanie tylko, gdy Strony przewidziały wypłaty zaliczkowe. W tej umowie przewidziano</w:t>
      </w:r>
      <w:r>
        <w:t xml:space="preserve"> </w:t>
      </w:r>
      <w:r>
        <w:rPr>
          <w:bCs/>
          <w:b/>
        </w:rPr>
        <w:t xml:space="preserve">wyłącznie refundację</w:t>
      </w:r>
      <w:r>
        <w:t xml:space="preserve"> </w:t>
      </w:r>
      <w:r>
        <w:t xml:space="preserve">(WS 13–14). Zaliczek i pożytków nie dotyczy. Przy ewentualnym aneksie wprowadzającym zaliczki pojawią się dodatkowe obowiązki: wyodrębniony rachunek, lokaty typu overnight, kwartalne rozliczenia pożytków w 30 dni, zwrot w 7 dni i zwrot niewykorzystanej zaliczki.</w:t>
      </w:r>
    </w:p>
    <w:bookmarkEnd w:id="26"/>
    <w:bookmarkStart w:id="27" w:name="Xc064f8e7ee68d7c46fe6d1dc02495042ed31d5b"/>
    <w:p>
      <w:pPr>
        <w:pStyle w:val="Heading3"/>
      </w:pPr>
      <w:r>
        <w:t xml:space="preserve">§ 6 – Realizacja inwestycji</w:t>
      </w:r>
    </w:p>
    <w:p>
      <w:pPr>
        <w:numPr>
          <w:ilvl w:val="0"/>
          <w:numId w:val="1007"/>
        </w:numPr>
        <w:pStyle w:val="Compact"/>
      </w:pPr>
      <w:r>
        <w:t xml:space="preserve">Realizować inwestycję zgodnie z Harmonogramem rzeczowo-finansowym, w terminie z WS, osiągnąć efekt rzeczowy i ekologiczny w terminach z WS i zapewnić trwałość (ust. 1).</w:t>
      </w:r>
    </w:p>
    <w:p>
      <w:pPr>
        <w:numPr>
          <w:ilvl w:val="0"/>
          <w:numId w:val="1007"/>
        </w:numPr>
        <w:pStyle w:val="Compact"/>
      </w:pPr>
      <w:r>
        <w:t xml:space="preserve">Jeśli harmonogram dzieli inwestycję na etapy, zapewnić terminowy odbiór każdego etapu (ust. 2).</w:t>
      </w:r>
    </w:p>
    <w:p>
      <w:pPr>
        <w:numPr>
          <w:ilvl w:val="0"/>
          <w:numId w:val="1007"/>
        </w:numPr>
        <w:pStyle w:val="Compact"/>
      </w:pPr>
      <w:r>
        <w:t xml:space="preserve">Stosować</w:t>
      </w:r>
      <w:r>
        <w:t xml:space="preserve"> </w:t>
      </w:r>
      <w:r>
        <w:rPr>
          <w:bCs/>
          <w:b/>
        </w:rPr>
        <w:t xml:space="preserve">ustawę Prawo zamówień publicznych</w:t>
      </w:r>
      <w:r>
        <w:t xml:space="preserve"> </w:t>
      </w:r>
      <w:r>
        <w:t xml:space="preserve">(wg wersji z dnia wszczęcia postępowania), jeśli wymóg wynika z ustawy (ust. 3).</w:t>
      </w:r>
    </w:p>
    <w:p>
      <w:pPr>
        <w:numPr>
          <w:ilvl w:val="0"/>
          <w:numId w:val="1007"/>
        </w:numPr>
        <w:pStyle w:val="Compact"/>
      </w:pPr>
      <w:r>
        <w:t xml:space="preserve">Jeśli Beneficjent nie jest zamawiającym stosującym PZP (ust. 4):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prowadzić i dokumentować postępowanie przejrzyście, proporcjonalnie, z zachowaniem uczciwej konkurencji i równego traktowania wykonawców,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udzielać zamówień tak, by uzyskać najlepsze efekty w stosunku do nakładów,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zawierać umowy w formie pisemnej,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zapewnić, że czynności przygotowania i przeprowadzenia postępowania wykonują osoby zapewniające bezstronność i obiektywizm.</w:t>
      </w:r>
    </w:p>
    <w:p>
      <w:pPr>
        <w:numPr>
          <w:ilvl w:val="0"/>
          <w:numId w:val="1007"/>
        </w:numPr>
        <w:pStyle w:val="Compact"/>
      </w:pPr>
      <w:r>
        <w:t xml:space="preserve">Prowadzić dokumentację przygotowania, przebiegu inwestycji i płatności tak, by można ją było zweryfikować w każdej chwili.</w:t>
      </w:r>
      <w:r>
        <w:t xml:space="preserve"> </w:t>
      </w:r>
      <w:r>
        <w:rPr>
          <w:bCs/>
          <w:b/>
        </w:rPr>
        <w:t xml:space="preserve">Przechowywać do końca okresu trwałości</w:t>
      </w:r>
      <w:r>
        <w:t xml:space="preserve"> </w:t>
      </w:r>
      <w:r>
        <w:t xml:space="preserve">(ust. 5).</w:t>
      </w:r>
    </w:p>
    <w:p>
      <w:pPr>
        <w:numPr>
          <w:ilvl w:val="0"/>
          <w:numId w:val="1007"/>
        </w:numPr>
        <w:pStyle w:val="Compact"/>
      </w:pPr>
      <w:r>
        <w:t xml:space="preserve">Jeśli roboty lub usługi mają charakter utworów (prawo autorskie): zapewnić w umowach z wykonawcami</w:t>
      </w:r>
      <w:r>
        <w:t xml:space="preserve"> </w:t>
      </w:r>
      <w:r>
        <w:rPr>
          <w:bCs/>
          <w:b/>
        </w:rPr>
        <w:t xml:space="preserve">przejście na Beneficjenta całości majątkowych praw autorskich</w:t>
      </w:r>
      <w:r>
        <w:t xml:space="preserve"> </w:t>
      </w:r>
      <w:r>
        <w:t xml:space="preserve">do wyników prac na wszystkich polach eksploatacji. Prawa muszą być wolne od obciążeń na rzecz osób trzecich, a osoby uprawnione z praw osobistych nie mogą ich wykonywać wobec Beneficjenta ani jego następców (ust. 6).</w:t>
      </w:r>
    </w:p>
    <w:bookmarkEnd w:id="27"/>
    <w:bookmarkStart w:id="28" w:name="X077b72444e335b888ee29f43c57dc202b6026c6"/>
    <w:p>
      <w:pPr>
        <w:pStyle w:val="Heading3"/>
      </w:pPr>
      <w:r>
        <w:t xml:space="preserve">§ 7 – Zmiana Harmonogramu rzeczowo-finansowego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Każda zmiana Harmonogramu wymaga pisemnej zgody NFOŚiGW</w:t>
      </w:r>
      <w:r>
        <w:t xml:space="preserve"> </w:t>
      </w:r>
      <w:r>
        <w:t xml:space="preserve">(ust. 1).</w:t>
      </w:r>
    </w:p>
    <w:p>
      <w:pPr>
        <w:numPr>
          <w:ilvl w:val="0"/>
          <w:numId w:val="1009"/>
        </w:numPr>
        <w:pStyle w:val="Compact"/>
      </w:pPr>
      <w:r>
        <w:t xml:space="preserve">Zgoda</w:t>
      </w:r>
      <w:r>
        <w:t xml:space="preserve"> </w:t>
      </w:r>
      <w:r>
        <w:rPr>
          <w:bCs/>
          <w:b/>
        </w:rPr>
        <w:t xml:space="preserve">nie jest</w:t>
      </w:r>
      <w:r>
        <w:t xml:space="preserve"> </w:t>
      </w:r>
      <w:r>
        <w:t xml:space="preserve">wymagana przy zmianach:</w:t>
      </w:r>
      <w:r>
        <w:t xml:space="preserve"> </w:t>
      </w:r>
      <w:r>
        <w:rPr>
          <w:bCs/>
          <w:b/>
        </w:rPr>
        <w:t xml:space="preserve">a)</w:t>
      </w:r>
      <w:r>
        <w:t xml:space="preserve"> </w:t>
      </w:r>
      <w:r>
        <w:t xml:space="preserve">do 1 000 zł między kwartałami w ramach tego samego działania/poddziałania, jeśli nie obniża to efektu ekologicznego, albo</w:t>
      </w:r>
      <w:r>
        <w:t xml:space="preserve"> </w:t>
      </w:r>
      <w:r>
        <w:rPr>
          <w:bCs/>
          <w:b/>
        </w:rPr>
        <w:t xml:space="preserve">b)</w:t>
      </w:r>
      <w:r>
        <w:t xml:space="preserve"> </w:t>
      </w:r>
      <w:r>
        <w:t xml:space="preserve">przesunięciach kwot między działaniami lub poddziałaniami w danym kwartale, jeśli nie zmienia to łącznej kwoty kosztów kwalifikowanych w kwartale ani dla poszczególnych działań/poddziałań (ust. 2).</w:t>
      </w:r>
    </w:p>
    <w:p>
      <w:pPr>
        <w:numPr>
          <w:ilvl w:val="0"/>
          <w:numId w:val="1009"/>
        </w:numPr>
        <w:pStyle w:val="Compact"/>
      </w:pPr>
      <w:r>
        <w:t xml:space="preserve">Wniosek o zmianę musi zawierać</w:t>
      </w:r>
      <w:r>
        <w:t xml:space="preserve"> </w:t>
      </w:r>
      <w:r>
        <w:rPr>
          <w:bCs/>
          <w:b/>
        </w:rPr>
        <w:t xml:space="preserve">uzasadnienie</w:t>
      </w:r>
      <w:r>
        <w:t xml:space="preserve"> </w:t>
      </w:r>
      <w:r>
        <w:t xml:space="preserve">oraz wpływ zmiany na realizację (rzeczową i finansową) oraz osiągnięcie efektów (ust. 3).</w:t>
      </w:r>
    </w:p>
    <w:p>
      <w:pPr>
        <w:numPr>
          <w:ilvl w:val="0"/>
          <w:numId w:val="1009"/>
        </w:numPr>
        <w:pStyle w:val="Compact"/>
      </w:pPr>
      <w:r>
        <w:t xml:space="preserve">W razie zmiany Harmonogramu Strony mogą odpowiednio zmienić harmonogramy wypłat (ust. 4). Zmiana Harmonogramu rzeczowo-finansowego nie wymaga aneksu (§ 19 ust. 2).</w:t>
      </w:r>
    </w:p>
    <w:bookmarkEnd w:id="28"/>
    <w:bookmarkStart w:id="29" w:name="Xdfe5e0d06f15f15f8aab6566c7fe3f09b4d63f1"/>
    <w:p>
      <w:pPr>
        <w:pStyle w:val="Heading3"/>
      </w:pPr>
      <w:r>
        <w:t xml:space="preserve">§ 8 – Obowiązki sprawozdawcze i kontrola</w:t>
      </w:r>
    </w:p>
    <w:p>
      <w:pPr>
        <w:numPr>
          <w:ilvl w:val="0"/>
          <w:numId w:val="1010"/>
        </w:numPr>
        <w:pStyle w:val="Compact"/>
      </w:pPr>
      <w:r>
        <w:t xml:space="preserve">Gdy inwestycja realizowana jest niezgodnie z umową: złożyć wniosek o zmianę Harmonogramu, aktualny opis inwestycji lub informację uzasadniającą powody odstępstw (zwłaszcza takich, które mogą wpłynąć na efekt rzeczowy lub ekologiczny) przy składaniu dokumentów rozliczeniowych (ust. 1).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Informować NFOŚiGW</w:t>
      </w:r>
      <w:r>
        <w:t xml:space="preserve"> </w:t>
      </w:r>
      <w:r>
        <w:t xml:space="preserve">o wszelkich okolicznościach dotyczących Beneficjenta lub inwestycji, które mogą skutkować naruszeniem umowy, Harmonogramu lub obowiązku osiągnięcia efektów. W szczególności: zmniejszenie wkładu własnego i przekroczenie dopuszczalnego udziału dotacji (ust. 2).</w:t>
      </w:r>
      <w:r>
        <w:t xml:space="preserve"> </w:t>
      </w:r>
      <w:r>
        <w:rPr>
          <w:bCs/>
          <w:b/>
        </w:rPr>
        <w:t xml:space="preserve">Termin: 14 dni od uzyskania informacji</w:t>
      </w:r>
      <w:r>
        <w:t xml:space="preserve"> </w:t>
      </w:r>
      <w:r>
        <w:t xml:space="preserve">(ust. 3).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Umożliwić kontrole</w:t>
      </w:r>
      <w:r>
        <w:t xml:space="preserve"> </w:t>
      </w:r>
      <w:r>
        <w:t xml:space="preserve">(ust. 4): w każdej chwili przedstawić informacje i dokumenty, udostępnić miejsce realizacji do oględzin, kontroli i wizyt monitoringowych. NFOŚiGW może kontrolować dokumenty i prace wykonawców oraz podwykonawców.</w:t>
      </w:r>
    </w:p>
    <w:p>
      <w:pPr>
        <w:numPr>
          <w:ilvl w:val="0"/>
          <w:numId w:val="1010"/>
        </w:numPr>
        <w:pStyle w:val="Compact"/>
      </w:pPr>
      <w:r>
        <w:t xml:space="preserve">Na żądanie dostarczyć informacje o efekcie rzeczowym i ekologicznym: oszczędności energii (MWh), skumulowane oszczędności do końca okresu istnienia, redukcja emisji CO2 i skumulowana redukcja, w stosownych przypadkach dodatkowa moc OZE (ust. 5).</w:t>
      </w:r>
    </w:p>
    <w:p>
      <w:pPr>
        <w:numPr>
          <w:ilvl w:val="0"/>
          <w:numId w:val="1010"/>
        </w:numPr>
        <w:pStyle w:val="Compact"/>
      </w:pPr>
      <w:r>
        <w:t xml:space="preserve">Współpracować z NFOŚiGW przy kontroli (ust. 6).</w:t>
      </w:r>
    </w:p>
    <w:p>
      <w:pPr>
        <w:numPr>
          <w:ilvl w:val="0"/>
          <w:numId w:val="1010"/>
        </w:numPr>
        <w:pStyle w:val="Compact"/>
      </w:pPr>
      <w:r>
        <w:t xml:space="preserve">Na żądanie NFOŚiGW</w:t>
      </w:r>
      <w:r>
        <w:t xml:space="preserve"> </w:t>
      </w:r>
      <w:r>
        <w:rPr>
          <w:bCs/>
          <w:b/>
        </w:rPr>
        <w:t xml:space="preserve">cyklicznie przysyłać sprawozdania finansowe</w:t>
      </w:r>
      <w:r>
        <w:t xml:space="preserve"> </w:t>
      </w:r>
      <w:r>
        <w:t xml:space="preserve">i inne dokumenty o postępie inwestycji (ust. 7).</w:t>
      </w:r>
    </w:p>
    <w:p>
      <w:pPr>
        <w:numPr>
          <w:ilvl w:val="0"/>
          <w:numId w:val="1010"/>
        </w:numPr>
        <w:pStyle w:val="Compact"/>
      </w:pPr>
      <w:r>
        <w:t xml:space="preserve">Gdy koszty okażą się niższe, dotacja może zostać obniżona proporcjonalnie, z zachowaniem udziału procentowego.</w:t>
      </w:r>
      <w:r>
        <w:t xml:space="preserve"> </w:t>
      </w:r>
      <w:r>
        <w:rPr>
          <w:bCs/>
          <w:b/>
        </w:rPr>
        <w:t xml:space="preserve">Nadwyżkę zwrócić w 14 dni od wezwania</w:t>
      </w:r>
      <w:r>
        <w:t xml:space="preserve"> </w:t>
      </w:r>
      <w:r>
        <w:t xml:space="preserve">(ust. 8; WS 12).</w:t>
      </w:r>
    </w:p>
    <w:bookmarkEnd w:id="29"/>
    <w:bookmarkStart w:id="30" w:name="X520482e385fde1dd8ac306973e44326d6e80043"/>
    <w:p>
      <w:pPr>
        <w:pStyle w:val="Heading3"/>
      </w:pPr>
      <w:r>
        <w:t xml:space="preserve">§ 9 – Potwierdzenie realizacji inwestycji</w:t>
      </w:r>
    </w:p>
    <w:p>
      <w:pPr>
        <w:numPr>
          <w:ilvl w:val="0"/>
          <w:numId w:val="1011"/>
        </w:numPr>
        <w:pStyle w:val="Compact"/>
      </w:pPr>
      <w:r>
        <w:t xml:space="preserve">Zakończyć realizację w terminie z WS (ust. 1).</w:t>
      </w:r>
    </w:p>
    <w:p>
      <w:pPr>
        <w:numPr>
          <w:ilvl w:val="0"/>
          <w:numId w:val="1011"/>
        </w:numPr>
        <w:pStyle w:val="Compact"/>
      </w:pPr>
      <w:r>
        <w:t xml:space="preserve">Po zakończeniu przedłożyć (ust. 2):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poświadczoną kopię protokołu odbioru ostatecznego ze szczegółowym opisem, charakterystyką techniczną i przekazaniem do eksploatacji,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poświadczoną kopię pozwolenia na użytkowanie albo zgłoszenie zakończenia z oświadczeniem inwestora, że organ nie wniósł sprzeciwu (jeśli wymagane. Pozwolenie uzyskać najpóźniej w terminie zakończenia realizacji),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dokumenty potwierdzające efekt rzeczowy (WS 9),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dokumenty potwierdzające efekt ekologiczny (WS 10),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e)</w:t>
      </w:r>
      <w:r>
        <w:t xml:space="preserve"> </w:t>
      </w:r>
      <w:r>
        <w:t xml:space="preserve">rozliczenie końcowe dotacji wg wzoru,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f)</w:t>
      </w:r>
      <w:r>
        <w:t xml:space="preserve"> </w:t>
      </w:r>
      <w:r>
        <w:t xml:space="preserve">inne dokumenty wskazane w WS.</w:t>
      </w:r>
    </w:p>
    <w:p>
      <w:pPr>
        <w:numPr>
          <w:ilvl w:val="0"/>
          <w:numId w:val="1011"/>
        </w:numPr>
        <w:pStyle w:val="Compact"/>
      </w:pPr>
      <w:r>
        <w:t xml:space="preserve">Wraz z nimi złożyć</w:t>
      </w:r>
      <w:r>
        <w:t xml:space="preserve"> </w:t>
      </w:r>
      <w:r>
        <w:rPr>
          <w:bCs/>
          <w:b/>
        </w:rPr>
        <w:t xml:space="preserve">oświadczenie o potwierdzeniu realizacji płatności</w:t>
      </w:r>
      <w:r>
        <w:t xml:space="preserve"> </w:t>
      </w:r>
      <w:r>
        <w:t xml:space="preserve">wg wzoru (zał. 6) (ust. 3).</w:t>
      </w:r>
    </w:p>
    <w:p>
      <w:pPr>
        <w:numPr>
          <w:ilvl w:val="0"/>
          <w:numId w:val="1011"/>
        </w:numPr>
        <w:pStyle w:val="Compact"/>
      </w:pPr>
      <w:r>
        <w:t xml:space="preserve">W razie braków lub niespójności uzupełnić dokumenty w formie, zakresie i terminie wyznaczonym przez NFOŚiGW (ust. 6).</w:t>
      </w:r>
    </w:p>
    <w:p>
      <w:pPr>
        <w:numPr>
          <w:ilvl w:val="0"/>
          <w:numId w:val="1011"/>
        </w:numPr>
        <w:pStyle w:val="Compact"/>
      </w:pPr>
      <w:r>
        <w:t xml:space="preserve">W umowach z klauzulą płatności końcowej dokumenty z ust. 2 składa się wraz z wnioskiem o płatność końcową (ust. 5).</w:t>
      </w:r>
    </w:p>
    <w:bookmarkEnd w:id="30"/>
    <w:bookmarkStart w:id="31" w:name="X4c9824485ecf6f454cbd102a3484351d25dcfac"/>
    <w:p>
      <w:pPr>
        <w:pStyle w:val="Heading3"/>
      </w:pPr>
      <w:r>
        <w:t xml:space="preserve">§ 10 – Trwałość inwestycji</w:t>
      </w:r>
    </w:p>
    <w:p>
      <w:pPr>
        <w:numPr>
          <w:ilvl w:val="0"/>
          <w:numId w:val="1013"/>
        </w:numPr>
        <w:pStyle w:val="Compact"/>
      </w:pPr>
      <w:r>
        <w:t xml:space="preserve">Zapewnić trwałość efektu rzeczowego i ekologicznego przez</w:t>
      </w:r>
      <w:r>
        <w:t xml:space="preserve"> </w:t>
      </w:r>
      <w:r>
        <w:rPr>
          <w:bCs/>
          <w:b/>
        </w:rPr>
        <w:t xml:space="preserve">5 lat</w:t>
      </w:r>
      <w:r>
        <w:t xml:space="preserve"> </w:t>
      </w:r>
      <w:r>
        <w:t xml:space="preserve">od zakończenia realizacji (ust. 1; WS 8).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Składać roczne raporty</w:t>
      </w:r>
      <w:r>
        <w:t xml:space="preserve"> </w:t>
      </w:r>
      <w:r>
        <w:t xml:space="preserve">z utrzymania trwałości (zał. 5), z efektami osiągniętymi w roku poprzednim i skumulowanymi do końca istnienia inwestycji (ust. 3).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Na bieżąco informować</w:t>
      </w:r>
      <w:r>
        <w:t xml:space="preserve"> </w:t>
      </w:r>
      <w:r>
        <w:t xml:space="preserve">NFOŚiGW o wszelkich informacjach powodujących lub mogących powodować trwałe zmiany parametrów efektu (poprawa, pogorszenie, utrata), z podaniem przyczyn (ust. 4).</w:t>
      </w:r>
      <w:r>
        <w:t xml:space="preserve"> </w:t>
      </w:r>
      <w:r>
        <w:rPr>
          <w:bCs/>
          <w:b/>
        </w:rPr>
        <w:t xml:space="preserve">Termin: 21 dni od stwierdzenia możliwości pogorszenia lub utraty trwałości</w:t>
      </w:r>
      <w:r>
        <w:t xml:space="preserve"> </w:t>
      </w:r>
      <w:r>
        <w:t xml:space="preserve">(ust. 5).</w:t>
      </w:r>
    </w:p>
    <w:p>
      <w:pPr>
        <w:numPr>
          <w:ilvl w:val="0"/>
          <w:numId w:val="1013"/>
        </w:numPr>
        <w:pStyle w:val="Compact"/>
      </w:pPr>
      <w:r>
        <w:t xml:space="preserve">Udostępniać miejsce inwestycji do oględzin i kontroli (ust. 6).</w:t>
      </w:r>
    </w:p>
    <w:p>
      <w:pPr>
        <w:numPr>
          <w:ilvl w:val="0"/>
          <w:numId w:val="1013"/>
        </w:numPr>
        <w:pStyle w:val="Compact"/>
      </w:pPr>
      <w:r>
        <w:t xml:space="preserve">Po wezwaniu</w:t>
      </w:r>
      <w:r>
        <w:t xml:space="preserve"> </w:t>
      </w:r>
      <w:r>
        <w:rPr>
          <w:bCs/>
          <w:b/>
        </w:rPr>
        <w:t xml:space="preserve">przywrócić efekt</w:t>
      </w:r>
      <w:r>
        <w:t xml:space="preserve"> </w:t>
      </w:r>
      <w:r>
        <w:t xml:space="preserve">w wyznaczonym terminie. Jeśli tego nie zrobi, NFOŚiGW może rozwiązać umowę, a Beneficjent zwraca dotację (ust. 7–8).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Przechowywać do końca okresu trwałości</w:t>
      </w:r>
      <w:r>
        <w:t xml:space="preserve"> </w:t>
      </w:r>
      <w:r>
        <w:t xml:space="preserve">(ust. 9): oryginały faktur i dokumentów księgowych, dokumenty potwierdzające płatności, protokoły odbioru podpisane przez wykonawcę, przedstawiciela Beneficjenta i inspektora nadzoru.</w:t>
      </w:r>
    </w:p>
    <w:bookmarkEnd w:id="31"/>
    <w:bookmarkStart w:id="32" w:name="X0bf657d4e9821e3dcdc9fdbd529b343ea9bfd5d"/>
    <w:p>
      <w:pPr>
        <w:pStyle w:val="Heading3"/>
      </w:pPr>
      <w:r>
        <w:t xml:space="preserve">§ 11 – Zawieszenie wypłaty (czego unikać i co robić)</w:t>
      </w:r>
    </w:p>
    <w:p>
      <w:pPr>
        <w:numPr>
          <w:ilvl w:val="0"/>
          <w:numId w:val="1014"/>
        </w:numPr>
        <w:pStyle w:val="Compact"/>
      </w:pPr>
      <w:r>
        <w:t xml:space="preserve">NFOŚiGW może zawiesić wypłatę przy: realizacji niezgodnej z umową (opóźnienia zagrażające terminowi efektu), niespełnieniu warunków wypłat (§ 3, § 4) lub zasad realizacji (§ 6, § 7), wygaśnięciu lub zmniejszeniu wartości zabezpieczeń, niewypełnieniu obowiązków sprawozdawczych lub z § 15 ust. 2–3, utrudnianiu kontroli, informacji o naruszeniu warunków pomocy publicznej (ust. 2).</w:t>
      </w:r>
    </w:p>
    <w:p>
      <w:pPr>
        <w:numPr>
          <w:ilvl w:val="0"/>
          <w:numId w:val="1014"/>
        </w:numPr>
        <w:pStyle w:val="Compact"/>
      </w:pPr>
      <w:r>
        <w:t xml:space="preserve">Obowiązkowo zawiesza wypłatę, gdy Beneficjent wykorzystał środki niezgodnie z umową lub pobrał je nienależnie albo w nadmiernej wysokości (ust. 3).</w:t>
      </w:r>
    </w:p>
    <w:p>
      <w:pPr>
        <w:numPr>
          <w:ilvl w:val="0"/>
          <w:numId w:val="1014"/>
        </w:numPr>
        <w:pStyle w:val="Compact"/>
      </w:pPr>
      <w:r>
        <w:t xml:space="preserve">Po zawiadomieniu o zawieszeniu Beneficjent ma podjąć</w:t>
      </w:r>
      <w:r>
        <w:t xml:space="preserve"> </w:t>
      </w:r>
      <w:r>
        <w:rPr>
          <w:bCs/>
          <w:b/>
        </w:rPr>
        <w:t xml:space="preserve">wskazane działania usuwające przyczynę</w:t>
      </w:r>
      <w:r>
        <w:t xml:space="preserve"> </w:t>
      </w:r>
      <w:r>
        <w:t xml:space="preserve">(ust. 5). Po ich zrealizowaniu i weryfikacji dokumentów wypłata zostanie wznowiona (ust. 6–7). Zawieszenie z przyczyn po stronie Beneficjenta nie rodzi odsetek (ust. 8).</w:t>
      </w:r>
    </w:p>
    <w:bookmarkEnd w:id="32"/>
    <w:bookmarkStart w:id="33" w:name="Xf0ad7a3ef467a3d83b07f112f345c7881340446"/>
    <w:p>
      <w:pPr>
        <w:pStyle w:val="Heading3"/>
      </w:pPr>
      <w:r>
        <w:t xml:space="preserve">§ 12 – Wypowiedzenie i rozwiązanie umowy, zwrot dotacji, kara umowna</w:t>
      </w:r>
    </w:p>
    <w:p>
      <w:pPr>
        <w:pStyle w:val="FirstParagraph"/>
      </w:pPr>
      <w:r>
        <w:rPr>
          <w:bCs/>
          <w:b/>
        </w:rPr>
        <w:t xml:space="preserve">Podstawy wypowiedzenia przez NFOŚiGW (14 dni), ust. 1</w:t>
      </w:r>
      <w:r>
        <w:t xml:space="preserve"> </w:t>
      </w:r>
      <w:r>
        <w:t xml:space="preserve">– unikać:</w:t>
      </w:r>
    </w:p>
    <w:p>
      <w:pPr>
        <w:numPr>
          <w:ilvl w:val="0"/>
          <w:numId w:val="1015"/>
        </w:numPr>
        <w:pStyle w:val="Compact"/>
      </w:pPr>
      <w:r>
        <w:t xml:space="preserve">nieustanowienia zabezpieczeń lub niezłożenia dokumentów w terminie (odesłanie do „ust. 19 pkt 1)" WS jest błędne, właściwe są WS 16–17),</w:t>
      </w:r>
    </w:p>
    <w:p>
      <w:pPr>
        <w:numPr>
          <w:ilvl w:val="0"/>
          <w:numId w:val="1015"/>
        </w:numPr>
        <w:pStyle w:val="Compact"/>
      </w:pPr>
      <w:r>
        <w:t xml:space="preserve">niewniesienia dodatkowych zabezpieczeń po wezwaniu (§ 13 ust. 6),</w:t>
      </w:r>
    </w:p>
    <w:p>
      <w:pPr>
        <w:numPr>
          <w:ilvl w:val="0"/>
          <w:numId w:val="1015"/>
        </w:numPr>
        <w:pStyle w:val="Compact"/>
      </w:pPr>
      <w:r>
        <w:t xml:space="preserve">zawieszenia wypłaty dłużej niż 3 miesiące,</w:t>
      </w:r>
    </w:p>
    <w:p>
      <w:pPr>
        <w:numPr>
          <w:ilvl w:val="0"/>
          <w:numId w:val="1015"/>
        </w:numPr>
        <w:pStyle w:val="Compact"/>
      </w:pPr>
      <w:r>
        <w:t xml:space="preserve">opóźnień zagrażających terminowej realizacji,</w:t>
      </w:r>
    </w:p>
    <w:p>
      <w:pPr>
        <w:numPr>
          <w:ilvl w:val="0"/>
          <w:numId w:val="1015"/>
        </w:numPr>
        <w:pStyle w:val="Compact"/>
      </w:pPr>
      <w:r>
        <w:t xml:space="preserve">podania we wniosku lub dokumentach nieprawdziwych lub niepełnych danych, utrudniania kontroli,</w:t>
      </w:r>
    </w:p>
    <w:p>
      <w:pPr>
        <w:numPr>
          <w:ilvl w:val="0"/>
          <w:numId w:val="1015"/>
        </w:numPr>
        <w:pStyle w:val="Compact"/>
      </w:pPr>
      <w:r>
        <w:t xml:space="preserve">niezłożenia dokumentów rozliczeniowych w terminie lub na żądanie,</w:t>
      </w:r>
    </w:p>
    <w:p>
      <w:pPr>
        <w:numPr>
          <w:ilvl w:val="0"/>
          <w:numId w:val="1015"/>
        </w:numPr>
        <w:pStyle w:val="Compact"/>
      </w:pPr>
      <w:r>
        <w:t xml:space="preserve">niewykonania obowiązków z § 3 ust. 1 lub § 15 ust. 2–3,</w:t>
      </w:r>
    </w:p>
    <w:p>
      <w:pPr>
        <w:numPr>
          <w:ilvl w:val="0"/>
          <w:numId w:val="1015"/>
        </w:numPr>
        <w:pStyle w:val="Compact"/>
      </w:pPr>
      <w:r>
        <w:t xml:space="preserve">nieprzesłania w terminie dokumentów potwierdzających efekt rzeczowy lub ekologiczny albo nieuzupełnienia ich,</w:t>
      </w:r>
    </w:p>
    <w:p>
      <w:pPr>
        <w:numPr>
          <w:ilvl w:val="0"/>
          <w:numId w:val="1015"/>
        </w:numPr>
        <w:pStyle w:val="Compact"/>
      </w:pPr>
      <w:r>
        <w:t xml:space="preserve">naruszenia innych istotnych warunków umowy.</w:t>
      </w:r>
    </w:p>
    <w:p>
      <w:pPr>
        <w:pStyle w:val="FirstParagraph"/>
      </w:pPr>
      <w:r>
        <w:rPr>
          <w:bCs/>
          <w:b/>
        </w:rPr>
        <w:t xml:space="preserve">Podstawy rozwiązania bez wypowiedzenia, ust. 2:</w:t>
      </w:r>
      <w:r>
        <w:t xml:space="preserve"> </w:t>
      </w:r>
      <w:r>
        <w:t xml:space="preserve">naruszenie warunków pomocy publicznej, niezakończenie inwestycji w terminie, nieosiągnięcie efektu rzeczowego i ekologicznego w terminie, pogorszenie lub utrata trwałości, likwidacja Beneficjenta, wszczęcie egzekucji (zwłaszcza z mienia stanowiącego zabezpieczenie), siła wyższa uniemożliwiająca efekt.</w:t>
      </w:r>
      <w:r>
        <w:t xml:space="preserve"> </w:t>
      </w:r>
      <w:r>
        <w:rPr>
          <w:bCs/>
          <w:b/>
        </w:rPr>
        <w:t xml:space="preserve">Natychmiastowe rozwiązanie, ust. 3:</w:t>
      </w:r>
      <w:r>
        <w:t xml:space="preserve"> </w:t>
      </w:r>
      <w:r>
        <w:t xml:space="preserve">wykorzystanie dotacji na inny cel.</w:t>
      </w:r>
    </w:p>
    <w:p>
      <w:pPr>
        <w:pStyle w:val="BodyText"/>
      </w:pPr>
      <w:r>
        <w:rPr>
          <w:bCs/>
          <w:b/>
        </w:rPr>
        <w:t xml:space="preserve">Skutki (ust. 4):</w:t>
      </w:r>
      <w:r>
        <w:t xml:space="preserve"> </w:t>
      </w:r>
      <w:r>
        <w:t xml:space="preserve">na żądanie zwrócić środki</w:t>
      </w:r>
      <w:r>
        <w:t xml:space="preserve"> </w:t>
      </w:r>
      <w:r>
        <w:rPr>
          <w:bCs/>
          <w:b/>
        </w:rPr>
        <w:t xml:space="preserve">z odsetkami jak od zaległości podatkowych</w:t>
      </w:r>
      <w:r>
        <w:t xml:space="preserve"> </w:t>
      </w:r>
      <w:r>
        <w:t xml:space="preserve">od dnia po wypłacie, a także inne należności, w tym karę umowną.</w:t>
      </w:r>
      <w:r>
        <w:t xml:space="preserve"> </w:t>
      </w:r>
      <w:r>
        <w:rPr>
          <w:bCs/>
          <w:b/>
        </w:rPr>
        <w:t xml:space="preserve">Termin zwrotu: 14 dni</w:t>
      </w:r>
      <w:r>
        <w:t xml:space="preserve"> </w:t>
      </w:r>
      <w:r>
        <w:t xml:space="preserve">(WS 20). Zwrot na rachunek NFOŚiGW (BGK) 15 1130 1017 0000 0109 9520 0115.</w:t>
      </w:r>
    </w:p>
    <w:p>
      <w:pPr>
        <w:numPr>
          <w:ilvl w:val="0"/>
          <w:numId w:val="1016"/>
        </w:numPr>
        <w:pStyle w:val="Compact"/>
      </w:pPr>
      <w:r>
        <w:t xml:space="preserve">Ust. 5: w uzasadnionych przypadkach NFOŚiGW może na wniosek odstąpić od wypowiedzenia i ustalić nowe WS.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Ust. 6 – wypowiedzenie przez Beneficjenta:</w:t>
      </w:r>
      <w:r>
        <w:t xml:space="preserve"> </w:t>
      </w:r>
      <w:r>
        <w:t xml:space="preserve">30 dni, przed upływem okresu zwrot dotacji z odsetkami i innych należności. Jeśli wypowiedzenie następuje z przyczyn leżących po stronie Beneficjenta, to niezależnie od zwrotu zapłacić</w:t>
      </w:r>
      <w:r>
        <w:t xml:space="preserve"> </w:t>
      </w:r>
      <w:r>
        <w:rPr>
          <w:bCs/>
          <w:b/>
        </w:rPr>
        <w:t xml:space="preserve">karę umowną 404 260 zł</w:t>
      </w:r>
      <w:r>
        <w:t xml:space="preserve"> </w:t>
      </w:r>
      <w:r>
        <w:t xml:space="preserve">(WS 12d). Kary nie ma, jeśli Beneficjent mimo wypowiedzenia osiągnął efekt, zachował trwałość i udokumentował to przed końcem okresu wypowiedzenia. Wyjątek w WS 18c (brak możliwości realizacji przyłącza z przyczyn po stronie OSD).</w:t>
      </w:r>
    </w:p>
    <w:p>
      <w:pPr>
        <w:numPr>
          <w:ilvl w:val="0"/>
          <w:numId w:val="1016"/>
        </w:numPr>
        <w:pStyle w:val="Compact"/>
      </w:pPr>
      <w:r>
        <w:t xml:space="preserve">Ust. 7: kara umowna może być naliczona także przy rozwiązaniu z powodu niezakończenia inwestycji w terminie (ust. 2 lit. b) lub nieosiągnięcia efektów (lit. c). Sam tekst ust. 7 mówi o „ust. 2 lit. c) lub d)". Wskazanie wymaga potwierdzenia, więc w praktyce traktować jako zagrożenie karą w obu przypadkach: nieosiągnięcia efektów i utraty trwałości.</w:t>
      </w:r>
    </w:p>
    <w:p>
      <w:pPr>
        <w:numPr>
          <w:ilvl w:val="0"/>
          <w:numId w:val="1016"/>
        </w:numPr>
        <w:pStyle w:val="Compact"/>
      </w:pPr>
      <w:r>
        <w:t xml:space="preserve">Ust. 9: NFOŚiGW może dochodzić odszkodowania ponad karę. Ust. 10: Beneficjentowi nie przysługuje odszkodowanie.</w:t>
      </w:r>
    </w:p>
    <w:bookmarkEnd w:id="33"/>
    <w:bookmarkStart w:id="34" w:name="Xc717f2fe3643b94d9acff32e130a01a05e46381"/>
    <w:p>
      <w:pPr>
        <w:pStyle w:val="Heading3"/>
      </w:pPr>
      <w:r>
        <w:t xml:space="preserve">§ 13 – Zabezpieczenia</w:t>
      </w:r>
    </w:p>
    <w:p>
      <w:pPr>
        <w:numPr>
          <w:ilvl w:val="0"/>
          <w:numId w:val="1017"/>
        </w:numPr>
        <w:pStyle w:val="Compact"/>
      </w:pPr>
      <w:r>
        <w:t xml:space="preserve">Ustanowić zabezpieczenia wskazane w WS (weksel)</w:t>
      </w:r>
      <w:r>
        <w:t xml:space="preserve"> </w:t>
      </w:r>
      <w:r>
        <w:rPr>
          <w:bCs/>
          <w:b/>
        </w:rPr>
        <w:t xml:space="preserve">przed rozpoczęciem przekazywania środków</w:t>
      </w:r>
      <w:r>
        <w:t xml:space="preserve"> </w:t>
      </w:r>
      <w:r>
        <w:t xml:space="preserve">i na cały okres obowiązywania umowy (ust. 1–2).</w:t>
      </w:r>
    </w:p>
    <w:p>
      <w:pPr>
        <w:numPr>
          <w:ilvl w:val="0"/>
          <w:numId w:val="1017"/>
        </w:numPr>
        <w:pStyle w:val="Compact"/>
      </w:pPr>
      <w:r>
        <w:t xml:space="preserve">Dobrowolnie spełnić świadczenie po wezwaniu NFOŚiGW przed wszczęciem egzekucji (ust. 3). Wybór zabezpieczenia do zaspokojenia należy do NFOŚiGW (ust. 4).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Wszystkie koszty</w:t>
      </w:r>
      <w:r>
        <w:t xml:space="preserve"> </w:t>
      </w:r>
      <w:r>
        <w:t xml:space="preserve">ustanowienia, zmiany i zwolnienia zabezpieczeń ponosi Beneficjent (ust. 5).</w:t>
      </w:r>
    </w:p>
    <w:p>
      <w:pPr>
        <w:numPr>
          <w:ilvl w:val="0"/>
          <w:numId w:val="1017"/>
        </w:numPr>
        <w:pStyle w:val="Compact"/>
      </w:pPr>
      <w:r>
        <w:t xml:space="preserve">Przy zmniejszeniu realnej wartości zabezpieczeń ustanowić dodatkowe w wyznaczonym terminie (ust. 6). Zwolnienie zabezpieczeń najwcześniej po całkowitym rozliczeniu i po okresie trwałości (ust. 7).</w:t>
      </w:r>
    </w:p>
    <w:bookmarkEnd w:id="34"/>
    <w:bookmarkStart w:id="35" w:name="X0fe907a5098f7b1b42bb1d511728d57b778a636"/>
    <w:p>
      <w:pPr>
        <w:pStyle w:val="Heading3"/>
      </w:pPr>
      <w:r>
        <w:t xml:space="preserve">§ 14 – Siła wyższa</w:t>
      </w:r>
    </w:p>
    <w:p>
      <w:pPr>
        <w:numPr>
          <w:ilvl w:val="0"/>
          <w:numId w:val="1018"/>
        </w:numPr>
        <w:pStyle w:val="Compact"/>
      </w:pPr>
      <w:r>
        <w:t xml:space="preserve">Strona dotknięta siłą wyższą ma</w:t>
      </w:r>
      <w:r>
        <w:t xml:space="preserve"> </w:t>
      </w:r>
      <w:r>
        <w:rPr>
          <w:bCs/>
          <w:b/>
        </w:rPr>
        <w:t xml:space="preserve">niezwłocznie powiadomić pisemnie</w:t>
      </w:r>
      <w:r>
        <w:t xml:space="preserve"> </w:t>
      </w:r>
      <w:r>
        <w:t xml:space="preserve">drugą stronę, wskazując przewidywany czas trwania przeszkody (ust. 3).</w:t>
      </w:r>
    </w:p>
    <w:p>
      <w:pPr>
        <w:numPr>
          <w:ilvl w:val="0"/>
          <w:numId w:val="1018"/>
        </w:numPr>
        <w:pStyle w:val="Compact"/>
      </w:pPr>
      <w:r>
        <w:t xml:space="preserve">Ryzyko: jeśli siła wyższa uniemożliwi realizację, NFOŚiGW może rozwiązać umowę bez kary umownej (ust. 4). Beneficjent może wnioskować o umorzenie odsetek (ust. 5).</w:t>
      </w:r>
    </w:p>
    <w:bookmarkEnd w:id="35"/>
    <w:bookmarkStart w:id="36" w:name="Xc7fcd24f6c2af15a7e0f73eca87803e9761ec93"/>
    <w:p>
      <w:pPr>
        <w:pStyle w:val="Heading3"/>
      </w:pPr>
      <w:r>
        <w:t xml:space="preserve">§ 15 – Informacja i promocja</w:t>
      </w:r>
    </w:p>
    <w:p>
      <w:pPr>
        <w:numPr>
          <w:ilvl w:val="0"/>
          <w:numId w:val="1019"/>
        </w:numPr>
        <w:pStyle w:val="Compact"/>
      </w:pPr>
      <w:r>
        <w:t xml:space="preserve">Umieszczać we</w:t>
      </w:r>
      <w:r>
        <w:t xml:space="preserve"> </w:t>
      </w:r>
      <w:r>
        <w:rPr>
          <w:bCs/>
          <w:b/>
        </w:rPr>
        <w:t xml:space="preserve">wszystkich materiałach informacyjnych i promocyjnych</w:t>
      </w:r>
      <w:r>
        <w:t xml:space="preserve">, także kierowanych do mediów i opinii publicznej, informację o dofinansowaniu ze środków NFOŚiGW z Funduszu Modernizacyjnego,</w:t>
      </w:r>
      <w:r>
        <w:t xml:space="preserve"> </w:t>
      </w:r>
      <w:r>
        <w:rPr>
          <w:bCs/>
          <w:b/>
        </w:rPr>
        <w:t xml:space="preserve">logo NFOŚiGW i oznaczenie Funduszu Modernizacyjnego</w:t>
      </w:r>
      <w:r>
        <w:t xml:space="preserve"> </w:t>
      </w:r>
      <w:r>
        <w:t xml:space="preserve">(ust. 2).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Informować NFOŚiGW o istotnych działaniach</w:t>
      </w:r>
      <w:r>
        <w:t xml:space="preserve"> </w:t>
      </w:r>
      <w:r>
        <w:t xml:space="preserve">w trakcie realizacji, które mogą zostać przekazane opinii publicznej i mediom (ust. 2).</w:t>
      </w:r>
    </w:p>
    <w:p>
      <w:pPr>
        <w:numPr>
          <w:ilvl w:val="0"/>
          <w:numId w:val="1019"/>
        </w:numPr>
        <w:pStyle w:val="Compact"/>
      </w:pPr>
      <w:r>
        <w:t xml:space="preserve">Stosować „Instrukcję oznakowania przedsięwzięć dofinansowanych ze środków NFOŚiGW oraz obowiązków informacyjno-promocyjnych Beneficjentów NFOŚiGW" (wersja z dnia podpisania umowy) z adnotacją: „(współ)finansowane z unijnego systemu handlu uprawnieniami do emisji (Funduszu Modernizacyjnego)" (ust. 3).</w:t>
      </w:r>
    </w:p>
    <w:p>
      <w:pPr>
        <w:numPr>
          <w:ilvl w:val="0"/>
          <w:numId w:val="1019"/>
        </w:numPr>
        <w:pStyle w:val="Compact"/>
      </w:pPr>
      <w:r>
        <w:t xml:space="preserve">Po wezwaniu NFOŚiGW usunąć naruszenia, pod rygorem zawieszenia wypłaty lub wypowiedzenia (ust. 4).</w:t>
      </w:r>
    </w:p>
    <w:p>
      <w:pPr>
        <w:numPr>
          <w:ilvl w:val="0"/>
          <w:numId w:val="1019"/>
        </w:numPr>
        <w:pStyle w:val="Compact"/>
      </w:pPr>
      <w:r>
        <w:t xml:space="preserve">NFOŚiGW może publikować informacje o dofinansowaniu (nr wniosku, nazwa, kwota, opis) (ust. 1). Beneficjent to akceptuje.</w:t>
      </w:r>
    </w:p>
    <w:bookmarkEnd w:id="36"/>
    <w:bookmarkStart w:id="37" w:name="Xe8175e128ecc4a019f5eb47d469200882727c94"/>
    <w:p>
      <w:pPr>
        <w:pStyle w:val="Heading3"/>
      </w:pPr>
      <w:r>
        <w:t xml:space="preserve">§ 16 – Kontakty, doręczenia</w:t>
      </w:r>
    </w:p>
    <w:p>
      <w:pPr>
        <w:numPr>
          <w:ilvl w:val="0"/>
          <w:numId w:val="1020"/>
        </w:numPr>
        <w:pStyle w:val="Compact"/>
      </w:pPr>
      <w:r>
        <w:t xml:space="preserve">Pisma doręczane za pokwitowaniem przez pocztę, kuriera lub osobiście. Dokumenty podpisane kwalifikowanym podpisem lub profilem zaufanym przez e-PUAP (ust. 1).</w:t>
      </w:r>
    </w:p>
    <w:p>
      <w:pPr>
        <w:numPr>
          <w:ilvl w:val="0"/>
          <w:numId w:val="1020"/>
        </w:numPr>
        <w:pStyle w:val="Compact"/>
      </w:pPr>
      <w:r>
        <w:t xml:space="preserve">Terminy Beneficjenta są zachowane, jeśli pismo złożono najpóźniej w ostatnim dniu terminu: bezpośrednio, przez e-PUAP/adres do doręczeń, lub nadano listem poleconym albo kurierem (ust. 2).</w:t>
      </w:r>
    </w:p>
    <w:p>
      <w:pPr>
        <w:numPr>
          <w:ilvl w:val="0"/>
          <w:numId w:val="1020"/>
        </w:numPr>
        <w:pStyle w:val="Compact"/>
      </w:pPr>
      <w:r>
        <w:t xml:space="preserve">Odmowa przyjęcia pisma = skuteczne doręczenie (ust. 3). Doręczenie elektroniczne: z otrzymaniem na serwerze, a przy braku potwierdzenia po 2 dniach od nadania (ust. 4).</w:t>
      </w:r>
    </w:p>
    <w:p>
      <w:pPr>
        <w:numPr>
          <w:ilvl w:val="0"/>
          <w:numId w:val="1020"/>
        </w:numPr>
        <w:pStyle w:val="Compact"/>
      </w:pPr>
      <w:r>
        <w:t xml:space="preserve">Terminy w dniach: nie liczy się dnia zdarzenia. Gdy koniec terminu wypada w dzień wolny lub sobotę, termin upływa następnego dnia roboczego (ust. 5–6).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Niezwłocznie, wzajemnie informować o zmianie danych ewidencyjnych i adresowych</w:t>
      </w:r>
      <w:r>
        <w:t xml:space="preserve">, pod rygorem uznania korespondencji za doręczoną na ostatni wskazany adres (ust. 7). Dotyczy też zmiany osób kontaktowych (WS 22).</w:t>
      </w:r>
    </w:p>
    <w:bookmarkEnd w:id="37"/>
    <w:bookmarkStart w:id="38" w:name="Xab05d690a2ee171bbc397b736f951ece31a8290"/>
    <w:p>
      <w:pPr>
        <w:pStyle w:val="Heading3"/>
      </w:pPr>
      <w:r>
        <w:t xml:space="preserve">§ 17 – Pomoc publiczna</w:t>
      </w:r>
    </w:p>
    <w:p>
      <w:pPr>
        <w:pStyle w:val="FirstParagraph"/>
      </w:pPr>
      <w:r>
        <w:t xml:space="preserve">Gdyby dotacja spełniała kryteria pomocy publicznej, zastosowanie mają warunki z WS. WS 19 stwierdza, że</w:t>
      </w:r>
      <w:r>
        <w:t xml:space="preserve"> </w:t>
      </w:r>
      <w:r>
        <w:rPr>
          <w:bCs/>
          <w:b/>
        </w:rPr>
        <w:t xml:space="preserve">pomoc publiczna „nie dotyczy"</w:t>
      </w:r>
      <w:r>
        <w:t xml:space="preserve">. Jednocześnie OŚ 1d oraz WS 21 pkt 6 i 10 odwołują się do przepisów o pomocy publicznej (patrz uwagi końcowe).</w:t>
      </w:r>
    </w:p>
    <w:bookmarkEnd w:id="38"/>
    <w:bookmarkStart w:id="39" w:name="X4c0cfb110b28c224bbe02a9e31a988f39130103"/>
    <w:p>
      <w:pPr>
        <w:pStyle w:val="Heading3"/>
      </w:pPr>
      <w:r>
        <w:t xml:space="preserve">§ 18 – RODO</w:t>
      </w:r>
    </w:p>
    <w:p>
      <w:pPr>
        <w:numPr>
          <w:ilvl w:val="0"/>
          <w:numId w:val="1021"/>
        </w:numPr>
        <w:pStyle w:val="Compact"/>
      </w:pPr>
      <w:r>
        <w:t xml:space="preserve">Obie strony są odrębnymi administratorami (ust. 1) i udostępniają sobie dane reprezentantów, pracowników i innych osób wykonujących umowę w niezbędnym zakresie (ust. 2).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Beneficjent wykonuje obowiązek informacyjny z art. 14 RODO wobec swoich osób, przekazując im treść klauzuli NFOŚiGW (zał. 7), nie później niż w 10 dni roboczych od podpisania umowy</w:t>
      </w:r>
      <w:r>
        <w:t xml:space="preserve"> </w:t>
      </w:r>
      <w:r>
        <w:t xml:space="preserve">(ust. 4, 6), czyli ok.</w:t>
      </w:r>
      <w:r>
        <w:t xml:space="preserve"> </w:t>
      </w:r>
      <w:r>
        <w:rPr>
          <w:bCs/>
          <w:b/>
        </w:rPr>
        <w:t xml:space="preserve">14.10.2026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Na żądanie NFOŚiGW w ciągu 5 dni roboczych przedstawić potwierdzenie wykonania obowiązku (ust. 5).</w:t>
      </w:r>
    </w:p>
    <w:bookmarkEnd w:id="39"/>
    <w:bookmarkStart w:id="40" w:name="Xae58a2fd72d86d78a4f850fdc8a0f454143343e"/>
    <w:p>
      <w:pPr>
        <w:pStyle w:val="Heading3"/>
      </w:pPr>
      <w:r>
        <w:t xml:space="preserve">§ 19 – Postanowienia końcowe</w:t>
      </w:r>
    </w:p>
    <w:p>
      <w:pPr>
        <w:numPr>
          <w:ilvl w:val="0"/>
          <w:numId w:val="1022"/>
        </w:numPr>
        <w:pStyle w:val="Compact"/>
      </w:pPr>
      <w:r>
        <w:t xml:space="preserve">Zmiany i uzupełnienia umowy tylko w formie pisemnej lub elektronicznej z kwalifikowanym podpisem, pod rygorem nieważności (ust. 1). Wyjątek: zmiana Harmonogramu rzeczowo-finansowego wg § 7 (ust. 2).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Nie przenosić na inny podmiot praw i obowiązków z umowy bez uprzedniej, pisemnej zgody NFOŚiGW</w:t>
      </w:r>
      <w:r>
        <w:t xml:space="preserve"> </w:t>
      </w:r>
      <w:r>
        <w:t xml:space="preserve">(ust. 4). Dotyczy to też np. sprzedaży lub wniesienia do innej spółki stacji.</w:t>
      </w:r>
    </w:p>
    <w:p>
      <w:pPr>
        <w:numPr>
          <w:ilvl w:val="0"/>
          <w:numId w:val="1022"/>
        </w:numPr>
        <w:pStyle w:val="Compact"/>
      </w:pPr>
      <w:r>
        <w:t xml:space="preserve">Spory rozwiązywać polubownie, a w razie braku porozumienia przed sądem właściwym dla siedziby NFOŚiGW (ust. 5).</w:t>
      </w:r>
    </w:p>
    <w:p>
      <w:pPr>
        <w:numPr>
          <w:ilvl w:val="0"/>
          <w:numId w:val="1022"/>
        </w:numPr>
        <w:pStyle w:val="Compact"/>
      </w:pPr>
      <w:r>
        <w:t xml:space="preserve">Oświadczenie o zrozumieniu postanowień, akceptacji i zobowiązaniu do stosowania (ust. 7). Umowa w formie elektronicznej, podpisana kwalifikowanymi podpisami (ust. 9–10).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1cd5e75898ee4befa6e4fabbfcdd0c321e54044"/>
    <w:p>
      <w:pPr>
        <w:pStyle w:val="Heading2"/>
      </w:pPr>
      <w:r>
        <w:t xml:space="preserve">4. Warunki Szczególne – obowiązki według punktów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Obowiązek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Poniesienie kosztów wyższych niż wskazane nie zwiększa dotacji. Koszty niekwalifikowane (929 798 zł) pokrywa Beneficjent.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Realizacja w terminach 01.07.2026 – 31.12.2026.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Utrzymanie infrastruktury przez przewidywany okres istnienia 15 lat (raport trwałości, zał. 5). Zobowiązanie prawnie wiążące to 5 lat trwałości (pkt 8, 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Efekt rzeczowy: 6 ogólnodostępnych stacji DC ≥ 350 kW dla N2/N3 do 31.12.2026. Dopuszczalne odchylenie liczby jednostek to</w:t>
            </w:r>
            <w:r>
              <w:t xml:space="preserve"> </w:t>
            </w:r>
            <w:r>
              <w:rPr>
                <w:bCs/>
                <w:b/>
              </w:rPr>
              <w:t xml:space="preserve">−5%</w:t>
            </w:r>
            <w:r>
              <w:t xml:space="preserve">, tylko bez obniżenia efektu ekologicznego i</w:t>
            </w:r>
            <w:r>
              <w:t xml:space="preserve"> </w:t>
            </w:r>
            <w:r>
              <w:rPr>
                <w:bCs/>
                <w:b/>
              </w:rPr>
              <w:t xml:space="preserve">bez celowego działania Beneficjenta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Efekt ekologiczny: redukcja CO2 o 6 840 Mg/rok do 31.12.2026.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Trwałość 5 lat od zakończenia realizacji (31.12.2026) lub od roku następnego po roku akceptacji dokumentów potwierdzających efekt ekologiczny. Wybór między tymi dwiema datami jest niejasny, dlatego należy go potwierdzić z NFOŚiGW.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Dokumenty potwierdzające efekt rzeczowy</w:t>
            </w:r>
            <w:r>
              <w:t xml:space="preserve">, termin</w:t>
            </w:r>
            <w:r>
              <w:t xml:space="preserve"> </w:t>
            </w:r>
            <w:r>
              <w:rPr>
                <w:bCs/>
                <w:b/>
              </w:rPr>
              <w:t xml:space="preserve">60 dni od zakończenia realizacji</w:t>
            </w:r>
            <w:r>
              <w:t xml:space="preserve">. Każdy dokument z podziałem na koszty kwalifikowane (inwestycje / zadania bieżące) i niekwalifikowane (dotyczy dokumentów z lit. e):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rozliczenie końcowe wg wzoru (zał. 4);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dokument, że stacja ma punkty ładowania DC wyposażone w interoperacyjne złącze</w:t>
            </w:r>
            <w:r>
              <w:t xml:space="preserve"> </w:t>
            </w:r>
            <w:r>
              <w:rPr>
                <w:bCs/>
                <w:b/>
              </w:rPr>
              <w:t xml:space="preserve">Combo 2</w:t>
            </w:r>
            <w:r>
              <w:t xml:space="preserve"> </w:t>
            </w:r>
            <w:r>
              <w:t xml:space="preserve">wg EN 62196-3:2014;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dopuszczenie każdej stacji do eksploatacji przez UDT</w:t>
            </w:r>
            <w:r>
              <w:t xml:space="preserve">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zdjęcie tabliczki znamionowej każdej stacji ładowania i każdej stacji transformatorowej objętej inwestycją;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zestawienie zrealizowanych obiektów/urządzeń zgodnie z Harmonogramem (przy robotach budowlanych akceptuje inspektor nadzoru);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skan dokumentów potwierdzających przyjęcie infrastruktury ładowania do ewidencji środków trwałych;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oświadczenie o stosowaniu ustawy PZP (jeżeli dotyczy);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oświadczenie o stosowaniu ustawy o umowie koncesji (jeżeli dotyczy);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oświadczenie o posiadanym ubezpieczeniu od szkód, zniszczeń i utraty (zdarzenia losowe, szkody osób trzecich, kradzież infrastruktury),</w:t>
            </w:r>
            <w:r>
              <w:t xml:space="preserve"> </w:t>
            </w:r>
            <w:r>
              <w:rPr>
                <w:bCs/>
                <w:b/>
              </w:rPr>
              <w:t xml:space="preserve">najpóźniej od dnia protokołu UDT do końca okresu trwałości</w:t>
            </w:r>
            <w:r>
              <w:t xml:space="preserve">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oświadczenie o zastosowaniu Instrukcji oznakowania (Program Priorytetowy „Wsparcie budowy lub rozbudowy ogólnodostępnej stacji ładowania dla transportu ciężkiego"), wg wzoru ze strony NFOŚiGW;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skan pozwolenia na użytkowanie (jeśli dotyczy) albo zgłoszenie zakończenia z oświadczeniem inwestora, że organ nie wniósł zastrzeżeń;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umowa lub wyciąg z umowy o przyłączenie do sieci elektroenergetycznej</w:t>
            </w:r>
            <w:r>
              <w:t xml:space="preserve">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oświadczenie, że inwestycja jest zgodna z zasadą</w:t>
            </w:r>
            <w:r>
              <w:t xml:space="preserve"> </w:t>
            </w:r>
            <w:r>
              <w:rPr>
                <w:bCs/>
                <w:b/>
              </w:rPr>
              <w:t xml:space="preserve">DNSH</w:t>
            </w:r>
            <w:r>
              <w:t xml:space="preserve"> </w:t>
            </w:r>
            <w:r>
              <w:t xml:space="preserve">(„nie wyrządzaj poważnych szkód").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Dokumenty potwierdzające efekt ekologiczny to dokumenty z pkt 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Dokumenty trwałości</w:t>
            </w:r>
            <w:r>
              <w:t xml:space="preserve">, składane</w:t>
            </w:r>
            <w:r>
              <w:t xml:space="preserve"> </w:t>
            </w:r>
            <w:r>
              <w:rPr>
                <w:bCs/>
                <w:b/>
              </w:rPr>
              <w:t xml:space="preserve">w ciągu 30 dni od końca każdego roku kalendarzowego</w:t>
            </w:r>
            <w:r>
              <w:t xml:space="preserve"> </w:t>
            </w:r>
            <w:r>
              <w:t xml:space="preserve">okresu trwałości: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oświadczenie o trwałości efektów: elementy z harmonogramu są utrzymane w stanie spełniającym funkcje, w tym potwierdzenie, że infrastruktura</w:t>
            </w:r>
            <w:r>
              <w:t xml:space="preserve"> </w:t>
            </w:r>
            <w:r>
              <w:rPr>
                <w:bCs/>
                <w:b/>
              </w:rPr>
              <w:t xml:space="preserve">nie została i nie będzie zbyta</w:t>
            </w:r>
            <w:r>
              <w:t xml:space="preserve"> </w:t>
            </w:r>
            <w:r>
              <w:t xml:space="preserve">przez 5 lat (zbycie to każde rozporządzenie powodujące trwałe zaprzestanie posługiwania się nią w celu świadczenia usługi ładowania), oraz że jest i będzie użytkowana</w:t>
            </w:r>
            <w:r>
              <w:t xml:space="preserve"> </w:t>
            </w:r>
            <w:r>
              <w:rPr>
                <w:bCs/>
                <w:b/>
              </w:rPr>
              <w:t xml:space="preserve">na terytorium RP</w:t>
            </w:r>
            <w:r>
              <w:t xml:space="preserve">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 potwierdzający ubezpieczenie (od momentu nabycia do końca okresu trwałości, w każdym roku sprawozdawczym);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oświadczenie, że</w:t>
            </w:r>
            <w:r>
              <w:t xml:space="preserve"> </w:t>
            </w:r>
            <w:r>
              <w:rPr>
                <w:bCs/>
                <w:b/>
              </w:rPr>
              <w:t xml:space="preserve">każda stacja eksploatowana była zgodnie z przepisami, w tym miała aktualne badania techniczne</w:t>
            </w:r>
            <w:r>
              <w:t xml:space="preserve"> </w:t>
            </w:r>
            <w:r>
              <w:t xml:space="preserve">dopuszczające do eksploatacji;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oświadczenie o zgodności z DNSH;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raport końcowy weryfikacji zasady DNSH</w:t>
            </w:r>
            <w:r>
              <w:t xml:space="preserve"> </w:t>
            </w:r>
            <w:r>
              <w:t xml:space="preserve">na zakończenie 5-letniego okresu trwałości.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Dotacja ≤ 100% kosztów kwalifikowanych zrealizowanej inwestycji.</w:t>
            </w:r>
            <w:r>
              <w:t xml:space="preserve"> </w:t>
            </w:r>
            <w:r>
              <w:rPr>
                <w:bCs/>
                <w:b/>
              </w:rPr>
              <w:t xml:space="preserve">Dotacja nie może pokryć kosztów poniesionych przed dniem złożenia wniosku o dofinansowanie.</w:t>
            </w:r>
            <w:r>
              <w:t xml:space="preserve"> </w:t>
            </w:r>
            <w:r>
              <w:t xml:space="preserve">Płatność końcowa 5% po akceptacji dokumentów z pkt 9. Kara umowna 404 260 zł.</w:t>
            </w:r>
            <w:r>
              <w:t xml:space="preserve"> </w:t>
            </w:r>
            <w:r>
              <w:rPr>
                <w:bCs/>
                <w:b/>
              </w:rPr>
              <w:t xml:space="preserve">Przy niższych kosztach dotacja jest obniżana proporcjonalnie, a nadwyżkę zwraca się w 14 dni od wezwania.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Rachunek bankowy Beneficjenta do wypłat (refundacja): 63 1050 1139 1000 0090 8713 6769. Zmiana rachunku wymaga aneksu (§ 19 ust. 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Harmonogram wypłat: transza 1: 3 840 470,00 zł w oknie 01–20.12.2026. Płatność końcowa 202 130,00 zł w oknie 01–28.02.2027 po akceptacji dokumentów (wypłata w terminie nie dłuższym niż 14 dni od akceptacji).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Dokumenty do wniosku o wypłatę (refundacja)</w:t>
            </w:r>
            <w:r>
              <w:t xml:space="preserve"> </w:t>
            </w:r>
            <w:r>
              <w:t xml:space="preserve">każdorazowo najpóźniej</w:t>
            </w:r>
            <w:r>
              <w:t xml:space="preserve"> </w:t>
            </w:r>
            <w:r>
              <w:rPr>
                <w:bCs/>
                <w:b/>
              </w:rPr>
              <w:t xml:space="preserve">14 dni przed terminem wypłaty</w:t>
            </w:r>
            <w:r>
              <w:t xml:space="preserve"> </w:t>
            </w:r>
            <w:r>
              <w:t xml:space="preserve">transzy:</w:t>
            </w:r>
            <w:r>
              <w:t xml:space="preserve"> </w:t>
            </w:r>
            <w:r>
              <w:rPr>
                <w:bCs/>
                <w:b/>
              </w:rPr>
              <w:t xml:space="preserve">a)</w:t>
            </w:r>
            <w:r>
              <w:t xml:space="preserve"> </w:t>
            </w:r>
            <w:r>
              <w:t xml:space="preserve">wniosek wraz z załącznikami wg „Instrukcji wypełniania wniosku o wypłatę środków",</w:t>
            </w:r>
            <w:r>
              <w:t xml:space="preserve"> </w:t>
            </w:r>
            <w:r>
              <w:rPr>
                <w:bCs/>
                <w:b/>
              </w:rPr>
              <w:t xml:space="preserve">b)</w:t>
            </w:r>
            <w:r>
              <w:t xml:space="preserve"> </w:t>
            </w:r>
            <w:r>
              <w:rPr>
                <w:bCs/>
                <w:b/>
              </w:rPr>
              <w:t xml:space="preserve">warunki przyłączenia do sieci elektroenergetycznej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c)</w:t>
            </w:r>
            <w:r>
              <w:t xml:space="preserve"> </w:t>
            </w:r>
            <w:r>
              <w:t xml:space="preserve">dokumenty o prawie do dysponowania nieruchomością, na której wybudowano stację, wykazujące dotrzymanie okresu trwałości (jeśli dotyczy). Do wniosku dołączyć poświadczone kopie faktur o sumie min. 10% kosztów kwalifikowanych (zgodnie z § 3 ust. 7 WO). Na żądanie okazać dokumenty z § 3 ust. 10 WO.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16–17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Zabezpieczenie: weksel własny in blanco</w:t>
            </w:r>
            <w:r>
              <w:t xml:space="preserve"> </w:t>
            </w:r>
            <w:r>
              <w:t xml:space="preserve">z klauzulą „bez protestu" wraz z</w:t>
            </w:r>
            <w:r>
              <w:t xml:space="preserve"> </w:t>
            </w:r>
            <w:r>
              <w:rPr>
                <w:bCs/>
                <w:b/>
              </w:rPr>
              <w:t xml:space="preserve">deklaracją wekslową</w:t>
            </w:r>
            <w:r>
              <w:t xml:space="preserve">, podpisany przez osoby upoważnione do reprezentacji. Podpisy na wekslu i deklaracji</w:t>
            </w:r>
            <w:r>
              <w:t xml:space="preserve"> </w:t>
            </w:r>
            <w:r>
              <w:rPr>
                <w:bCs/>
                <w:b/>
              </w:rPr>
              <w:t xml:space="preserve">poświadczone notarialnie albo złożone w obecności pracownika NFOŚiGW</w:t>
            </w:r>
            <w:r>
              <w:t xml:space="preserve">. Termin:</w:t>
            </w:r>
            <w:r>
              <w:t xml:space="preserve"> </w:t>
            </w:r>
            <w:r>
              <w:rPr>
                <w:bCs/>
                <w:b/>
              </w:rPr>
              <w:t xml:space="preserve">nie później niż przed datą pierwszej wypłaty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ciągu</w:t>
            </w:r>
            <w:r>
              <w:t xml:space="preserve"> </w:t>
            </w:r>
            <w:r>
              <w:rPr>
                <w:bCs/>
                <w:b/>
              </w:rPr>
              <w:t xml:space="preserve">6 miesięcy od podpisania umowy</w:t>
            </w:r>
            <w:r>
              <w:t xml:space="preserve"> </w:t>
            </w:r>
            <w:r>
              <w:t xml:space="preserve">uzyskać</w:t>
            </w:r>
            <w:r>
              <w:t xml:space="preserve"> </w:t>
            </w:r>
            <w:r>
              <w:rPr>
                <w:bCs/>
                <w:b/>
              </w:rPr>
              <w:t xml:space="preserve">warunki przyłączeniowe</w:t>
            </w:r>
            <w:r>
              <w:t xml:space="preserve"> </w:t>
            </w:r>
            <w:r>
              <w:t xml:space="preserve">wydane przez OSD. Brak to naruszenie istotnych warunków umowy uprawniające do wypowiedzenia (§ 12 ust. 1 lit. 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Terminy z pkt 4, 6, 7 można</w:t>
            </w:r>
            <w:r>
              <w:t xml:space="preserve"> </w:t>
            </w:r>
            <w:r>
              <w:rPr>
                <w:bCs/>
                <w:b/>
              </w:rPr>
              <w:t xml:space="preserve">na wniosek</w:t>
            </w:r>
            <w:r>
              <w:t xml:space="preserve"> </w:t>
            </w:r>
            <w:r>
              <w:t xml:space="preserve">przedłużyć o maks. 12 miesięcy względem terminów z wniosku o dofinansowanie. Przed ich upływem można raz wnioskować o dalsze przedłużenie o maks. 6 miesięcy (od terminów po uwzględnieniu pierwszego wniosku). Granicą jest termin z pkt 6 ust. 1 programu priorytetowego. Bez uwzględnienia wniosku obowiązują dotychczasowe terminy.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Wypowiedzenie umowy przez Beneficjenta bez kary umownej, jeśli przyczyną jest brak możliwości realizacji przyłącza w terminach po stronie OSD (zmiana terminów przez OSD itp.) i wypowiedzenie nastąpi nie później niż w terminie z pkt 6 ust. 1 programu priorytetowego. Pozostałe obowiązki z § 12 ust. 6 WO (zwrot dotacji z odsetkami) pozostają.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Pomoc publiczna: nie dotyczy.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Zwrot środków w razie rozwiązania lub wypowiedzenia:</w:t>
            </w:r>
            <w:r>
              <w:t xml:space="preserve"> </w:t>
            </w:r>
            <w:r>
              <w:rPr>
                <w:bCs/>
                <w:b/>
              </w:rPr>
              <w:t xml:space="preserve">14 dni</w:t>
            </w:r>
            <w:r>
              <w:t xml:space="preserve"> </w:t>
            </w:r>
            <w:r>
              <w:t xml:space="preserve">od otrzymania oświadczenia NFOŚiGW, a przy wypowiedzeniu przez Beneficjenta bez wezwania w 14 dni od otrzymania przez NFOŚiGW oświadczenia Beneficjenta. Rachunek: BGK 15 1130 1017 0000 0109 9520 0115.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Beneficjent wyraża zgodę na</w:t>
            </w:r>
            <w:r>
              <w:t xml:space="preserve"> </w:t>
            </w:r>
            <w:r>
              <w:rPr>
                <w:bCs/>
                <w:b/>
              </w:rPr>
              <w:t xml:space="preserve">przesunięcie środków na kolejny rok kalendarzowy</w:t>
            </w:r>
            <w:r>
              <w:t xml:space="preserve"> </w:t>
            </w:r>
            <w:r>
              <w:t xml:space="preserve">w razie wyczerpania limitu środków Funduszu Modernizacyjnego (wypłata może się przesunąć).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Oznakowanie</w:t>
            </w:r>
            <w:r>
              <w:t xml:space="preserve"> </w:t>
            </w:r>
            <w:r>
              <w:t xml:space="preserve">infrastruktury ładowania logo wg wzoru ze strony naboru i</w:t>
            </w:r>
            <w:r>
              <w:t xml:space="preserve"> </w:t>
            </w:r>
            <w:r>
              <w:rPr>
                <w:bCs/>
                <w:b/>
              </w:rPr>
              <w:t xml:space="preserve">utrzymywanie go przez cały okres obowiązywania umowy</w:t>
            </w:r>
            <w:r>
              <w:t xml:space="preserve"> </w:t>
            </w:r>
            <w:r>
              <w:t xml:space="preserve">(od rejestracji każdej stacji lub podpisania protokołu odbioru), zgodnie z Instrukcją oznakowania.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Koszty sfinansowane z publicznych środków krajowych lub zagranicznych (zwłaszcza z budżetu UE) nie mogą być pokryte z dotacji (zakaz podwójnego finansowania).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Opłaty od użytkowników za korzystanie ze stacji muszą odpowiadać</w:t>
            </w:r>
            <w:r>
              <w:t xml:space="preserve"> </w:t>
            </w:r>
            <w:r>
              <w:rPr>
                <w:bCs/>
                <w:b/>
              </w:rPr>
              <w:t xml:space="preserve">cenom rynkowym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Powierzenie osobie trzeciej obsługi infrastruktury lub uzupełniania paliwa musi nastąpić na zasadach</w:t>
            </w:r>
            <w:r>
              <w:t xml:space="preserve"> </w:t>
            </w:r>
            <w:r>
              <w:rPr>
                <w:bCs/>
                <w:b/>
              </w:rPr>
              <w:t xml:space="preserve">konkurencyjnych, przejrzystych i niedyskryminacyjnych</w:t>
            </w:r>
            <w:r>
              <w:t xml:space="preserve">, z uwzględnieniem PZP lub ustawy o koncesji.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Informacje o inwestycji (w tym nazwa Beneficjenta i kwota) zostaną</w:t>
            </w:r>
            <w:r>
              <w:t xml:space="preserve"> </w:t>
            </w:r>
            <w:r>
              <w:rPr>
                <w:bCs/>
                <w:b/>
              </w:rPr>
              <w:t xml:space="preserve">opublikowane na stronie Komisji Europejskiej</w:t>
            </w:r>
            <w:r>
              <w:t xml:space="preserve"> </w:t>
            </w:r>
            <w:r>
              <w:t xml:space="preserve">(transparentność, rozporządzenie 2015/1589).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Jeśli Beneficjent zawiera umowę koncesji na roboty budowlane i usługi, stosuje ustawę z 21.10.2016 o umowie koncesji (uczciwa konkurencja, równe traktowanie, proporcjonalność, przejrzystość).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zakończenia realizacji</w:t>
            </w:r>
            <w:r>
              <w:t xml:space="preserve"> </w:t>
            </w:r>
            <w:r>
              <w:t xml:space="preserve">= data uzyskania pozwolenia na użytkowanie stacji (po badaniu technicznym UDT) albo, gdy pozwolenie nie jest wymagane, data protokołu z badania technicznego dopuszczającego do eksploatacji.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Przy więcej niż jednej stacji za zakończenie inwestycji uznaje się datę</w:t>
            </w:r>
            <w:r>
              <w:t xml:space="preserve"> </w:t>
            </w:r>
            <w:r>
              <w:rPr>
                <w:bCs/>
                <w:b/>
              </w:rPr>
              <w:t xml:space="preserve">ostatniego</w:t>
            </w:r>
            <w:r>
              <w:t xml:space="preserve"> </w:t>
            </w:r>
            <w:r>
              <w:t xml:space="preserve">protokołu UDT lub pozwolenia na użytkowanie.</w:t>
            </w:r>
            <w:r>
              <w:t xml:space="preserve"> </w:t>
            </w:r>
            <w:r>
              <w:rPr>
                <w:bCs/>
                <w:b/>
              </w:rPr>
              <w:t xml:space="preserve">Wszystkie 6 stacji musi więc mieć dopuszczenie UDT do 31.12.2026.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Beneficjent oświadcza, że zna rozporządzenie Ministra Klimatu i Środowiska z 24.11.2021 (Dz.U. 2021 poz. 2247) w sprawie warunków udzielania pomocy publicznej na infrastrukturę ładowania i tankowania wodoru i</w:t>
            </w:r>
            <w:r>
              <w:t xml:space="preserve"> </w:t>
            </w:r>
            <w:r>
              <w:rPr>
                <w:bCs/>
                <w:b/>
              </w:rPr>
              <w:t xml:space="preserve">będzie przestrzegał jego postanowień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Osoby odpowiedzialne po stronie Beneficjenta: Ewa Retajczyk (</w:t>
            </w:r>
            <w:hyperlink r:id="rId42">
              <w:r>
                <w:rPr>
                  <w:rStyle w:val="Hyperlink"/>
                </w:rPr>
                <w:t xml:space="preserve">retajczyke@gmail.com</w:t>
              </w:r>
            </w:hyperlink>
            <w:r>
              <w:t xml:space="preserve">, 601 130 273) i Piotr Kaźmierczak (</w:t>
            </w:r>
            <w:hyperlink r:id="rId43">
              <w:r>
                <w:rPr>
                  <w:rStyle w:val="Hyperlink"/>
                </w:rPr>
                <w:t xml:space="preserve">piotr@balticspedition.com</w:t>
              </w:r>
            </w:hyperlink>
            <w:r>
              <w:t xml:space="preserve">, 888 880 801). Zmiany kontaktu zgłaszać zgodnie z § 16 ust. 7 WO.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X1ee582c2fc895c159f83dee173b90ded992d823"/>
    <w:p>
      <w:pPr>
        <w:pStyle w:val="Heading2"/>
      </w:pPr>
      <w:r>
        <w:t xml:space="preserve">5. Zestawienie obowiązków wg etapu</w:t>
      </w:r>
    </w:p>
    <w:p>
      <w:pPr>
        <w:pStyle w:val="FirstParagraph"/>
      </w:pPr>
      <w:r>
        <w:rPr>
          <w:bCs/>
          <w:b/>
        </w:rPr>
        <w:t xml:space="preserve">A. Od podpisania do pierwszej wypłaty</w:t>
      </w:r>
    </w:p>
    <w:p>
      <w:pPr>
        <w:numPr>
          <w:ilvl w:val="0"/>
          <w:numId w:val="1023"/>
        </w:numPr>
        <w:pStyle w:val="Compact"/>
      </w:pPr>
      <w:r>
        <w:t xml:space="preserve">Rozesłać klauzulę RODO NFOŚiGW (zał. 7) osobom fizycznym działającym w imieniu spółki (ok. 14.10.2026).</w:t>
      </w:r>
    </w:p>
    <w:p>
      <w:pPr>
        <w:numPr>
          <w:ilvl w:val="0"/>
          <w:numId w:val="1023"/>
        </w:numPr>
        <w:pStyle w:val="Compact"/>
      </w:pPr>
      <w:r>
        <w:t xml:space="preserve">Ustanowić zabezpieczenie: weksel in blanco i deklaracja wekslowa z poświadczeniem notarialnym lub w obecności pracownika NFOŚiGW, przed pierwszą wypłatą.</w:t>
      </w:r>
    </w:p>
    <w:p>
      <w:pPr>
        <w:numPr>
          <w:ilvl w:val="0"/>
          <w:numId w:val="1023"/>
        </w:numPr>
        <w:pStyle w:val="Compact"/>
      </w:pPr>
      <w:r>
        <w:t xml:space="preserve">Uzyskać warunki przyłączeniowe od OSD i przekazać (WS 15b, 18a).</w:t>
      </w:r>
    </w:p>
    <w:p>
      <w:pPr>
        <w:numPr>
          <w:ilvl w:val="0"/>
          <w:numId w:val="1023"/>
        </w:numPr>
        <w:pStyle w:val="Compact"/>
      </w:pPr>
      <w:r>
        <w:t xml:space="preserve">Oświadczenie VAT (WO § 2 ust. 5).</w:t>
      </w:r>
    </w:p>
    <w:p>
      <w:pPr>
        <w:numPr>
          <w:ilvl w:val="0"/>
          <w:numId w:val="1023"/>
        </w:numPr>
        <w:pStyle w:val="Compact"/>
      </w:pPr>
      <w:r>
        <w:t xml:space="preserve">Złożyć wniosek o wypłatę transzy 1 z załącznikami co najmniej 14 dni przed terminem wypłaty. Do wniosku kopie faktur ≥ 10% kosztów i protokoły odbioru, opisane zgodnie z § 3 ust. 5.</w:t>
      </w:r>
    </w:p>
    <w:p>
      <w:pPr>
        <w:pStyle w:val="FirstParagraph"/>
      </w:pPr>
      <w:r>
        <w:rPr>
          <w:bCs/>
          <w:b/>
        </w:rPr>
        <w:t xml:space="preserve">B. W trakcie realizacji</w:t>
      </w:r>
    </w:p>
    <w:p>
      <w:pPr>
        <w:numPr>
          <w:ilvl w:val="0"/>
          <w:numId w:val="1024"/>
        </w:numPr>
        <w:pStyle w:val="Compact"/>
      </w:pPr>
      <w:r>
        <w:t xml:space="preserve">Stosować PZP albo zasady konkurencyjności (§ 6).</w:t>
      </w:r>
    </w:p>
    <w:p>
      <w:pPr>
        <w:numPr>
          <w:ilvl w:val="0"/>
          <w:numId w:val="1024"/>
        </w:numPr>
        <w:pStyle w:val="Compact"/>
      </w:pPr>
      <w:r>
        <w:t xml:space="preserve">Zapewnić przeniesienie majątkowych praw autorskich w umowach z wykonawcami (§ 6 ust. 6).</w:t>
      </w:r>
    </w:p>
    <w:p>
      <w:pPr>
        <w:numPr>
          <w:ilvl w:val="0"/>
          <w:numId w:val="1024"/>
        </w:numPr>
        <w:pStyle w:val="Compact"/>
      </w:pPr>
      <w:r>
        <w:t xml:space="preserve">Oznaczać materiały i infrastrukturę logo NFOŚiGW i adnotacją o Funduszu Modernizacyjnym (§ 15; WS 21.2).</w:t>
      </w:r>
    </w:p>
    <w:p>
      <w:pPr>
        <w:numPr>
          <w:ilvl w:val="0"/>
          <w:numId w:val="1024"/>
        </w:numPr>
        <w:pStyle w:val="Compact"/>
      </w:pPr>
      <w:r>
        <w:t xml:space="preserve">Zmiany harmonogramu tylko za zgodą NFOŚiGW, z uzasadnieniem (§ 7).</w:t>
      </w:r>
    </w:p>
    <w:p>
      <w:pPr>
        <w:numPr>
          <w:ilvl w:val="0"/>
          <w:numId w:val="1024"/>
        </w:numPr>
        <w:pStyle w:val="Compact"/>
      </w:pPr>
      <w:r>
        <w:t xml:space="preserve">W 14 dni informować o okolicznościach grożących naruszeniem umowy (§ 8 ust. 2–3).</w:t>
      </w:r>
    </w:p>
    <w:p>
      <w:pPr>
        <w:numPr>
          <w:ilvl w:val="0"/>
          <w:numId w:val="1024"/>
        </w:numPr>
        <w:pStyle w:val="Compact"/>
      </w:pPr>
      <w:r>
        <w:t xml:space="preserve">Wniosek o przedłużenie terminów przed upływem terminów (WS 18b).</w:t>
      </w:r>
    </w:p>
    <w:p>
      <w:pPr>
        <w:numPr>
          <w:ilvl w:val="0"/>
          <w:numId w:val="1024"/>
        </w:numPr>
        <w:pStyle w:val="Compact"/>
      </w:pPr>
      <w:r>
        <w:t xml:space="preserve">Dokumentację fotograficzną przekazać na żądanie.</w:t>
      </w:r>
    </w:p>
    <w:p>
      <w:pPr>
        <w:numPr>
          <w:ilvl w:val="0"/>
          <w:numId w:val="1024"/>
        </w:numPr>
        <w:pStyle w:val="Compact"/>
      </w:pPr>
      <w:r>
        <w:t xml:space="preserve">Dopuścić do kontroli (§ 8 ust. 4–6).</w:t>
      </w:r>
    </w:p>
    <w:p>
      <w:pPr>
        <w:pStyle w:val="FirstParagraph"/>
      </w:pPr>
      <w:r>
        <w:rPr>
          <w:bCs/>
          <w:b/>
        </w:rPr>
        <w:t xml:space="preserve">C. Zakończenie realizacji (do 31.12.2026)</w:t>
      </w:r>
    </w:p>
    <w:p>
      <w:pPr>
        <w:numPr>
          <w:ilvl w:val="0"/>
          <w:numId w:val="1025"/>
        </w:numPr>
        <w:pStyle w:val="Compact"/>
      </w:pPr>
      <w:r>
        <w:t xml:space="preserve">Wszystkie 6 stacji: odbiór, dopuszczenie UDT (Combo 2), przyłączenie do sieci, wpis do ewidencji środków trwałych, ubezpieczenie, oznakowanie, tabliczki znamionowe.</w:t>
      </w:r>
    </w:p>
    <w:p>
      <w:pPr>
        <w:numPr>
          <w:ilvl w:val="0"/>
          <w:numId w:val="1025"/>
        </w:numPr>
        <w:pStyle w:val="Compact"/>
      </w:pPr>
      <w:r>
        <w:t xml:space="preserve">Rozliczenie końcowe do 45 dni, dokumenty WS 9 do 60 dni, oświadczenie o płatnościach (zał. 6).</w:t>
      </w:r>
    </w:p>
    <w:p>
      <w:pPr>
        <w:pStyle w:val="FirstParagraph"/>
      </w:pPr>
      <w:r>
        <w:rPr>
          <w:bCs/>
          <w:b/>
        </w:rPr>
        <w:t xml:space="preserve">D. Okres trwałości (5 lat)</w:t>
      </w:r>
    </w:p>
    <w:p>
      <w:pPr>
        <w:numPr>
          <w:ilvl w:val="0"/>
          <w:numId w:val="1026"/>
        </w:numPr>
        <w:pStyle w:val="Compact"/>
      </w:pPr>
      <w:r>
        <w:t xml:space="preserve">Roczne raporty i oświadczenia do 30 dni po końcu roku (WS 11, zał. 5).</w:t>
      </w:r>
    </w:p>
    <w:p>
      <w:pPr>
        <w:numPr>
          <w:ilvl w:val="0"/>
          <w:numId w:val="1026"/>
        </w:numPr>
        <w:pStyle w:val="Compact"/>
      </w:pPr>
      <w:r>
        <w:t xml:space="preserve">Brak zbycia, użytkowanie w Polsce, ubezpieczenie, aktualne badania techniczne.</w:t>
      </w:r>
    </w:p>
    <w:p>
      <w:pPr>
        <w:numPr>
          <w:ilvl w:val="0"/>
          <w:numId w:val="1026"/>
        </w:numPr>
        <w:pStyle w:val="Compact"/>
      </w:pPr>
      <w:r>
        <w:t xml:space="preserve">Informacja w 21 dni o zagrożeniu trwałości (§ 10 ust. 5).</w:t>
      </w:r>
    </w:p>
    <w:p>
      <w:pPr>
        <w:numPr>
          <w:ilvl w:val="0"/>
          <w:numId w:val="1026"/>
        </w:numPr>
        <w:pStyle w:val="Compact"/>
      </w:pPr>
      <w:r>
        <w:t xml:space="preserve">Ceny rynkowe opłat, konkurencyjne powierzenie obsługi, oznakowanie.</w:t>
      </w:r>
    </w:p>
    <w:p>
      <w:pPr>
        <w:numPr>
          <w:ilvl w:val="0"/>
          <w:numId w:val="1026"/>
        </w:numPr>
        <w:pStyle w:val="Compact"/>
      </w:pPr>
      <w:r>
        <w:t xml:space="preserve">Przechowywanie dokumentów do końca trwałości. Raport końcowy DNSH po 5 latach.</w:t>
      </w:r>
    </w:p>
    <w:p>
      <w:r>
        <w:pict>
          <v:rect style="width:0;height:1.5pt" o:hralign="center" o:hrstd="t" o:hr="t"/>
        </w:pict>
      </w:r>
    </w:p>
    <w:bookmarkEnd w:id="45"/>
    <w:bookmarkStart w:id="46" w:name="X7cf7fb097f044d1b8110af9622005abd514eb54"/>
    <w:p>
      <w:pPr>
        <w:pStyle w:val="Heading2"/>
      </w:pPr>
      <w:r>
        <w:t xml:space="preserve">6. Niejasności i punkty do wyjaśnienia z NFOŚiGW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Termin rozliczenia końcowego:</w:t>
      </w:r>
      <w:r>
        <w:t xml:space="preserve"> </w:t>
      </w:r>
      <w:r>
        <w:t xml:space="preserve">WO § 3 ust. 13 mówi o</w:t>
      </w:r>
      <w:r>
        <w:t xml:space="preserve"> </w:t>
      </w:r>
      <w:r>
        <w:rPr>
          <w:bCs/>
          <w:b/>
        </w:rPr>
        <w:t xml:space="preserve">45 dniach</w:t>
      </w:r>
      <w:r>
        <w:t xml:space="preserve">, a WS 9 o</w:t>
      </w:r>
      <w:r>
        <w:t xml:space="preserve"> </w:t>
      </w:r>
      <w:r>
        <w:rPr>
          <w:bCs/>
          <w:b/>
        </w:rPr>
        <w:t xml:space="preserve">60 dniach</w:t>
      </w:r>
      <w:r>
        <w:t xml:space="preserve">. Zakres dokumentów jest częściowo wspólny. Bezpieczniej przyjąć</w:t>
      </w:r>
      <w:r>
        <w:t xml:space="preserve"> </w:t>
      </w:r>
      <w:r>
        <w:rPr>
          <w:bCs/>
          <w:b/>
        </w:rPr>
        <w:t xml:space="preserve">45 dni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Płatność końcowa a termin dokumentów:</w:t>
      </w:r>
      <w:r>
        <w:t xml:space="preserve"> </w:t>
      </w:r>
      <w:r>
        <w:t xml:space="preserve">okno płatności końcowej (WS 14) to 01–28.02.2027, a dokumenty WS 9 można złożyć do ok. 01.03.2027. Aby płatność końcowa zmieściła się w oknie, dokumenty trzeba złożyć wcześniej.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Warunki przyłączeniowe:</w:t>
      </w:r>
      <w:r>
        <w:t xml:space="preserve"> </w:t>
      </w:r>
      <w:r>
        <w:t xml:space="preserve">WS 18a daje 6 miesięcy od podpisania (ok. 30.03.2027), ale WS 15b wymaga ich już we wniosku o wypłatę transzy 1 (grudzień 2026), a inwestycja ma być ukończona do 31.12.2026. W praktyce warunki przyłączenia muszą być w ręku znacznie wcześniej.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Początek terminu trwałości</w:t>
      </w:r>
      <w:r>
        <w:t xml:space="preserve"> </w:t>
      </w:r>
      <w:r>
        <w:t xml:space="preserve">(WS 8): od zakończenia realizacji czy od roku następującego po roku akceptacji dokumentów. Od tego zależy pierwszy raport.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Pomoc publiczna:</w:t>
      </w:r>
      <w:r>
        <w:t xml:space="preserve"> </w:t>
      </w:r>
      <w:r>
        <w:t xml:space="preserve">WS 19 mówi „nie dotyczy", a OŚ 1d i WS 21.6, 21.10 odwołują się do przepisów o pomocy publicznej. Dobrze potwierdzić, czy jest jakikolwiek obowiązek w tym zakresie.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Odesłania w § 12:</w:t>
      </w:r>
      <w:r>
        <w:t xml:space="preserve"> </w:t>
      </w:r>
      <w:r>
        <w:t xml:space="preserve">ust. 1 lit. a odsyła do „ust. 19 pkt 1) WS", a zabezpieczenia są w WS 16–17. Ust. 7 mówi o „ust. 2 lit. c) lub d)", a ust. 2 lit. b i c dotyczą niezakończenia w terminie i nieosiągnięcia efektów.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Data rozpoczęcia realizacji</w:t>
      </w:r>
      <w:r>
        <w:t xml:space="preserve"> </w:t>
      </w:r>
      <w:r>
        <w:t xml:space="preserve">(01.07.2026) jest przed podpisaniem umowy (30.09.2026). Koszty poniesione przed dniem złożenia wniosku o dofinansowanie są niekwalifikowane (WS 12b).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Załączniki 1–10 do umowy</w:t>
      </w:r>
      <w:r>
        <w:t xml:space="preserve"> </w:t>
      </w:r>
      <w:r>
        <w:t xml:space="preserve">nie zostały dołączone do przekazanego pliku. Obowiązki z nich wynikające trzeba zweryfikować osobno (w szczególności Harmonogram rzeczowo-finansowy, wzór wniosku o wypłatę, zał. 4, 5, 6, 9, 10).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l-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mailto:media@nfosigw.gov.pl" TargetMode="External" /><Relationship Type="http://schemas.openxmlformats.org/officeDocument/2006/relationships/hyperlink" Id="rId43" Target="mailto:piotr@balticspedition.com" TargetMode="External" /><Relationship Type="http://schemas.openxmlformats.org/officeDocument/2006/relationships/hyperlink" Id="rId42" Target="mailto:retajczyk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mailto:media@nfosigw.gov.pl" TargetMode="External" /><Relationship Type="http://schemas.openxmlformats.org/officeDocument/2006/relationships/hyperlink" Id="rId43" Target="mailto:piotr@balticspedition.com" TargetMode="External" /><Relationship Type="http://schemas.openxmlformats.org/officeDocument/2006/relationships/hyperlink" Id="rId42" Target="mailto:retajczyk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pl-PL</dc:language>
  <cp:keywords/>
  <dcterms:created xsi:type="dcterms:W3CDTF">2026-10-08T09:58:00Z</dcterms:created>
  <dcterms:modified xsi:type="dcterms:W3CDTF">2026-10-08T09:58:00Z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