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Zmiany do wprowadzenia w plikach zamkniętych i w LSI</w:t>
      </w:r>
    </w:p>
    <w:p>
      <w:r>
        <w:rPr>
          <w:b w:val="0"/>
        </w:rPr>
        <w:t>Wniosek FENG.01.01-IP.01-A1RR/26, CargoDT. Zestawienie dotyczy plików, których nie korygujemy: Sekcja_1.3_i_ceny.docx, Poprawki_do_wklejenia_WP01-WP03.docx i Opisy_zadan_z_kamieniami_milowymi.docx. Powód zmian: odpowiedzi księgowej z 05.10.2026, odpis KRS z 05.10.2026 i Twoje decyzje D47 do D49. Każda pozycja podaje plik, miejsce, dotychczasowy zapis i nowy zapis do wklejenia w odpowiednim polu LSI.</w:t>
      </w:r>
    </w:p>
    <w:p>
      <w:pPr>
        <w:pStyle w:val="Heading1"/>
      </w:pPr>
      <w:r>
        <w:t>1. Powód zmian w skrócie</w:t>
      </w:r>
    </w:p>
    <w:p>
      <w:pPr>
        <w:pStyle w:val="ListBullet"/>
      </w:pPr>
      <w:r>
        <w:rPr>
          <w:b/>
        </w:rPr>
        <w:t>Sprzedaż Everest11:</w:t>
      </w:r>
      <w:r>
        <w:rPr>
          <w:b w:val="0"/>
        </w:rPr>
        <w:t xml:space="preserve"> w 2025 r. 95% Amazon i 5% Nara Motors, w pierwszym półroczu 2026 r. 100% Amazon. Nie ma bazy „ponad 50 aktywnych kontrahentów”, więc to sformułowanie znika.</w:t>
      </w:r>
    </w:p>
    <w:p>
      <w:pPr>
        <w:pStyle w:val="ListBullet"/>
      </w:pPr>
      <w:r>
        <w:rPr>
          <w:b/>
        </w:rPr>
        <w:t>Natanek Logistics:</w:t>
      </w:r>
      <w:r>
        <w:rPr>
          <w:b w:val="0"/>
        </w:rPr>
        <w:t xml:space="preserve"> powiązany z przyszłym Inwestorem, główny dostawca usług transportowych Everest11 (ok. 95% zakupów usług), partner testowy i jeden z trzech operatorów z listami intencyjnymi. Nie jest „niezależnym klientem”.</w:t>
      </w:r>
    </w:p>
    <w:p>
      <w:pPr>
        <w:pStyle w:val="ListBullet"/>
      </w:pPr>
      <w:r>
        <w:rPr>
          <w:b/>
        </w:rPr>
        <w:t>Dwaj pozostali operatorzy z listami intencyjnymi</w:t>
      </w:r>
      <w:r>
        <w:rPr>
          <w:b w:val="0"/>
        </w:rPr>
        <w:t xml:space="preserve"> (Hubert Lizak SZYK, Transport Towarowy Paweł Łazarczyk, razem 30 naczep) nie są powiązani z Inwestorem ani z Everest11.</w:t>
      </w:r>
    </w:p>
    <w:p>
      <w:pPr>
        <w:pStyle w:val="Heading1"/>
      </w:pPr>
      <w:r>
        <w:t>2. Sekcja_1.3_i_ceny.docx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Nr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Miejsce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8"/>
              </w:rPr>
              <w:t>Dotychczasowy zapis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8"/>
              </w:rPr>
              <w:t>Nowy zapis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1.1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Część VI „Segmenty i wejście na rynek”, pierwsze zdanie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„…a kanałem baza ponad 50 aktywnych kontrahentów spedycyjnych Everest11, z którymi spółka prowadzi bieżącą współpracę.”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„…a kanałem sprzedaż bezpośrednia do operatorów transportowych: trzej z nich podpisali listy intencyjne, a kolejni uczestniczyli w 15 rozmowach handlowych w okresie marzec-maj 2026.”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1.2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Rynek docelowy (innowacja produktowa), zdanie o barierze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„…a odpowie na nią bezpośredni kanał sprzedaży przez bazę ponad 50 klientów Everest11.”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„…a odpowie na nią sprzedaż bezpośrednia do operatorów transportowych.”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1.3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Rynek docelowy, zdanie o listach intencyjnych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„Trzej operatorzy z bazy klientów, Krajowe i Międzynarodowe Usługi Transportowe Hubert Lizak SZYK, Natanek Logistics i Transport Towarowy Paweł Łazarczyk, podpisali listy intencyjne na łącznie 50 naczep (20, 20 i 10), co stanowi pierwszy próg sprzedaży w 2030 r.”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„Trzej operatorzy transportowi, Krajowe i Międzynarodowe Usługi Transportowe Hubert Lizak SZYK, Natanek Logistics i Transport Towarowy Paweł Łazarczyk, podpisali listy intencyjne na łącznie 50 naczep (20, 20 i 10), co stanowi pierwszy próg sprzedaży w 2030 r. Natanek Logistics (20 naczep) jest podmiotem powiązanym z przyszłym Inwestorem, Zbigniewem Natankiem. Pozostali dwaj operatorzy (30 naczep) nie są powiązani z Inwestorem ani z Everest11.”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1.4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Plan wprowadzenia na rynek, zdanie o sprzedaży bezpośredniej (Michał Hajduk)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„…do bazy ponad 50 kontrahentów Everest11, w kontakcie bezpośrednim…”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„…do operatorów transportowych, w kontakcie bezpośrednim…”</w:t>
            </w:r>
          </w:p>
        </w:tc>
      </w:tr>
    </w:tbl>
    <w:p/>
    <w:p>
      <w:pPr>
        <w:pStyle w:val="Heading1"/>
      </w:pPr>
      <w:r>
        <w:t>3. Poprawki_do_wklejenia_WP01-WP03.docx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Nr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Miejsce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8"/>
              </w:rPr>
              <w:t>Dotychczasowy zapis</w:t>
            </w:r>
          </w:p>
        </w:tc>
        <w:tc>
          <w:tcPr>
            <w:tcW w:type="dxa" w:w="4309"/>
          </w:tcPr>
          <w:p>
            <w:r/>
            <w:r>
              <w:rPr>
                <w:b/>
                <w:sz w:val="18"/>
              </w:rPr>
              <w:t>Nowy zapis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2.1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Ryzyko R12, pole „Opis ryzyka” (limit 2000, nowy tekst ma 1171 znaków)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Cały dotychczasowy tekst, w tym zdanie „Natanek Logistics jest jednym z trzech niezależnych potwierdzonych klientów (listy intencyjne), co ogranicza skalę zależności.” i „Prawdopodobieństwo: niskie.”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8"/>
              </w:rPr>
              <w:t>Etap: cały okres realizacji i wdrożenie. Natanek Logistics jest powiązany z przyszłym Inwestorem (Zbigniew Natanek obejmie do 20% udziałów Everest11) i jednocześnie jest głównym dostawcą usług Everest11: ok. 95% zakupów usług, czyli ok. 13,4 mln zł w 2025 r. i ok. 8,4 mln zł w pierwszym półroczu 2026 r., to usługi transportowe od tego podmiotu. Natanek Logistics udostępni też flotę testową w Z9 i jest jednym z trzech operatorów, którzy podpisali listy intencyjne na zakup CargoDT (20 z 50 naczep). Transakcje z tym podmiotem mogą zostać zakwestionowane jako niezgodne z warunkami rynkowymi (przepisy CIT o podmiotach powiązanych, próg 25% udziałów, zasady pomocy publicznej i racjonalność wydatków), a duża zależność od jednego dostawcy zwiększa skutki takiego zakwestionowania albo zakłócenia współpracy. Prawdopodobieństwo: niskie do średniego. Wpływ: kwestionowanie wydatków lub przychodów, opóźnienie rozliczeń, ryzyko reputacyjne i ryzyko ciągłości usług transportowych. Zakupy usług transportowych dotyczą zwykłej działalności przewozowej Everest11 i nie są kosztami kwalifikowalnymi projektu. Wpływ na prace B+R: ograniczony do dostępności floty testowej w Z9.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2.2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Ryzyko R12, pole „Zapobieganie ryzyku” (nowy tekst ma 1244 znaków)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Cztery punkty mitygacji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8"/>
              </w:rPr>
              <w:t>Mitygacja: 1) skala zależności jest ujawniona i monitorowana: udział Natanek Logistics w zakupach usług Everest11 jest raportowany raz na kwartał w ocenie transakcji, a Everest11 utrzymuje alternatywnych dostawców usług transportowych spośród dotychczasowych dostawców spedycyjno-logistycznych i zwiększa ich udział, jeśli ceny Natanek Logistics odbiegają od rynkowych; 2) wszystkie transakcje z podmiotami powiązanymi z Inwestorem zawierane na warunkach rynkowych, weryfikowanych tą samą metodą, jaką stosujemy do cen rynkowych praw majątkowych między konsorcjantami: rozeznanie rynku (porównanie ofert innych przewoźników), niezależna wycena albo negocjacje w warunkach pełnej konkurencji; 3) umowa partnerska dotycząca floty testowej udokumentowana odniesieniem do porównywalnych ofert rynkowych (koszty wynajmu floty u innych podmiotów) oraz wpisana do rejestru transakcji; 4) formalne wskazanie, czy Everest11 i Natanek Logistics są powiązane w rozumieniu przepisów CIT (próg 25% udziałów; Inwestor obejmie maksymalnie 20%), niezależnie od tego deklaracja warunków rynkowych i dokumentacja transakcji; 5) niezależność walidacji zabezpieczona ścieżką audytu Z9 (D05) i dywersyfikacją floty (R11). Ocena transakcji prowadzona raz na kwartał.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2.3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Ryzyko R11, plan zastępczy, punkt 1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„…umowa partnerska z drugim przewoźnikiem spośród ponad 50 aktywnych kontrahentów Everest11 (współpraca od 2021 r.)…”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8"/>
              </w:rPr>
              <w:t>„…umowa partnerska z drugim przewoźnikiem spośród dotychczasowych dostawców usług transportowych Everest11…”</w:t>
            </w:r>
          </w:p>
        </w:tc>
      </w:tr>
    </w:tbl>
    <w:p/>
    <w:p>
      <w:pPr>
        <w:pStyle w:val="Heading1"/>
      </w:pPr>
      <w:r>
        <w:t>4. Opisy_zadan_z_kamieniami_milowymi.docx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Nr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Miejsce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8"/>
              </w:rPr>
              <w:t>Dotychczasowy zapis</w:t>
            </w:r>
          </w:p>
        </w:tc>
        <w:tc>
          <w:tcPr>
            <w:tcW w:type="dxa" w:w="4309"/>
          </w:tcPr>
          <w:p>
            <w:r/>
            <w:r>
              <w:rPr>
                <w:b/>
                <w:sz w:val="18"/>
              </w:rPr>
              <w:t>Nowy zapis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3.1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Ryzyko R12, pole „Opis ryzyka” (nowy tekst ma 1183 znaków)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Cały dotychczasowy tekst (zdanie o „niezależnych, potwierdzonych klientach” i „Prawdopodobieństwo jest niskie”)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8"/>
              </w:rPr>
              <w:t>Ryzyko dotyczy całego okresu realizacji i wdrożenia. Natanek Logistics jest powiązany z przyszłym Inwestorem (Zbigniew Natanek obejmie do 20% udziałów Everest11) i jednocześnie jest głównym dostawcą usług Everest11: ok. 95% zakupów usług, czyli ok. 13,4 mln zł w 2025 r. i ok. 8,4 mln zł w pierwszym półroczu 2026 r., to usługi transportowe od tego podmiotu. Natanek Logistics udostępni też flotę testową w Z9 i jest jednym z trzech operatorów, którzy podpisali listy intencyjne na zakup CargoDT (20 z 50 naczep). Transakcje z tym podmiotem mogą zostać zakwestionowane jako niezgodne z warunkami rynkowymi (przepisy CIT o podmiotach powiązanych, próg 25% udziałów, zasady pomocy publicznej i racjonalność wydatków), a duża zależność od jednego dostawcy zwiększa skutki takiego zakwestionowania albo zakłócenia współpracy. Prawdopodobieństwo: niskie do średniego. Wpływ: kwestionowanie wydatków lub przychodów, opóźnienie rozliczeń, ryzyko reputacyjne i ryzyko ciągłości usług transportowych. Zakupy usług transportowych dotyczą zwykłej działalności przewozowej Everest11 i nie są kosztami kwalifikowalnymi projektu. Wpływ na prace B+R: ograniczony do dostępności floty testowej w Z9.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3.2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Ryzyko R12, pole „Sposoby zapobiegania i minimalizacji skutków” (nowy tekst ma 1332 znaków)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Cztery działania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8"/>
              </w:rPr>
              <w:t>Ryzyko ograniczamy pięcioma działaniami. Po pierwsze, skala zależności jest ujawniona i monitorowana: udział Natanek Logistics w zakupach usług Everest11 jest raportowany raz na kwartał w ocenie transakcji, a Everest11 utrzymuje alternatywnych dostawców usług transportowych spośród dotychczasowych dostawców spedycyjno-logistycznych i zwiększa ich udział, jeśli ceny Natanek Logistics odbiegają od rynkowych. Po drugie, wszystkie transakcje z podmiotami powiązanymi z Inwestorem zawieramy na warunkach rynkowych, weryfikowanych tą samą metodą, którą stosujemy do cen rynkowych praw majątkowych między konsorcjantami: rozeznaniem rynku (porównaniem ofert innych przewoźników), niezależną wyceną albo negocjacjami w warunkach pełnej konkurencji. Po trzecie, umowę partnerską dotyczącą floty testowej dokumentujemy odniesieniem do porównywalnych ofert rynkowych (koszty wynajmu floty u innych podmiotów) i wpisujemy do rejestru transakcji. Po czwarte, formalnie ustalamy, czy Everest11 i Natanek Logistics są powiązane w rozumieniu przepisów o podatku dochodowym (próg 25% udziałów, a Inwestor obejmie najwyżej 20%), a niezależnie od wyniku dokumentujemy warunki rynkowe transakcji. Po piąte, niezależność walidacji zabezpiecza ścieżka audytu z zadania Z9 i dywersyfikacja floty (R11). Ocena transakcji jest prowadzona raz na kwartał.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3.3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Zadanie Z9, akapit „Niezależność wyników zapewnia procedura…” (K3-11), dopisek na końcu akapitu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Brak zdania o skali zależności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8"/>
              </w:rPr>
              <w:t>Dopisać: „Natanek Logistics jest też głównym dostawcą usług transportowych Everest11 (ok. 95% zakupów usług), dlatego procedura nie opiera się na ocenie ani deklaracjach pracowników tego podmiotu.”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3.4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Pole 3.1.2 „Uzasadnienie kosztu: Anotatorzy - wynagrodzenie (Z2)” (K3-39; nowy tekst ma 1378 znaków, limit 1500)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Dotychczasowy tekst (888 znaków) nie podaje formy zatrudnienia, nie wskazuje, kto nadzoruje jakość anotacji, ani że taksonomię i protokół opracowuje PRz w Z3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8"/>
              </w:rPr>
              <w:t>Everest11 zatrudni trzech anotatorów na umowę zlecenia, każdego w wymiarze 1,0 etatu przez 10 miesięcy (M9-M18), razem ok. 5 040 godzin w zadaniu Z2. Anotatorzy wykonają anotację co najmniej 15 000 klatek RGB metodą segmentacji instancji w standardzie COCO według taksonomii klas zabezpieczeń TSL i protokołu zbioru, które w zadaniu Z3 opracuje PRz, oraz według schematu anotacji przygotowanego przez AI Lead i AI Senior Engineer Everest11. Nakład wynosi około 11-12 minut na klatkę w gęstych scenach, do czego dochodzą reanotacja po kontroli jakości i niezależna anotacja próby co najmniej 10% klatek. Jakość będzie nadzorowana dwuetapowo: AI Lead zmierzy zgodność anotatorów współczynnikiem Cohena (wymagane co najmniej 0,80; przy niższej wartości próba i klasy o skupionych rozbieżnościach zostaną zaanotowane ponownie), a specjalista ds. logistyki TSL zatwierdzi etykietę referencyjną przy rozbieżnościach. Anotatorzy będą zgłaszać przypadki niejednoznaczne, które posłużą PRz do walidacji taksonomii w zadaniu Z3 (próba pilotażowa w M10). Ich praca jest bezpośrednim udziałem w badaniach przemysłowych, ponieważ wytwarza zbiór referencyjny i dane do pomiaru zgodności, a nie samą techniczną obróbkę datasetu. Zakres stanowiska ma wyłącznie charakter badawczo-rozwojowy i nie obejmuje czynności zarządczych, kierowniczych, koordynacyjnych, administracyjnych ani nadzorczych.</w:t>
            </w:r>
          </w:p>
        </w:tc>
      </w:tr>
    </w:tbl>
    <w:p/>
    <w:p>
      <w:pPr>
        <w:pStyle w:val="Heading1"/>
      </w:pPr>
      <w:r>
        <w:t>5. Sekcja_6.1_zespol_projektowy.docx (uwaga K3-33)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Nr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8"/>
              </w:rPr>
              <w:t>Miejsce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Dotychczasowy zapis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Nowy zapis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5.1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Pole zakresu obowiązków Jakuba Kosterny (AI Lead), na końcu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Brak jednoznacznej deklaracji o funkcjach zarządczych i nadzorczych (jest tylko zdanie „Prace będą wyłącznie badawczo-rozwojowe”).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Jakub Kosterna nie pełni w Everest11 funkcji zarządczych, kierowniczych, koordynacyjnych, administracyjnych ani nadzorczych i nie będzie ich pełnił w projekcie. Jako AI Lead wykona wyłącznie prace badawczo-rozwojowe: zaprojektuje architekturę potoku danych i schemat anotacji, a ocena zgodności anotatorów i przeliczenie metryk PRz na zamrożonym zbiorze są pomiarami wyników badań, a nie kierowaniem zespołem ani nadzorem nad pracownikami. Wymaga potwierdzenia właścicielki, że Jakub Kosterna nie jest członkiem zarządu ani nie kieruje zespołem w Everest11.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5.2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Pole zakresu obowiązków czterech osób PRz (Batsch, Nowak, Kusy, Król): zdanie dopisane dla każdej osoby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Brak deklaracji. W biografiach z wniosku żadna z tych osób nie ma wskazanej funkcji kierowniczej na uczelni (Batsch i Nowak to adiunkci, Kusy profesor uczelni w Katedrze, Król asystentka).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Osoba ta wykona w projekcie wyłącznie prace badawczo-rozwojowe w zadaniach Z1, Z3, Z4, Z5 i Z8 wskazanych w opisie zadań. Nie pełni w projekcie ani w Politechnice Rzeszowskiej funkcji zarządczych, kierowniczych, koordynacyjnych, administracyjnych ani nadzorczych, a wynagrodzenie z projektu nie obejmuje takich czynności. Wklejamy po pisemnym potwierdzeniu przez PRz, że żadna z czterech osób nie pełni funkcji zarządczych ani kierowniczych na uczelni.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5.3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Pole „Sposób zarządzania projektem”, na końcu akapitu o kierownikach (zdanie od „Kierownik B+R i kierownik zarządzający są pracownikami PRz…”)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Zdanie o braku funkcji zarządczych w PRz, bez informacji o kategorii kosztu.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Dopisać: „Wynagrodzenie kierownika B+R, kierownika zarządzającego i zastępcy kierownika zarządzającego zostanie ujęte w kosztach pośrednich, a nie w kategorii „Personel projektu”.”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5.4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Biografia i zakres obowiązków Andrzeja Włocha (PRz); pozycje kosztowe 3.1.2: Z1, Z3, Z4, Z5, Z8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Biografia: „profesor uczelni, kierownik Zakładu Modelowania Matematycznego Politechniki Rzeszowskiej”, a koszt w kategorii „Personel projektu”.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Dr hab. Andrzej Włoch jest w biografii z wniosku opisany jako „profesor uczelni, kierownik Zakładu Modelowania Matematycznego Politechniki Rzeszowskiej”. Przewodnik kwalifikowalności (pkt 3.3.1 i 3.3.9) wyłącza z kategorii „Personel projektu” każdego, kto zarządza, nadzoruje lub koordynuje u Lidera albo konsorcjanta, a koszt takiej osoby może być rozliczony wyłącznie w kosztach pośrednich, bez podziału na część B+R. Do decyzji, po uzyskaniu odpowiedzi PRz, dwa warianty. Wariant A (PRz potwierdza, że kieruje Zakładem): wynagrodzenie Andrzeja Włocha znika z kategorii „Personel projektu” PRz (Z1 11 016,00 zł, Z3 37 087,20 zł, Z4 17 442,00 zł, Z5 6 976,80 zł, Z8 9 271,80 zł, razem 81 793,80 zł, 900 godzin), a w kosztach pośrednich nie jest finansowane odrębnie, bo są ryczałtem 25%. Koszty bezpośrednie PRz spadają o 81 793,80 zł, a koszty pośrednie o 20 448,45 zł, razem o 102 242,25 zł. Dofinansowanie nie rośnie. Zadania modelowania i walidacji statystycznej trzeba przypisać innym osobom z PRz bez zwiększenia budżetu (do ustalenia z PRz). Wariant B (PRz potwierdza na piśmie, że nie pełni ani nie pełnił funkcji kierowniczej w okresie projektu): w biografii z wniosku usunąć słowa „kierownik Zakładu Modelowania Matematycznego”, a w polu zakresu obowiązków dopisać zdanie z poz. 5.2. Wariant dopuszczalny tylko, jeśli opis w obecnym wniosku jest nieprawdziwy albo nieaktualny.</w:t>
            </w:r>
          </w:p>
        </w:tc>
      </w:tr>
    </w:tbl>
    <w:p/>
    <w:p>
      <w:pPr>
        <w:pStyle w:val="Heading1"/>
      </w:pPr>
      <w:r>
        <w:t>6. Pola we wniosku (LSI) poza plikami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Nr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8"/>
              </w:rPr>
              <w:t>Miejsce</w:t>
            </w:r>
          </w:p>
        </w:tc>
        <w:tc>
          <w:tcPr>
            <w:tcW w:type="dxa" w:w="6066"/>
          </w:tcPr>
          <w:p>
            <w:r/>
            <w:r>
              <w:rPr>
                <w:b/>
                <w:sz w:val="18"/>
              </w:rPr>
              <w:t>Zmiana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4.1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Opis dokapitalizowania, źródła finansowania wkładu własnego (K6-12)</w:t>
            </w:r>
          </w:p>
        </w:tc>
        <w:tc>
          <w:tcPr>
            <w:tcW w:type="dxa" w:w="6066"/>
          </w:tcPr>
          <w:p>
            <w:r/>
            <w:r>
              <w:rPr>
                <w:b w:val="0"/>
                <w:sz w:val="18"/>
              </w:rPr>
              <w:t>Dopisać na końcu opisu: „Kapitał zakładowy Everest11 wynosi 5 000 zł (100 udziałów po 50 zł), a jedynym wspólnikiem i prezesem zarządu jest Wojciech Chrzanowski (wpis w KRS z 02.06.2025 r.). Wkład własny wniesie inwestor, Zbigniew Natanek, który obejmie wszystkie nowe udziały w podwyższonym kapitale zakładowym na podstawie uchwały wspólników wskazującej go jako jedyną osobę uprawnioną do objęcia udziałów. Dotychczasowy wspólnik nie obejmie nowych udziałów i nie wniesie środków. Kapitał zakładowy wzrośnie tylko o wartość nominalną nowych udziałów: przy objęciu 25 udziałów po 50 zł, które odpowiadają 20% kapitału po podwyższeniu, będzie to 1 250 zł. Pozostała część wkładu inwestora (1 253 358 zł pomniejszone o wartość nominalną) zostanie wniesiona jako nadwyżka ponad wartość nominalną udziałów i przekazana na kapitał zapasowy. Liczbę obejmowanych udziałów i cenę emisyjną określi profesjonalna wycena spółki przeprowadzona po przyznaniu dofinansowania, a udział inwestora nie przekroczy 20% zgodnie z warunkową umową inwestycyjną. Pozostałe udziały, czyli co najmniej 80% kapitału po podwyższeniu, pozostają przy dotychczasowym wspólniku.”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4.2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Model finansowy Everest11 (załącznik w LSI)</w:t>
            </w:r>
          </w:p>
        </w:tc>
        <w:tc>
          <w:tcPr>
            <w:tcW w:type="dxa" w:w="6066"/>
          </w:tcPr>
          <w:p>
            <w:r/>
            <w:r>
              <w:rPr>
                <w:b w:val="0"/>
                <w:sz w:val="18"/>
              </w:rPr>
              <w:t>Podmienić plik na Model_finansowy_CargoDT_Everest_II_kwartal_2026.xlsm (dane za II kwartał 2026, komentarze, harmonogram płatności).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4.3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8"/>
              </w:rPr>
              <w:t>Załączniki</w:t>
            </w:r>
          </w:p>
        </w:tc>
        <w:tc>
          <w:tcPr>
            <w:tcW w:type="dxa" w:w="6066"/>
          </w:tcPr>
          <w:p>
            <w:r/>
            <w:r>
              <w:rPr>
                <w:b w:val="0"/>
                <w:sz w:val="18"/>
              </w:rPr>
              <w:t>Dodać podpisane sprawozdania za II kwartał 2026 (bilans i rachunek zysków i strat na 30.06.2026), usunąć sprawozdania za I kwartał.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