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Sekcje 7.1 do 7.4: zasady horyzontalne i 6R</w:t>
      </w:r>
    </w:p>
    <w:p>
      <w:r>
        <w:rPr>
          <w:b w:val="0"/>
        </w:rPr>
        <w:t>Wniosek FENG.01.01-IP.01-A1RR/26, CargoDT. Pakiet WP12 (uwagi K10-01 do K13-06). Teksty są gotowe do wklejenia, bez pól do uzupełnienia. Dane, które musisz potwierdzić lub zrobić Ty albo PRz, są w części 8.</w:t>
      </w:r>
    </w:p>
    <w:p>
      <w:pPr>
        <w:pStyle w:val="Heading1"/>
      </w:pPr>
      <w:r>
        <w:t>1. Co zmieniono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7937"/>
          </w:tcPr>
          <w:p>
            <w:r/>
            <w:r>
              <w:rPr>
                <w:b/>
                <w:sz w:val="18"/>
              </w:rPr>
              <w:t>Poprawka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K10-01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Wymieniono dokumenty wewnętrzne Everest11 (4 dokumenty przyjęte przed startem, z treścią) i PRz (Plan Równości Płci, regulamin pracy, kodeks etyki, regulacje antymobbingowe).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K10-02, K10-03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Opisano nabór otwarty, formularz bez cech chronionych i udogodnienia: dla osób różnego pochodzenia i wyznania oraz dla osób z niepełnosprawnościami (dostosowanie stanowiska, praca zdalna, napisy na żywo).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K10-04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Projektowanie uniwersalne w B+R (kryteria akceptacji w Z1, test w Z7, lista kontrolna dostępności w badaniu UX Z9) i w internacjonalizacji (Z10).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K10-05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Tabela dostępności ma 7 pozycji: zestaw z panelem HMI, platforma, dokumenty PoL i PoC, API, aparatura, oprogramowanie, usługi zewnętrzne. Zestaw z panelem HMI zmieniono z „neutralny” na „pozytywny”, bo kierowca jest jego użytkownikiem (panel HMI i buzzer). Instrukcja dopuszcza neutralność tylko dla produktów bez użytkowników.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K10-06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Zamiast deklaracji: rekrutacja (karta, co najmniej jedna kobieta na rozmowie, cel 30%), analiza różnic płac co 12 miesięcy z progiem 5%, godziny spotkań, monitorowanie w kwartalnych przeglądach.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K11-01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Każdy artykuł z listy (1, 3-8, 10, 15, 20-23, 25-28, 30-33) ma konkretne działanie lub uzasadnioną neutralność. Dodano art. 13, 17 i 37 oraz deklarację neutralności dla reszty.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K12-01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Każdy artykuł (2-7, 9, 27) ma działanie lub uzasadnienie. Art. 27 nie jest już neutralny. Dodano art. 24 i 25 jako neutralne.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K13-01 do K13-04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Wariant A (reduce + refuse) zastąpiony wariantem B: zasada reduce i dwa wskaźniki mierzone w trakcie projektu. Wskaźnik wypełnienia naczep 65% do 80% usunięty. Metodologia z bazą, celem, liczbą cykli i sposobem pomiaru.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K13-05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Podział prac zgodny z planem: oba wskaźniki osiąga Everest11, PRz wspiera dobór lekkich architektur w Z3 i Z8 oraz przelicza wynik wolumenu danych. PRz nie ma już „metodyki walidacji dokumentacji cyfrowej”.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K13-06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Usunięto deklarację o zielonych zamówieniach i ograniczaniu zużycia materiałów. Dodano konkretne: testy w rzeczywistych kursach bez dodatkowych przejazdów. Odpady: demontaż i wycofanie po Z9, nie niszczenie.</w:t>
            </w:r>
          </w:p>
        </w:tc>
      </w:tr>
    </w:tbl>
    <w:p/>
    <w:p>
      <w:pPr>
        <w:pStyle w:val="Heading1"/>
      </w:pPr>
      <w:r>
        <w:t>2. Pkt 7.1 Równość szans i niedyskryminacja</w:t>
      </w:r>
    </w:p>
    <w:p>
      <w:pPr>
        <w:pStyle w:val="Heading3"/>
      </w:pPr>
      <w:r>
        <w:t>Pozytywny wpływ projektu na zasadę równości szans (limit 5000)</w:t>
      </w:r>
    </w:p>
    <w:p>
      <w:pPr>
        <w:keepNext/>
        <w:spacing w:before="160" w:after="40"/>
      </w:pPr>
      <w:r>
        <w:rPr>
          <w:b/>
          <w:sz w:val="20"/>
        </w:rPr>
        <w:t>Treść</w:t>
      </w:r>
      <w:r>
        <w:rPr>
          <w:color w:val="666666"/>
          <w:sz w:val="17"/>
        </w:rPr>
        <w:t xml:space="preserve"> [4365 znaków]</w:t>
      </w:r>
    </w:p>
    <w:p>
      <w:pPr>
        <w:spacing w:after="60"/>
      </w:pPr>
      <w:r>
        <w:rPr>
          <w:b w:val="0"/>
        </w:rPr>
        <w:t>Projekt będzie realizowany zgodnie z zasadą równości szans i niedyskryminacji z art. 9 ust. 2 i 3 rozporządzenia 2021/1060 oraz Wytycznymi dotyczącymi realizacji zasad równościowych w ramach funduszy unijnych na lata 2021-2027, a poniższy opis dotyczy obu członków konsorcjum.</w:t>
      </w:r>
    </w:p>
    <w:p>
      <w:pPr>
        <w:spacing w:after="60"/>
      </w:pPr>
      <w:r>
        <w:rPr>
          <w:b w:val="0"/>
        </w:rPr>
        <w:t>Everest11 przyjmie zarządzeniem zarządu, najpóźniej 31.10.2026, czyli przed startem projektu, cztery dokumenty obowiązujące wszystkie osoby pracujące w projekcie, także na umowach cywilnoprawnych. Pierwszy to polityka równego traktowania, która będzie zakazywać dyskryminacji ze względu na wszystkie przesłanki z art. 21 Karty Praw Podstawowych, mobbingu i molestowania, w tym seksualnego, oraz określi tryb skargi: rozpatrzenie w 14 dni przez osobę wskazaną przez zarząd i zakaz działań odwetowych wobec zgłaszającego. Drugi to procedura rekrutacji i wynagradzania, w której opis stanowiska i karta oceny będą oparte wyłącznie na kompetencjach, ta sama karta zostanie użyta dla każdego kandydata, a wynagrodzenie na stanowisku będzie wynikać z jawnej siatki. Trzeci to polityka godzenia pracy z życiem prywatnym, obejmująca elastyczny czas pracy, pracę hybrydową i zdalną oraz urlopy opiekuńcze zgodne z Kodeksem pracy i dyrektywą 2019/1158. Czwarty to polityka ochrony danych osobowych zgodna z RODO. Za wdrożenie odpowiada kierownik zarządzający, a każda osoba w zespole potwierdzi zapoznanie się z dokumentami na piśmie przed rozpoczęciem pracy.</w:t>
      </w:r>
    </w:p>
    <w:p>
      <w:pPr>
        <w:spacing w:after="60"/>
      </w:pPr>
      <w:r>
        <w:rPr>
          <w:b w:val="0"/>
        </w:rPr>
        <w:t>Politechnika Rzeszowska stosuje Plan Równości Płci wprowadzony zarządzeniem nr 91 Rektora z 28.10.2022, w ramach którego działa zespół ds. równości i pełnomocnik Rektora, a także regulamin pracy, kodeks etyki i regulacje przeciwdziałające mobbingowi i dyskryminacji. Rekrutacja w PRz będzie przebiegać według procedur uczelni zgodnych z ustawą Prawo o szkolnictwie wyższym i nauce, a dodatki projektowe zostaną przyznane według regulaminu wynagradzania, czyli zarządzenia Rektora nr 123/2021.</w:t>
      </w:r>
    </w:p>
    <w:p>
      <w:pPr>
        <w:spacing w:after="60"/>
      </w:pPr>
      <w:r>
        <w:rPr>
          <w:b w:val="0"/>
        </w:rPr>
        <w:t>Do zespołu będą mogły dołączyć osoby każdej rasy, pochodzenia, religii, światopoglądu, wieku i orientacji. Nabór na 7 planowanych stanowisk będzie otwarty, ogłoszenia nie będą zawierać wymagań niezwiązanych z pracą, formularz zgłoszeniowy nie będzie zbierać zdjęcia, daty urodzenia ani informacji o wyznaniu i orientacji, a kandydaci zostaną ocenieni kartą kompetencji. Zespół będzie komunikował się po polsku i angielsku, kierownik zarządzający pomoże w formalnościach zatrudnienia cudzoziemca, a dni wolne na święta religijne będzie można odpracować. Mowa nienawiści będzie zakazana w polityce równego traktowania.</w:t>
      </w:r>
    </w:p>
    <w:p>
      <w:pPr>
        <w:spacing w:after="60"/>
      </w:pPr>
      <w:r>
        <w:rPr>
          <w:b w:val="0"/>
        </w:rPr>
        <w:t>Prace B+R w projekcie polegają głównie na pracy przy komputerze, więc będą mogły je wykonywać osoby z różnymi niepełnosprawnościami. Everest11 i PRz dostosują stanowisko na wniosek osoby zatrudnionej: zapewnią oprogramowanie czytnika ekranu lub powiększania, ergonomiczne wyposażenie i oświetlenie, pracę zdalną lub hybrydową oraz elastyczny czas pracy. Przed zatrudnieniem osoby z niepełnosprawnością ruchową Everest11 oceni dostępność biura, a w razie barier zorganizuje pracę zdalną i spotkania w dostępnych miejscach. PRz zapewni dostępność budynków zgodnie z ustawą z 19.07.2019 o zapewnianiu dostępności. Spotkania zdalne będą prowadzone z napisami na żywo, a materiały będą udostępniane w formatach dostępnych cyfrowo. Koszty dostosowań poniesie zatrudniający ze środków własnych, poza kosztami kwalifikowalnymi.</w:t>
      </w:r>
    </w:p>
    <w:p>
      <w:pPr>
        <w:spacing w:after="60"/>
      </w:pPr>
      <w:r>
        <w:rPr>
          <w:b w:val="0"/>
        </w:rPr>
        <w:t>Wymagania dostępności zostaną wpisane w zadaniu Z1 do specyfikacji interfejsów jako kryteria akceptacji. Alert w kabinie będzie jednocześnie dźwiękowy i wizualny, tekst i ikony będą czytelne w słabym świetle i przy słońcu, obsługa nie będzie wymagać precyzyjnych ruchów, a panel dyspozytora spełni WCAG 2.1 poziom AA. W Z7 zostanie sprawdzony panel HMI i sygnał dźwiękowy w kabinie. W badaniu UX w Z9, z udziałem co najmniej 2 kierowców i 2 dyspozytorów, zespół zastosuje listę kontrolną dostępności: kontrast co najmniej 4,5:1, obsługa samą klawiaturą, test czytnikiem NVDA i czytelność alertów w jeździe. Wynik listy będzie kryterium odbioru kamienia milowego Z9.</w:t>
      </w:r>
    </w:p>
    <w:p>
      <w:pPr>
        <w:spacing w:after="60"/>
      </w:pPr>
      <w:r>
        <w:rPr>
          <w:b w:val="0"/>
        </w:rPr>
        <w:t>W zadaniu Z10 materiały na wydarzenie branżowe w regionie CEE zostaną przygotowane po polsku i angielsku jako dostępne dokumenty cyfrowe: tagowane PDF, z kontrastem, tekstem alternatywnym i prostym językiem. W zapytaniu o udział Everest11 zażąda obiektu dostępnego architektonicznie, a strona prezentująca produkt będzie spełniać WCAG 2.1 AA.</w:t>
      </w:r>
    </w:p>
    <w:p>
      <w:pPr>
        <w:pStyle w:val="Heading3"/>
      </w:pPr>
      <w:r>
        <w:t>Dostępność produktu/usługi w projekcie (limit 500 na uzasadnienie)</w:t>
      </w:r>
    </w:p>
    <w:p>
      <w:pPr>
        <w:spacing w:after="60"/>
      </w:pPr>
      <w:r>
        <w:rPr>
          <w:b w:val="0"/>
        </w:rPr>
        <w:t>Pole sekcji powtarzalnej. Pozycje 1 i 2 zastępują dotychczasowe, pozycje 3 do 7 dodaj.</w:t>
      </w:r>
    </w:p>
    <w:p>
      <w:pPr>
        <w:keepNext/>
        <w:spacing w:before="160" w:after="40"/>
      </w:pPr>
      <w:r>
        <w:rPr>
          <w:b/>
          <w:sz w:val="20"/>
        </w:rPr>
        <w:t>1. Nazwa produktu/usługi: Zestaw CargoDT z panelem HMI i alarmem dźwiękowym w kabinie</w:t>
      </w:r>
    </w:p>
    <w:p>
      <w:r>
        <w:rPr>
          <w:b/>
        </w:rPr>
        <w:t xml:space="preserve">Wpływ: </w:t>
      </w:r>
      <w:r>
        <w:t>pozytywny</w:t>
      </w:r>
    </w:p>
    <w:p>
      <w:pPr>
        <w:keepNext/>
        <w:spacing w:before="160" w:after="40"/>
      </w:pPr>
      <w:r>
        <w:rPr>
          <w:b/>
          <w:sz w:val="20"/>
        </w:rPr>
        <w:t>Uzasadnienie</w:t>
      </w:r>
      <w:r>
        <w:rPr>
          <w:color w:val="666666"/>
          <w:sz w:val="17"/>
        </w:rPr>
        <w:t xml:space="preserve"> [416 znaków]</w:t>
      </w:r>
    </w:p>
    <w:p>
      <w:pPr>
        <w:spacing w:after="60"/>
      </w:pPr>
      <w:r>
        <w:rPr>
          <w:b w:val="0"/>
        </w:rPr>
        <w:t>Kierowca będzie bezpośrednim użytkownikiem zestawu. Alert będzie miał trzy poziomy ryzyka i zostanie przekazany jednocześnie sygnałem dźwiękowym i wizualnie na panelu HMI, więc osoba słabosłysząca lub słabowidząca otrzyma go drugim kanałem. Tekst i ikony będą miały wysoki kontrast, a obsługa nie będzie wymagać precyzyjnych ruchów. Czytelność i słyszalność zostaną sprawdzone w badaniu UX w Z9 z udziałem kierowców.</w:t>
      </w:r>
    </w:p>
    <w:p>
      <w:pPr>
        <w:keepNext/>
        <w:spacing w:before="160" w:after="40"/>
      </w:pPr>
      <w:r>
        <w:rPr>
          <w:b/>
          <w:sz w:val="20"/>
        </w:rPr>
        <w:t>2. Nazwa produktu/usługi: Platforma CargoDT, panel dyspozytora (wynik projektu)</w:t>
      </w:r>
    </w:p>
    <w:p>
      <w:r>
        <w:rPr>
          <w:b/>
        </w:rPr>
        <w:t xml:space="preserve">Wpływ: </w:t>
      </w:r>
      <w:r>
        <w:t>pozytywny</w:t>
      </w:r>
    </w:p>
    <w:p>
      <w:pPr>
        <w:keepNext/>
        <w:spacing w:before="160" w:after="40"/>
      </w:pPr>
      <w:r>
        <w:rPr>
          <w:b/>
          <w:sz w:val="20"/>
        </w:rPr>
        <w:t>Uzasadnienie</w:t>
      </w:r>
      <w:r>
        <w:rPr>
          <w:color w:val="666666"/>
          <w:sz w:val="17"/>
        </w:rPr>
        <w:t xml:space="preserve"> [440 znaków]</w:t>
      </w:r>
    </w:p>
    <w:p>
      <w:pPr>
        <w:spacing w:after="60"/>
      </w:pPr>
      <w:r>
        <w:rPr>
          <w:b w:val="0"/>
        </w:rPr>
        <w:t>Panel zostanie opracowany według WCAG 2.1 poziom AA: obsługa czytnikami ekranu NVDA i JAWS, pełna obsługa klawiaturą, kontrast co najmniej 4,5:1, tekst alternatywny dla map 3D i wykresów, prosty język oraz alerty tekstowe, wizualne i dźwiękowe. Dostępność zostanie zweryfikowana listą kontrolną w Z9. Panel będzie zgodny z zasadą uniwersalnego projektowania: równe szanse, elastyczność użycia, postrzegalność informacji i tolerancja błędów.</w:t>
      </w:r>
    </w:p>
    <w:p>
      <w:pPr>
        <w:keepNext/>
        <w:spacing w:before="160" w:after="40"/>
      </w:pPr>
      <w:r>
        <w:rPr>
          <w:b/>
          <w:sz w:val="20"/>
        </w:rPr>
        <w:t>3. Nazwa produktu/usługi: Dokumenty Proof of Loading i Proof of Condition w formacie eFTI</w:t>
      </w:r>
    </w:p>
    <w:p>
      <w:r>
        <w:rPr>
          <w:b/>
        </w:rPr>
        <w:t xml:space="preserve">Wpływ: </w:t>
      </w:r>
      <w:r>
        <w:t>pozytywny</w:t>
      </w:r>
    </w:p>
    <w:p>
      <w:pPr>
        <w:keepNext/>
        <w:spacing w:before="160" w:after="40"/>
      </w:pPr>
      <w:r>
        <w:rPr>
          <w:b/>
          <w:sz w:val="20"/>
        </w:rPr>
        <w:t>Uzasadnienie</w:t>
      </w:r>
      <w:r>
        <w:rPr>
          <w:color w:val="666666"/>
          <w:sz w:val="17"/>
        </w:rPr>
        <w:t xml:space="preserve"> [327 znaków]</w:t>
      </w:r>
    </w:p>
    <w:p>
      <w:pPr>
        <w:spacing w:after="60"/>
      </w:pPr>
      <w:r>
        <w:rPr>
          <w:b w:val="0"/>
        </w:rPr>
        <w:t>Odbiorcami będą dyspozytorzy, kierowcy i organy kontroli. Dokument powstanie w formacie maszynowym XML, a człowiek obejrzy go w panelu w dostępnym HTML i w PDF z tagami, w prostym języku i ze stałą strukturą nagłówków. Czytnik ekranu odczyta wszystkie pola, a stan ładunku będzie opisany tekstem, a nie tylko kolorem lub ikoną.</w:t>
      </w:r>
    </w:p>
    <w:p>
      <w:pPr>
        <w:keepNext/>
        <w:spacing w:before="160" w:after="40"/>
      </w:pPr>
      <w:r>
        <w:rPr>
          <w:b/>
          <w:sz w:val="20"/>
        </w:rPr>
        <w:t>4. Nazwa produktu/usługi: Interfejs API integracji z TMS, eFTI i e-CMR</w:t>
      </w:r>
    </w:p>
    <w:p>
      <w:r>
        <w:rPr>
          <w:b/>
        </w:rPr>
        <w:t xml:space="preserve">Wpływ: </w:t>
      </w:r>
      <w:r>
        <w:t>neutralny</w:t>
      </w:r>
    </w:p>
    <w:p>
      <w:pPr>
        <w:keepNext/>
        <w:spacing w:before="160" w:after="40"/>
      </w:pPr>
      <w:r>
        <w:rPr>
          <w:b/>
          <w:sz w:val="20"/>
        </w:rPr>
        <w:t>Uzasadnienie</w:t>
      </w:r>
      <w:r>
        <w:rPr>
          <w:color w:val="666666"/>
          <w:sz w:val="17"/>
        </w:rPr>
        <w:t xml:space="preserve"> [324 znaków]</w:t>
      </w:r>
    </w:p>
    <w:p>
      <w:pPr>
        <w:spacing w:after="60"/>
      </w:pPr>
      <w:r>
        <w:rPr>
          <w:b w:val="0"/>
        </w:rPr>
        <w:t>Interfejs będzie służył wyłącznie do komunikacji między systemami i nie będzie miał bezpośrednich użytkowników, bo człowiek nie będzie go obsługiwał podczas działania. Dostęp osób do wyników zapewnią dostępny panel i dokumenty opisane wyżej, a dokumentacja techniczna dla integratorów zostanie opublikowana w dostępnym HTML.</w:t>
      </w:r>
    </w:p>
    <w:p>
      <w:pPr>
        <w:keepNext/>
        <w:spacing w:before="160" w:after="40"/>
      </w:pPr>
      <w:r>
        <w:rPr>
          <w:b/>
          <w:sz w:val="20"/>
        </w:rPr>
        <w:t>5. Nazwa produktu/usługi: Aparatura badawcza i sprzęt pomiarowy kupowane w projekcie</w:t>
      </w:r>
    </w:p>
    <w:p>
      <w:r>
        <w:rPr>
          <w:b/>
        </w:rPr>
        <w:t xml:space="preserve">Wpływ: </w:t>
      </w:r>
      <w:r>
        <w:t>neutralny</w:t>
      </w:r>
    </w:p>
    <w:p>
      <w:pPr>
        <w:keepNext/>
        <w:spacing w:before="160" w:after="40"/>
      </w:pPr>
      <w:r>
        <w:rPr>
          <w:b/>
          <w:sz w:val="20"/>
        </w:rPr>
        <w:t>Uzasadnienie</w:t>
      </w:r>
      <w:r>
        <w:rPr>
          <w:color w:val="666666"/>
          <w:sz w:val="17"/>
        </w:rPr>
        <w:t xml:space="preserve"> [367 znaków]</w:t>
      </w:r>
    </w:p>
    <w:p>
      <w:pPr>
        <w:spacing w:after="60"/>
      </w:pPr>
      <w:r>
        <w:rPr>
          <w:b w:val="0"/>
        </w:rPr>
        <w:t>Kamery ToF i EO, radar, platforma embedded, przełączniki, stanowisko wibracyjne i stacje robocze będą pracować w pojeździe lub na stanowisku badawczym i nie będą miały użytkowników zewnętrznych. Skonfigurują je pracownicy zespołu przy użyciu oprogramowania opisanego w kolejnej pozycji, a w razie potrzeby zostanie ono dostosowane do osoby ze szczególnymi potrzebami.</w:t>
      </w:r>
    </w:p>
    <w:p>
      <w:pPr>
        <w:keepNext/>
        <w:spacing w:before="160" w:after="40"/>
      </w:pPr>
      <w:r>
        <w:rPr>
          <w:b/>
          <w:sz w:val="20"/>
        </w:rPr>
        <w:t>6. Nazwa produktu/usługi: Oprogramowanie i licencje narzędziowe używane przez zespół projektu</w:t>
      </w:r>
    </w:p>
    <w:p>
      <w:r>
        <w:rPr>
          <w:b/>
        </w:rPr>
        <w:t xml:space="preserve">Wpływ: </w:t>
      </w:r>
      <w:r>
        <w:t>pozytywny</w:t>
      </w:r>
    </w:p>
    <w:p>
      <w:pPr>
        <w:keepNext/>
        <w:spacing w:before="160" w:after="40"/>
      </w:pPr>
      <w:r>
        <w:rPr>
          <w:b/>
          <w:sz w:val="20"/>
        </w:rPr>
        <w:t>Uzasadnienie</w:t>
      </w:r>
      <w:r>
        <w:rPr>
          <w:color w:val="666666"/>
          <w:sz w:val="17"/>
        </w:rPr>
        <w:t xml:space="preserve"> [337 znaków]</w:t>
      </w:r>
    </w:p>
    <w:p>
      <w:pPr>
        <w:spacing w:after="60"/>
      </w:pPr>
      <w:r>
        <w:rPr>
          <w:b w:val="0"/>
        </w:rPr>
        <w:t>Oprogramowanie do anotacji, rozwoju kodu i obsługi kamer zostanie wybrane z uwzględnieniem obsługi klawiaturą, kontrastu i współpracy z czytnikami ekranu i powiększaniem. Jeśli do zespołu dołączy osoba ze szczególnymi potrzebami, zatrudniający dobierze narzędzia z odpowiednimi funkcjami asystującymi i pokryje koszt ze środków własnych.</w:t>
      </w:r>
    </w:p>
    <w:p>
      <w:pPr>
        <w:keepNext/>
        <w:spacing w:before="160" w:after="40"/>
      </w:pPr>
      <w:r>
        <w:rPr>
          <w:b/>
          <w:sz w:val="20"/>
        </w:rPr>
        <w:t>7. Nazwa produktu/usługi: Usługi zewnętrzne: montaż, obsługa patentowa, doradztwo i udział w wydarzeniu branżowym</w:t>
      </w:r>
    </w:p>
    <w:p>
      <w:r>
        <w:rPr>
          <w:b/>
        </w:rPr>
        <w:t xml:space="preserve">Wpływ: </w:t>
      </w:r>
      <w:r>
        <w:t>pozytywny</w:t>
      </w:r>
    </w:p>
    <w:p>
      <w:pPr>
        <w:keepNext/>
        <w:spacing w:before="160" w:after="40"/>
      </w:pPr>
      <w:r>
        <w:rPr>
          <w:b/>
          <w:sz w:val="20"/>
        </w:rPr>
        <w:t>Uzasadnienie</w:t>
      </w:r>
      <w:r>
        <w:rPr>
          <w:color w:val="666666"/>
          <w:sz w:val="17"/>
        </w:rPr>
        <w:t xml:space="preserve"> [346 znaków]</w:t>
      </w:r>
    </w:p>
    <w:p>
      <w:pPr>
        <w:spacing w:after="60"/>
      </w:pPr>
      <w:r>
        <w:rPr>
          <w:b w:val="0"/>
        </w:rPr>
        <w:t>W zapytaniach ofertowych Everest11 zażąda dostępności: wydarzenie w obiekcie dostępnym architektonicznie, materiały w dostępnych formatach cyfrowych, możliwość tłumaczenia lub napisów na życzenie uczestnika oraz klauzula o dostępności w umowie. Usługi doradcze i patentowe zostaną dostarczone w formie dokumentów cyfrowych w dostępnych formatach.</w:t>
      </w:r>
    </w:p>
    <w:p>
      <w:pPr>
        <w:pStyle w:val="Heading3"/>
      </w:pPr>
      <w:r>
        <w:t>Zgodność projektu z zasadą równości kobiet i mężczyzn (limit 4000)</w:t>
      </w:r>
    </w:p>
    <w:p>
      <w:pPr>
        <w:keepNext/>
        <w:spacing w:before="160" w:after="40"/>
      </w:pPr>
      <w:r>
        <w:rPr>
          <w:b/>
          <w:sz w:val="20"/>
        </w:rPr>
        <w:t>Treść</w:t>
      </w:r>
      <w:r>
        <w:rPr>
          <w:color w:val="666666"/>
          <w:sz w:val="17"/>
        </w:rPr>
        <w:t xml:space="preserve"> [2932 znaków]</w:t>
      </w:r>
    </w:p>
    <w:p>
      <w:pPr>
        <w:spacing w:after="60"/>
      </w:pPr>
      <w:r>
        <w:rPr>
          <w:b w:val="0"/>
        </w:rPr>
        <w:t>Projekt będzie realizowany zgodnie z zasadą równości kobiet i mężczyzn z art. 9 ust. 2 i 3 rozporządzenia 2021/1060 i Wytycznymi równościowymi na lata 2021-2027, a zasadę zastosują oba podmioty: Everest11 i Politechnika Rzeszowska. Dokumenty wewnętrzne opisano w pkt 7.1, a tutaj podano działania dotyczące równości płci.</w:t>
      </w:r>
    </w:p>
    <w:p>
      <w:pPr>
        <w:spacing w:after="60"/>
      </w:pPr>
      <w:r>
        <w:rPr>
          <w:b w:val="0"/>
        </w:rPr>
        <w:t>W rekrutacji ogłoszenia będą redagowane neutralnie płciowo i będą zachęcać do zgłoszeń osoby każdej płci. Na każde z 7 planowanych stanowisk, 4 u Lidera i 3 w PRz, każdy kandydat zostanie oceniony tą samą kartą kompetencji. Everest11 zaprosi na rozmowę co najmniej jedną kobietę na stanowisko, o ile wpłynie kwalifikujące się zgłoszenie, a w komisji rekrutacyjnej Lidera zasiądą kobieta i mężczyzna. Konsorcjum będzie dążyć do tego, by kobiety stanowiły co najmniej 30% osób rekrutowanych w projekcie, bez obniżania wymagań merytorycznych.</w:t>
      </w:r>
    </w:p>
    <w:p>
      <w:pPr>
        <w:spacing w:after="60"/>
      </w:pPr>
      <w:r>
        <w:rPr>
          <w:b w:val="0"/>
        </w:rPr>
        <w:t>Wynagrodzenie będzie zależeć od stanowiska i kwalifikacji według jawnej siatki Everest11, a w PRz według regulaminu wynagradzania. Przed startem projektu i co 12 miesięcy Everest11 sprawdzi różnice w wynagrodzeniach kobiet i mężczyzn na tych samych stanowiskach, uwzględniając wszystkie składniki wynagrodzenia. Różnicę przekraczającą 5% bez uzasadnienia stanowiskiem lub kwalifikacjami Everest11 wyrówna, zgodnie z progiem z dyrektywy 2023/970, a wyniki przedstawi kierownik zarządzający na kwartalnym przeglądzie projektu.</w:t>
      </w:r>
    </w:p>
    <w:p>
      <w:pPr>
        <w:spacing w:after="60"/>
      </w:pPr>
      <w:r>
        <w:rPr>
          <w:b w:val="0"/>
        </w:rPr>
        <w:t>Zespół będzie pracował hybrydowo i zdalnie, a czas pracy będzie elastyczny. Spotkania synchronizacyjne zostaną zaplanowane w godzinach 9.00-15.00, żeby nie kolidowały z opieką nad dziećmi i osobami zależnymi. Osoby korzystające z urlopów rodzicielskich i opiekuńczych zachowają prawa wynikające z Kodeksu pracy, a po powrocie wrócą na to samo lub równorzędne stanowisko w projekcie.</w:t>
      </w:r>
    </w:p>
    <w:p>
      <w:pPr>
        <w:spacing w:after="60"/>
      </w:pPr>
      <w:r>
        <w:rPr>
          <w:b w:val="0"/>
        </w:rPr>
        <w:t>Procedura z polityki równego traktowania obejmie molestowanie seksualne i przewidzi sankcje porządkowe i dyscyplinarne, a zgłoszenie będzie mogła złożyć każda osoba w zespole, także poufnie.</w:t>
      </w:r>
    </w:p>
    <w:p>
      <w:pPr>
        <w:spacing w:after="60"/>
      </w:pPr>
      <w:r>
        <w:rPr>
          <w:b w:val="0"/>
        </w:rPr>
        <w:t>Wśród 14 osób imiennie wskazanych w zespole są 3 kobiety: 2 z 9 w Everest11 i 1 z 5 w PRz. Przewaga mężczyzn wynika ze struktury zawodowej branży ICT i TSL, a nie z kryteriów doboru. Kobiety będą pełnić funkcje o istotnym znaczeniu: Natalia Wojdat jako AI Senior Engineer odpowie za optymalizację modeli na platformie embedded i analizę wyników w terenie, Ewa Retajczyk jako zastępca kierownika zarządzającego poprowadzi rozliczenia i sprawozdawczość, a Karolina Król jako młodszy specjalista ds. uczenia maszynowego w PRz weźmie udział w pracach nad modelami predykcji.</w:t>
      </w:r>
    </w:p>
    <w:p>
      <w:pPr>
        <w:spacing w:after="60"/>
      </w:pPr>
      <w:r>
        <w:rPr>
          <w:b w:val="0"/>
        </w:rPr>
        <w:t>Co kwartał udział kobiet w zespole i w rekrutacji oraz stan analizy wynagrodzeń zostaną przedstawione Radzie Konsorcjum, a przy odchyleniu od założeń kierownik zarządzający przedstawi działania korygujące.</w:t>
      </w:r>
    </w:p>
    <w:p>
      <w:pPr>
        <w:spacing w:after="60"/>
      </w:pPr>
      <w:r>
        <w:rPr>
          <w:b w:val="0"/>
        </w:rPr>
        <w:t>CargoDT będzie przetwarzać dane o ładunku, a nie o osobach, i będzie tak samo użyteczny dla kierowców i dyspozytorów każdej płci, więc nie wpłynie na podział stanowisk między kobiety i mężczyzn.</w:t>
      </w:r>
    </w:p>
    <w:p>
      <w:pPr>
        <w:pStyle w:val="Heading1"/>
      </w:pPr>
      <w:r>
        <w:t>3. Pkt 7.2 Karta Praw Podstawowych (limit 5000)</w:t>
      </w:r>
    </w:p>
    <w:p>
      <w:pPr>
        <w:keepNext/>
        <w:spacing w:before="160" w:after="40"/>
      </w:pPr>
      <w:r>
        <w:rPr>
          <w:b/>
          <w:sz w:val="20"/>
        </w:rPr>
        <w:t>Treść</w:t>
      </w:r>
      <w:r>
        <w:rPr>
          <w:color w:val="666666"/>
          <w:sz w:val="17"/>
        </w:rPr>
        <w:t xml:space="preserve"> [3803 znaków]</w:t>
      </w:r>
    </w:p>
    <w:p>
      <w:pPr>
        <w:spacing w:after="60"/>
      </w:pPr>
      <w:r>
        <w:rPr>
          <w:b w:val="0"/>
        </w:rPr>
        <w:t>Opis dotyczy Everest11 i Politechniki Rzeszowskiej, a dokumenty wewnętrzne zapewniające przestrzeganie Karty opisano w pkt 7.1. Poniżej podano, co oba podmioty będą robić w projekcie dla każdego artykułu.</w:t>
      </w:r>
    </w:p>
    <w:p>
      <w:pPr>
        <w:spacing w:after="60"/>
      </w:pPr>
      <w:r>
        <w:rPr>
          <w:b w:val="0"/>
        </w:rPr>
        <w:t>Art. 1 (godność): zespół będzie traktowany z szacunkiem, a polityka równego traktowania zakaże poniżania. Art. 3 (integralność osoby): prace nie obejmą badań na ludziach, montaż w naczepach wykonają osoby przeszkolone w BHP, a instalacja 12 i 24 V zostanie zabezpieczona obwodem. Art. 4, 5 i 6 (zakaz tortur, niewolnictwa i pracy przymusowej, wolność i bezpieczeństwo osobiste): projekt będzie neutralny, bo każda osoba zostanie zatrudniona na piśmie, dobrowolnie i za wynagrodzeniem, a system nie będzie śledzić ludzi.</w:t>
      </w:r>
    </w:p>
    <w:p>
      <w:pPr>
        <w:spacing w:after="60"/>
      </w:pPr>
      <w:r>
        <w:rPr>
          <w:b w:val="0"/>
        </w:rPr>
        <w:t>Art. 7 (życie prywatne): kamery ToF i EO będą obserwować wyłącznie przestrzeń ładunkową i nie będą rejestrować kabiny kierowcy ani jego zachowania, a klatki z osobą pojawiającą się przy załadunku zostaną rozmyte lub usunięte przed anotacją i przekazaniem zbioru do PRz. Art. 8 (dane osobowe): lokalizacja pojazdu jest daną osobową kierowcy, więc będzie służyć wyłącznie monitorowaniu floty i nie trafi do trenowania modeli. Zbiór zostanie zapseudonimizowany i zaszyfrowany, a dostęp będzie miał wyłącznie zespół na podstawie umowy o poufności. Everest11 przeprowadzi ocenę skutków dla ochrony danych (DPIA) przed pierwszą kampanią Z2 i poinformuje kierowców zgodnie z art. 13 RODO, a wymagania RODO wdroży Cybersecurity Specialist.</w:t>
      </w:r>
    </w:p>
    <w:p>
      <w:pPr>
        <w:spacing w:after="60"/>
      </w:pPr>
      <w:r>
        <w:rPr>
          <w:b w:val="0"/>
        </w:rPr>
        <w:t>Art. 10 (wolność myśli, sumienia i religii): Everest11 i PRz nie będą pytać o wyznanie ani światopogląd, a na wniosek umożliwią odpracowanie dni wolnych na święta religijne. Art. 15 (wolność wyboru zawodu): zespół będzie wybierał pracę dobrowolnie, a PRz zastosuje procedury konkursowe uczelni. Art. 20 (równość wobec prawa): te same zasady oceny i wynagradzania będą obowiązywać wszystkich. Art. 21 (niedyskryminacja): polityka obejmie wszystkie przesłanki z art. 21, a nabór opisano w pkt 7.1. Art. 22 (różnorodność kulturowa, religijna i językowa): zespół będzie pracował po polsku i angielsku, a materiały dla rynków CEE powstaną w kilku wersjach językowych. Art. 23 (równość kobiet i mężczyzn): działania opisano w pkt 7.1.</w:t>
      </w:r>
    </w:p>
    <w:p>
      <w:pPr>
        <w:spacing w:after="60"/>
      </w:pPr>
      <w:r>
        <w:rPr>
          <w:b w:val="0"/>
        </w:rPr>
        <w:t>Art. 25 (prawa osób starszych): w naborze nie będą stosowane limity wieku, a interfejsy będą miały duże, kontrastowe elementy. Art. 26 (integracja osób z niepełnosprawnościami): dostosowanie stanowisk i dostępność produktów opisano w pkt 7.1 i 7.3. Art. 27 (informacja i konsultacja pracowników): zespół pozna zasady projektu na kwartalnych przeglądach i będzie zgłaszał uwagi kierownikowi zarządzającemu lub na cotygodniowych spotkaniach. Art. 28 (rokowania i działania zbiorowe): projekt nie ograniczy prawa do zrzeszania się w związkach zawodowych ani do działań zbiorowych. Art. 30 (ochrona w razie nieuzasadnionego zwolnienia): umowy zostaną zawarte według Kodeksu pracy, a wypowiedzenie będzie wymagać uzasadnienia. Art. 31 (godne warunki pracy): przed pracą w pojazdach każda osoba przejdzie szkolenie BHP, a czas pracy i odpoczynek będą zgodne z Kodeksem pracy. Art. 32 (ochrona młodzieży): zespół będzie się składał z osób pełnoletnich. Art. 33 (życie rodzinne i zawodowe): elastyczny czas pracy i praca zdalna zostały opisane w pkt 7.1.</w:t>
      </w:r>
    </w:p>
    <w:p>
      <w:pPr>
        <w:spacing w:after="60"/>
      </w:pPr>
      <w:r>
        <w:rPr>
          <w:b w:val="0"/>
        </w:rPr>
        <w:t>Do innych artykułów odniesiono się następująco. Art. 13 (wolność nauki): PRz opublikuje wyniki zgodnie z umową konsorcjum, po ochronie własności przemysłowej. Art. 17 (własność): prawa majątkowe do wyników zostaną podzielone proporcjonalnie do wkładu, według § 11 umowy konsorcjum. Art. 37 (ochrona środowiska): opisano w pkt 7.4.</w:t>
      </w:r>
    </w:p>
    <w:p>
      <w:pPr>
        <w:spacing w:after="60"/>
      </w:pPr>
      <w:r>
        <w:rPr>
          <w:b w:val="0"/>
        </w:rPr>
        <w:t>Wobec pozostałych artykułów Karty projekt będzie neutralny. Nie wpłynie na prawa polityczne, sądowe, azylowe ani dotyczące dzieci, ponieważ jest projektem B+R dla przedsiębiorstw transportowych i nie obejmie osób, których te prawa dotyczą.</w:t>
      </w:r>
    </w:p>
    <w:p>
      <w:pPr>
        <w:pStyle w:val="Heading1"/>
      </w:pPr>
      <w:r>
        <w:t>4. Pkt 7.3 Konwencja o Prawach Osób Niepełnosprawnych (limit 5000)</w:t>
      </w:r>
    </w:p>
    <w:p>
      <w:pPr>
        <w:keepNext/>
        <w:spacing w:before="160" w:after="40"/>
      </w:pPr>
      <w:r>
        <w:rPr>
          <w:b/>
          <w:sz w:val="20"/>
        </w:rPr>
        <w:t>Treść</w:t>
      </w:r>
      <w:r>
        <w:rPr>
          <w:color w:val="666666"/>
          <w:sz w:val="17"/>
        </w:rPr>
        <w:t xml:space="preserve"> [3324 znaków]</w:t>
      </w:r>
    </w:p>
    <w:p>
      <w:pPr>
        <w:spacing w:after="60"/>
      </w:pPr>
      <w:r>
        <w:rPr>
          <w:b w:val="0"/>
        </w:rPr>
        <w:t>Opis dotyczy Everest11 i Politechniki Rzeszowskiej. Obaj członkowie konsorcjum zobowiązali się w umowie konsorcjum (§ 2 ust. 2) do przestrzegania Konwencji, art. 2-7, 9 i 27. Dokumenty wewnętrzne i działania równościowe opisano w pkt 7.1 i 7.2, więc tu wskazano tylko zastosowanie w poszczególnych artykułach.</w:t>
      </w:r>
    </w:p>
    <w:p>
      <w:pPr>
        <w:spacing w:after="60"/>
      </w:pPr>
      <w:r>
        <w:rPr>
          <w:b w:val="0"/>
        </w:rPr>
        <w:t>Art. 2 (definicje: komunikacja, język, projektowanie uniwersalne): komunikacja w projekcie będzie prowadzona prostym i niedyskryminującym językiem, spotkania zdalne będą miały napisy na żywo, a dokumenty projektu będą publikowane w dostępnych formatach cyfrowych. Projektowanie uniwersalne zostanie zastosowane w interfejsach CargoDT: alert będzie jednocześnie dźwiękowy i wizualny, kontrast wyniesie co najmniej 4,5:1, a obsługa nie będzie wymagać precyzyjnych ruchów.</w:t>
      </w:r>
    </w:p>
    <w:p>
      <w:pPr>
        <w:spacing w:after="60"/>
      </w:pPr>
      <w:r>
        <w:rPr>
          <w:b w:val="0"/>
        </w:rPr>
        <w:t>Art. 3 (zasady ogólne: godność, niedyskryminacja, pełne uczestnictwo, równość szans): osoby z niepełnosprawnościami będą mogły uczestniczyć w projekcie na tych samych zasadach co inne osoby.</w:t>
      </w:r>
    </w:p>
    <w:p>
      <w:pPr>
        <w:spacing w:after="60"/>
      </w:pPr>
      <w:r>
        <w:rPr>
          <w:b w:val="0"/>
        </w:rPr>
        <w:t>Art. 4 (obowiązki ogólne): Everest11 i PRz nie wprowadzą przepisów ani praktyk dyskryminujących, a wymagania dostępności zostaną wpisane do specyfikacji produktu i do kryteriów odbioru kamieni milowych Z1, Z7 i Z9.</w:t>
      </w:r>
    </w:p>
    <w:p>
      <w:pPr>
        <w:spacing w:after="60"/>
      </w:pPr>
      <w:r>
        <w:rPr>
          <w:b w:val="0"/>
        </w:rPr>
        <w:t>Art. 5 (równość i niedyskryminacja): zatrudniający zapewni racjonalne usprawnienia, czyli na wniosek osoby zatrudnionej dostosuje stanowisko, czas i miejsce pracy, a odmowa będzie możliwa tylko, gdy dostosowanie stanowiłoby nieproporcjonalne obciążenie, i będzie wymagać pisemnego uzasadnienia.</w:t>
      </w:r>
    </w:p>
    <w:p>
      <w:pPr>
        <w:spacing w:after="60"/>
      </w:pPr>
      <w:r>
        <w:rPr>
          <w:b w:val="0"/>
        </w:rPr>
        <w:t>Art. 6 (kobiety z niepełnosprawnościami): procedura rekrutacji i polityka równego traktowania zapewnią ochronę przed dyskryminacją wielokrotną, a skargi rozpatrzy osoba wskazana przez zarząd w 14 dni.</w:t>
      </w:r>
    </w:p>
    <w:p>
      <w:pPr>
        <w:spacing w:after="60"/>
      </w:pPr>
      <w:r>
        <w:rPr>
          <w:b w:val="0"/>
        </w:rPr>
        <w:t>Art. 7 (dzieci z niepełnosprawnościami): projekt będzie neutralny, bo produkt jest przeznaczony dla przedsiębiorstw transportowych, a zespół będzie się składał z osób pełnoletnich.</w:t>
      </w:r>
    </w:p>
    <w:p>
      <w:pPr>
        <w:spacing w:after="60"/>
      </w:pPr>
      <w:r>
        <w:rPr>
          <w:b w:val="0"/>
        </w:rPr>
        <w:t>Art. 9 (dostępność): panel dyspozytora spełni WCAG 2.1 poziom AA, to znaczy będzie obsługiwany czytnikami NVDA i JAWS i samą klawiaturą, będzie miał kontrast co najmniej 4,5:1 oraz tekst alternatywny dla wykresów i map 3D. Panel HMI w kabinie przekaże alert dźwiękiem i obrazem, a zespół zweryfikuje to listą kontrolną w badaniu UX w Z9. Everest11 oceni dostępność biura przed zatrudnieniem osoby z niepełnosprawnością ruchową, a w razie barier zorganizuje pracę zdalną. PRz zapewni dostępność architektoniczną budynków zgodnie z ustawą z 19.07.2019 o zapewnianiu dostępności. Zakupy w projekcie, w tym usługi wydarzenia branżowego, będą zawierać wymagania dostępności w zapytaniach ofertowych.</w:t>
      </w:r>
    </w:p>
    <w:p>
      <w:pPr>
        <w:spacing w:after="60"/>
      </w:pPr>
      <w:r>
        <w:rPr>
          <w:b w:val="0"/>
        </w:rPr>
        <w:t>Art. 27 (praca i zatrudnienie): rekrutacja będzie otwarta i oparta na kompetencjach, a ogłoszenia będą zawierać informację o możliwości dostosowania stanowiska. Wynagrodzenie, szkolenia i awans będą obowiązywać na równych zasadach. Praca zdalna, hybrydowa i elastyczny czas pracy umożliwią zatrudnienie osób, którym niepełnosprawność utrudnia pracę stacjonarną, a Everest11 i PRz zapewnią dostosowanie stanowiska i zakup narzędzi asystujących na wniosek zatrudnionego.</w:t>
      </w:r>
    </w:p>
    <w:p>
      <w:pPr>
        <w:spacing w:after="60"/>
      </w:pPr>
      <w:r>
        <w:rPr>
          <w:b w:val="0"/>
        </w:rPr>
        <w:t>Art. 24 (edukacja) i art. 25 (zdrowie): projekt będzie neutralny, bo nie obejmie szkoleń dla uczniów ani produktów i usług zdrowotnych.</w:t>
      </w:r>
    </w:p>
    <w:p>
      <w:pPr>
        <w:spacing w:after="60"/>
      </w:pPr>
      <w:r>
        <w:rPr>
          <w:b w:val="0"/>
        </w:rPr>
        <w:t>Wobec pozostałych artykułów Konwencji projekt będzie neutralny, bo jego zakres, czyli prace B+R nad systemem dla przedsiębiorstw transportowych, ich nie dotyczy.</w:t>
      </w:r>
    </w:p>
    <w:p>
      <w:pPr>
        <w:pStyle w:val="Heading1"/>
      </w:pPr>
      <w:r>
        <w:t>5. Pkt 7.4 Zasada zrównoważonego rozwoju</w:t>
      </w:r>
    </w:p>
    <w:p>
      <w:pPr>
        <w:pStyle w:val="Heading3"/>
      </w:pPr>
      <w:r>
        <w:t>Zgodność z przepisami (limit 1000 na akt prawny)</w:t>
      </w:r>
    </w:p>
    <w:p>
      <w:pPr>
        <w:keepNext/>
        <w:spacing w:before="160" w:after="40"/>
      </w:pPr>
      <w:r>
        <w:rPr>
          <w:b/>
          <w:sz w:val="20"/>
        </w:rPr>
        <w:t>Prawo ochrony środowiska, uzasadnienie</w:t>
      </w:r>
      <w:r>
        <w:rPr>
          <w:color w:val="666666"/>
          <w:sz w:val="17"/>
        </w:rPr>
        <w:t xml:space="preserve"> [640 znaków]</w:t>
      </w:r>
    </w:p>
    <w:p>
      <w:pPr>
        <w:spacing w:after="60"/>
      </w:pPr>
      <w:r>
        <w:rPr>
          <w:b w:val="0"/>
        </w:rPr>
        <w:t>Projekt będzie realizowany zgodnie z ustawą z 27.04.2001 Prawo ochrony środowiska. Prace B+R Everest11 i PRz nie obejmą instalacji wymagających pozwolenia zintegrowanego ani emisji wymagających pozwoleń sektorowych. Testy terenowe Z2 i Z9 odbędą się w trakcie rzeczywistych kursów floty partnera, więc nie wygenerują dodatkowych przejazdów, spalania paliwa ani emisji. Badania PRz, w tym na stanowisku wibracyjnym, będą prowadzone w laboratorium uczelni i zużyją tylko energię elektryczną. Zasadę zapobiegania z art. 6 konsorcjum zastosuje przez wykorzystanie istniejących pojazdów, zbiorów i infrastruktury zamiast budowy nowych stanowisk.</w:t>
      </w:r>
    </w:p>
    <w:p>
      <w:pPr>
        <w:keepNext/>
        <w:spacing w:before="160" w:after="40"/>
      </w:pPr>
      <w:r>
        <w:rPr>
          <w:b/>
          <w:sz w:val="20"/>
        </w:rPr>
        <w:t>Ustawa o odpadach, uzasadnienie</w:t>
      </w:r>
      <w:r>
        <w:rPr>
          <w:color w:val="666666"/>
          <w:sz w:val="17"/>
        </w:rPr>
        <w:t xml:space="preserve"> [796 znaków]</w:t>
      </w:r>
    </w:p>
    <w:p>
      <w:pPr>
        <w:spacing w:after="60"/>
      </w:pPr>
      <w:r>
        <w:rPr>
          <w:b w:val="0"/>
        </w:rPr>
        <w:t>Projekt będzie realizowany zgodnie z ustawą z 14.12.2012 o odpadach. W trakcie prac powstaną odpady elektroniczne: zużyte lub uszkodzone komponenty zestawów prototypowych, płytki, czujniki i akumulatory bufora zasilania. Prototypy po zakończeniu Z9 zostaną zdemontowane i wycofane z pojazdów, a następnie zlikwidowane protokołem likwidacji środka trwałego, a żadne nie zostaną celowo zniszczone w toku badań. Konsorcjum nie wykorzysta ich po zakończeniu projektu. Zużyty sprzęt zostanie przekazany uprawnionym podmiotom zbierającym zużyty sprzęt elektryczny i elektroniczny, a akumulatory do punktu zbierania baterii, z dokumentem przekazania. Konsorcjum będzie postępować według hierarchii z art. 17 ustawy: zapobieganie, ponowne użycie, recykling. Obowiązek ten wynika także z umowy konsorcjum.</w:t>
      </w:r>
    </w:p>
    <w:p>
      <w:pPr>
        <w:keepNext/>
        <w:spacing w:before="160" w:after="40"/>
      </w:pPr>
      <w:r>
        <w:rPr>
          <w:b/>
          <w:sz w:val="20"/>
        </w:rPr>
        <w:t>Ustawa OOŚ, uzasadnienie</w:t>
      </w:r>
      <w:r>
        <w:rPr>
          <w:color w:val="666666"/>
          <w:sz w:val="17"/>
        </w:rPr>
        <w:t xml:space="preserve"> [709 znaków]</w:t>
      </w:r>
    </w:p>
    <w:p>
      <w:pPr>
        <w:spacing w:after="60"/>
      </w:pPr>
      <w:r>
        <w:rPr>
          <w:b w:val="0"/>
        </w:rPr>
        <w:t>Projekt będzie realizowany z poszanowaniem ustawy z 3.10.2008 o udostępnianiu informacji o środowisku i jego ochronie, udziale społeczeństwa w ochronie środowiska oraz o ocenach oddziaływania na środowisko. Zakres projektu, czyli prace B+R nad zestawem retrofit i oprogramowaniem, nie należy do przedsięwzięć mogących zawsze lub potencjalnie znacząco oddziaływać na środowisko według przepisów wykonawczych i nie wymaga decyzji o środowiskowych uwarunkowaniach. Projekt nie obejmie robót budowlanych, zmiany zagospodarowania terenu ani ingerencji w obszary chronione. Gdyby w trakcie realizacji pojawiła się taka konieczność, konsorcjum przeprowadzi wymaganą procedurę przed rozpoczęciem odpowiednich działań.</w:t>
      </w:r>
    </w:p>
    <w:p>
      <w:pPr>
        <w:pStyle w:val="Heading3"/>
      </w:pPr>
      <w:r>
        <w:t>Zgodność z zasadami 6R</w:t>
      </w:r>
    </w:p>
    <w:p>
      <w:pPr>
        <w:spacing w:after="60"/>
      </w:pPr>
      <w:r>
        <w:rPr>
          <w:b w:val="0"/>
        </w:rPr>
        <w:t>Wybór z listy: WARIANT B, jedna zasada 6R. Zasada: ogranicz (reduce). Wskaźniki do wybrania w polu „Stosowanie zasad 6R zostało odzwierciedlone w następujących wskaźnikach”: oba z części 6 poniżej, obu wskaźników z poprzedniej wersji (wypełnienie naczep, udział dokumentacji cyfrowej) nie wybieraj.</w:t>
      </w:r>
    </w:p>
    <w:p>
      <w:pPr>
        <w:keepNext/>
        <w:spacing w:before="160" w:after="40"/>
      </w:pPr>
      <w:r>
        <w:rPr>
          <w:b/>
          <w:sz w:val="20"/>
        </w:rPr>
        <w:t>Opis sposobu realizacji projektu zgodnie z zasadą 6R (limit 4000)</w:t>
      </w:r>
      <w:r>
        <w:rPr>
          <w:color w:val="666666"/>
          <w:sz w:val="17"/>
        </w:rPr>
        <w:t xml:space="preserve"> [2541 znaków]</w:t>
      </w:r>
    </w:p>
    <w:p>
      <w:pPr>
        <w:spacing w:after="60"/>
      </w:pPr>
      <w:r>
        <w:rPr>
          <w:b w:val="0"/>
        </w:rPr>
        <w:t>Projekt będzie realizowany według wariantu B, czyli z jedną zasadą 6R, ogranicz (reduce), potwierdzoną dwoma wskaźnikami. Oba wskaźniki zostaną zmierzone w trakcie projektu, w kursach testowych zadań Z6, Z7 i Z9, więc dotyczą realizacji projektu, a nie późniejszej eksploatacji. Projektowi nie przypisano efektów w zużyciu paliwa ani emisjach, bo CargoDT nie tworzy planu załadunku i nie zmienia liczby kursów.</w:t>
      </w:r>
    </w:p>
    <w:p>
      <w:pPr>
        <w:spacing w:after="60"/>
      </w:pPr>
      <w:r>
        <w:rPr>
          <w:b w:val="0"/>
        </w:rPr>
        <w:t>Pierwszy wskaźnik dotyczy papieru. W kursach testowych dokumenty stanu ładunku, czyli protokół załadunku (PoL) i protokół stanu ładunku po rozładunku (PoC), będą powstawać cyfrowo w systemie CargoDT i trafią do TMS bez wydruku. W tradycyjnej metodzie, stosowanej dotąd przez Everest11, każdy cykl wymaga dwóch papierowych dokumentów po 1 stronie A4. Wartość bazowa to 500 stron A4 dla 250 cykli testowych, czyli 50 cykli w Z6 i 200 w Z9, a wartość docelowa to nie więcej niż 50 wydrukowanych stron, czyli ograniczenie o co najmniej 90%. Pozostałe 10% to dokumenty, których papierową kopię będzie wymagał kontrahent lub przepisy. Pomiar zapewni automatyczny licznik systemu i rejestr wydruków Everest11, a wynik zostanie zweryfikowany w protokole z Z9.</w:t>
      </w:r>
    </w:p>
    <w:p>
      <w:pPr>
        <w:spacing w:after="60"/>
      </w:pPr>
      <w:r>
        <w:rPr>
          <w:b w:val="0"/>
        </w:rPr>
        <w:t>Drugi wskaźnik dotyczy danych przesyłanych do chmury. Przetwarzanie modeli 3D, CV i ML będzie odbywać się lokalnie na platformie embedded, więc do chmury trafią tylko zdarzenia, metadane, dokumenty i wybrane zdjęcia, a nie surowe strumienie z kamer i radaru. Ograniczy to transfer danych i zużycie energii w sieci i centrach danych. Wartością bazową jest 100% wolumenu surowych danych wygenerowanych przez sensory w kursach testowych, czyli wolumen, który trzeba by przesłać przy przetwarzaniu w chmurze, a wartość docelowa to nie więcej niż 5% tego wolumenu. Pomiar zostanie wykonany na licznikach bajtów wygenerowanych i wysłanych w logu urządzenia, w teście platformy w Z7 i w co najmniej 180 kursach Z9.</w:t>
      </w:r>
    </w:p>
    <w:p>
      <w:pPr>
        <w:spacing w:after="60"/>
      </w:pPr>
      <w:r>
        <w:rPr>
          <w:b w:val="0"/>
        </w:rPr>
        <w:t>Everest11 zrealizuje oba wskaźniki: wdroży cyfrowy obieg dokumentów PoL i PoC w Z6, skompresuje modele w Z7 i wykona pomiary w Z9 w kursach floty partnera. PRz będzie wspierać zasadę w Z3 i Z8, dobierając architektury modeli także pod kątem rozmiaru i kosztu obliczeń, tak by model mieścił się na platformie embedded bez przesyłu do chmury, i niezależnie przeliczy wynik pomiaru wolumenu danych na zbiorze testowym. Wartości docelowe obu wskaźników przypisano w całości Everest11, ponieważ PRz nie prowadzi kursów ani obiegu dokumentów.</w:t>
      </w:r>
    </w:p>
    <w:p>
      <w:pPr>
        <w:spacing w:after="60"/>
      </w:pPr>
      <w:r>
        <w:rPr>
          <w:b w:val="0"/>
        </w:rPr>
        <w:t>Projekt nie ma społecznie negatywnego charakteru, bo wspiera pracę przedsiębiorstw transportowych i poprawia bezpieczeństwo przewozu.</w:t>
      </w:r>
    </w:p>
    <w:p>
      <w:pPr>
        <w:pStyle w:val="Heading1"/>
      </w:pPr>
      <w:r>
        <w:t>6. Pkt 8.2 Wskaźniki środowiskowe i pkt 8.1 przedsięwzięcie proekologiczne</w:t>
      </w:r>
    </w:p>
    <w:p>
      <w:pPr>
        <w:spacing w:after="60"/>
      </w:pPr>
      <w:r>
        <w:rPr>
          <w:b w:val="0"/>
        </w:rPr>
        <w:t>W pkt 8.2 usuń dwa dotychczasowe wskaźniki 6R i dodaj poniższe dwa (funkcja „dodaj wskaźnik”). Rok bazowy 2026 to rok startu projektu, a rok docelowy 2030 to rok po jego zakończeniu, zgodnie z Instrukcją. Pomiary wykonujemy w trakcie projektu, do 04.2029.</w:t>
      </w:r>
    </w:p>
    <w:p>
      <w:pPr>
        <w:pStyle w:val="Heading3"/>
      </w:pPr>
      <w:r>
        <w:t>Wskaźnik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Pole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Wartość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Nazwa wskaźnika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Ograniczenie zużycia papieru na dokumenty stanu ładunku w kursach testowych projektu (REDUCE)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Jednostka miary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strony A4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Rok bazowy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Wartość bazowa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Rok osiągnięcia wartości docelowej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2030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Wartość docelowa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50</w:t>
            </w:r>
          </w:p>
        </w:tc>
      </w:tr>
    </w:tbl>
    <w:p/>
    <w:p>
      <w:pPr>
        <w:keepNext/>
        <w:spacing w:before="160" w:after="40"/>
      </w:pPr>
      <w:r>
        <w:rPr>
          <w:b/>
          <w:sz w:val="20"/>
        </w:rPr>
        <w:t>Opis metodologii wyliczenia wskaźnika</w:t>
      </w:r>
      <w:r>
        <w:rPr>
          <w:color w:val="666666"/>
          <w:sz w:val="17"/>
        </w:rPr>
        <w:t xml:space="preserve"> [689 znaków]</w:t>
      </w:r>
    </w:p>
    <w:p>
      <w:pPr>
        <w:spacing w:after="60"/>
      </w:pPr>
      <w:r>
        <w:rPr>
          <w:b w:val="0"/>
        </w:rPr>
        <w:t>Wskaźnik będzie liczył strony A4 wydrukowane na dokumenty stanu ładunku, czyli protokół załadunku (PoL) i protokół stanu ładunku po rozładunku (PoC), w 250 kursach testowych projektu: 50 cykli w Z6 i 200 cykli w Z9. W tradycyjnej metodzie Everest11 każdy cykl wymaga dwóch dokumentów papierowych po 1 stronie A4, co daje wartość bazową 500 stron. Wartość docelowa to nie więcej niż 50 stron, czyli ograniczenie o co najmniej 90%. Pozostałe dokumenty będą drukowane tylko wtedy, gdy papierową kopię będzie wymagał kontrahent lub przepisy. Wskaźnik osiągnie w całości Everest11, pomiar nastąpi w Z6 i Z9, najpóźniej w kwietniu 2029 r., a jako rok docelowy wykazano 2030 zgodnie z Instrukcją.</w:t>
      </w:r>
    </w:p>
    <w:p>
      <w:pPr>
        <w:keepNext/>
        <w:spacing w:before="160" w:after="40"/>
      </w:pPr>
      <w:r>
        <w:rPr>
          <w:b/>
          <w:sz w:val="20"/>
        </w:rPr>
        <w:t>Opis sposobu weryfikacji osiągnięcia wartości</w:t>
      </w:r>
      <w:r>
        <w:rPr>
          <w:color w:val="666666"/>
          <w:sz w:val="17"/>
        </w:rPr>
        <w:t xml:space="preserve"> [194 znaków]</w:t>
      </w:r>
    </w:p>
    <w:p>
      <w:pPr>
        <w:spacing w:after="60"/>
      </w:pPr>
      <w:r>
        <w:rPr>
          <w:b w:val="0"/>
        </w:rPr>
        <w:t>Automatyczny licznik dokumentów PoL i PoC wygenerowanych cyfrowo w systemie CargoDT, rejestr wydruków Everest11 w kursach testowych i protokół testu terenowego Z9 podpisany przez kierownika B+R.</w:t>
      </w:r>
    </w:p>
    <w:p>
      <w:pPr>
        <w:pStyle w:val="Heading3"/>
      </w:pPr>
      <w:r>
        <w:t>Wskaźnik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Pole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Wartość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Nazwa wskaźnika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Ograniczenie wolumenu danych przesyłanych do chmury dzięki przetwarzaniu brzegowemu (REDUCE)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Jednostka miary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Rok bazowy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Wartość bazowa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Rok osiągnięcia wartości docelowej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2030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Wartość docelowa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</w:tbl>
    <w:p/>
    <w:p>
      <w:pPr>
        <w:keepNext/>
        <w:spacing w:before="160" w:after="40"/>
      </w:pPr>
      <w:r>
        <w:rPr>
          <w:b/>
          <w:sz w:val="20"/>
        </w:rPr>
        <w:t>Opis metodologii wyliczenia wskaźnika</w:t>
      </w:r>
      <w:r>
        <w:rPr>
          <w:color w:val="666666"/>
          <w:sz w:val="17"/>
        </w:rPr>
        <w:t xml:space="preserve"> [614 znaków]</w:t>
      </w:r>
    </w:p>
    <w:p>
      <w:pPr>
        <w:spacing w:after="60"/>
      </w:pPr>
      <w:r>
        <w:rPr>
          <w:b w:val="0"/>
        </w:rPr>
        <w:t>Wskaźnik to wolumen danych wysłanych z urządzenia do chmury w stosunku do wolumenu surowych danych wygenerowanych przez kamery, radar i czujniki w tych samych kursach testowych. Wartość bazowa 100% odpowiada przetwarzaniu w chmurze, w którym trzeba przesłać cały strumień. Wartość docelowa to nie więcej niż 5%, ponieważ modele 3D, CV i ML będą działać lokalnie, a do chmury trafią tylko zdarzenia, metadane, dokumenty PoL i PoC oraz wybrane zdjęcia. Pomiar zostanie wykonany w teście platformy embedded w Z7 i w co najmniej 180 kursach Z9. Wskaźnik osiągnie w całości Everest11, a PRz przeliczy wynik niezależnie.</w:t>
      </w:r>
    </w:p>
    <w:p>
      <w:pPr>
        <w:keepNext/>
        <w:spacing w:before="160" w:after="40"/>
      </w:pPr>
      <w:r>
        <w:rPr>
          <w:b/>
          <w:sz w:val="20"/>
        </w:rPr>
        <w:t>Opis sposobu weryfikacji osiągnięcia wartości</w:t>
      </w:r>
      <w:r>
        <w:rPr>
          <w:color w:val="666666"/>
          <w:sz w:val="17"/>
        </w:rPr>
        <w:t xml:space="preserve"> [206 znaków]</w:t>
      </w:r>
    </w:p>
    <w:p>
      <w:pPr>
        <w:spacing w:after="60"/>
      </w:pPr>
      <w:r>
        <w:rPr>
          <w:b w:val="0"/>
        </w:rPr>
        <w:t>Liczniki bajtów wygenerowanych przez sensory i wysłanych do chmury w logu urządzenia, raport z testu platformy embedded Z7 oraz protokół Z9, wraz z niezależnym przeliczeniem przez PRz na zamrożonym zbiorze.</w:t>
      </w:r>
    </w:p>
    <w:p>
      <w:pPr>
        <w:pStyle w:val="Heading3"/>
      </w:pPr>
      <w:r>
        <w:t>Pkt 8.1, wskaźnik „Liczba przedsięwzięć proekologicznych” (wartość 1, bez zmian)</w:t>
      </w:r>
    </w:p>
    <w:p>
      <w:pPr>
        <w:spacing w:after="60"/>
      </w:pPr>
      <w:r>
        <w:rPr>
          <w:b w:val="0"/>
        </w:rPr>
        <w:t>Zastąp tylko dwa pola opisowe, bo obecny tekst mówi o ograniczeniu zużycia paliwa i o zasadzie refuse.</w:t>
      </w:r>
    </w:p>
    <w:p>
      <w:pPr>
        <w:keepNext/>
        <w:spacing w:before="160" w:after="40"/>
      </w:pPr>
      <w:r>
        <w:rPr>
          <w:b/>
          <w:sz w:val="20"/>
        </w:rPr>
        <w:t>Opis metodologii wyliczenia wskaźnika</w:t>
      </w:r>
      <w:r>
        <w:rPr>
          <w:color w:val="666666"/>
          <w:sz w:val="17"/>
        </w:rPr>
        <w:t xml:space="preserve"> [574 znaków]</w:t>
      </w:r>
    </w:p>
    <w:p>
      <w:pPr>
        <w:spacing w:after="60"/>
      </w:pPr>
      <w:r>
        <w:rPr>
          <w:b w:val="0"/>
        </w:rPr>
        <w:t>Wartość docelowa 1 odpowiada jednemu przedsięwzięciu proekologicznemu, czyli całościowemu procesowi opracowania i weryfikacji w projekcie systemu CargoDT, w którym dokumenty stanu ładunku będą powstawać cyfrowo bez wydruku, a modele będą działać lokalnie na platformie embedded, bez przesyłu surowych danych do chmury. Przedsięwzięcie obejmie zadania Z6, Z7 i Z9, a poszczególne etapy prac nie stanowią odrębnych przedsięwzięć. Zrealizuje je Everest11, a PRz będzie wspierać dobór lekkich architektur modeli w Z3 i Z8. Efekt zmierzą dwa wskaźniki zasady reduce z sekcji 7.4.</w:t>
      </w:r>
    </w:p>
    <w:p>
      <w:pPr>
        <w:keepNext/>
        <w:spacing w:before="160" w:after="40"/>
      </w:pPr>
      <w:r>
        <w:rPr>
          <w:b/>
          <w:sz w:val="20"/>
        </w:rPr>
        <w:t>Opis sposobu weryfikacji</w:t>
      </w:r>
      <w:r>
        <w:rPr>
          <w:color w:val="666666"/>
          <w:sz w:val="17"/>
        </w:rPr>
        <w:t xml:space="preserve"> [247 znaków]</w:t>
      </w:r>
    </w:p>
    <w:p>
      <w:pPr>
        <w:spacing w:after="60"/>
      </w:pPr>
      <w:r>
        <w:rPr>
          <w:b w:val="0"/>
        </w:rPr>
        <w:t>Weryfikacja nastąpi na podstawie protokołu z Z9 z wynikami obu wskaźników zasady reduce: licznika i rejestru wydruków dokumentów w 250 kursach testowych oraz liczników bajtów wygenerowanych i wysłanych w logu urządzenia w teście Z7 i w kursach Z9.</w:t>
      </w:r>
    </w:p>
    <w:p>
      <w:pPr>
        <w:pStyle w:val="Heading1"/>
      </w:pPr>
      <w:r>
        <w:t>7. Zmiany w innych miejscach wniosku</w:t>
      </w:r>
    </w:p>
    <w:p>
      <w:pPr>
        <w:pStyle w:val="ListBullet"/>
      </w:pPr>
      <w:r>
        <w:rPr>
          <w:b/>
        </w:rPr>
        <w:t>Pkt 7.1, 7.2, 7.3:</w:t>
      </w:r>
      <w:r>
        <w:rPr>
          <w:b w:val="0"/>
        </w:rPr>
        <w:t xml:space="preserve"> zastąp całe dotychczasowe teksty. W starych tekstach zestaw retrofit był „neutralny, bez użytkowników”, a opisy zadań mają panel HMI i buzzer dla kierowcy.</w:t>
      </w:r>
    </w:p>
    <w:p>
      <w:pPr>
        <w:pStyle w:val="ListBullet"/>
      </w:pPr>
      <w:r>
        <w:rPr>
          <w:b/>
        </w:rPr>
        <w:t>Pkt 7.4:</w:t>
      </w:r>
      <w:r>
        <w:rPr>
          <w:b w:val="0"/>
        </w:rPr>
        <w:t xml:space="preserve"> wariant z A na B (lista rozwijana), zasada tylko reduce.</w:t>
      </w:r>
    </w:p>
    <w:p>
      <w:pPr>
        <w:pStyle w:val="ListBullet"/>
      </w:pPr>
      <w:r>
        <w:rPr>
          <w:b/>
        </w:rPr>
        <w:t>Pkt 1.2, wskaźnik „Poprawa wskaźnika wykorzystania kubatury naczepy (fill rate)”:</w:t>
      </w:r>
      <w:r>
        <w:rPr>
          <w:b w:val="0"/>
        </w:rPr>
        <w:t xml:space="preserve"> powinien być już usunięty zgodnie z pakietem wskaźników innowacyjności. Sprawdź, że nie został w sekcji 1.2.</w:t>
      </w:r>
    </w:p>
    <w:p>
      <w:pPr>
        <w:pStyle w:val="ListBullet"/>
      </w:pPr>
      <w:r>
        <w:rPr>
          <w:b/>
        </w:rPr>
        <w:t>Wszędzie w opisie projektu:</w:t>
      </w:r>
      <w:r>
        <w:rPr>
          <w:b w:val="0"/>
        </w:rPr>
        <w:t xml:space="preserve"> nie pisz, że CargoDT ogranicza zużycie paliwa lub emisje, jeśli nie ma tego pomiaru. Dopuszczalne: wspiera dokumentację cyfrową i przetwarzanie lokalne.</w:t>
      </w:r>
    </w:p>
    <w:p>
      <w:pPr>
        <w:pStyle w:val="ListBullet"/>
      </w:pPr>
      <w:r>
        <w:rPr>
          <w:b/>
        </w:rPr>
        <w:t>Panel dyspozytora:</w:t>
      </w:r>
      <w:r>
        <w:rPr>
          <w:b w:val="0"/>
        </w:rPr>
        <w:t xml:space="preserve"> opisy zadań wyłączają z projektu produkcyjny dashboard TMS. Dlatego w 7.1 panel opisano jako wynik projektu weryfikowany w badaniu UX w Z9, a pełne wdrożenie komercyjne następuje po projekcie według tej samej specyfikacji. W pkt 7.1 starego wniosku zdanie „zaprojektowana i wdrożona” zastąpiono tym ujęciem.</w:t>
      </w:r>
    </w:p>
    <w:p>
      <w:pPr>
        <w:pStyle w:val="Heading1"/>
      </w:pPr>
      <w:r>
        <w:t>8. Do potwierdzenia przez Ciebie, zarząd Everest11 i PRz</w:t>
      </w:r>
    </w:p>
    <w:p>
      <w:pPr>
        <w:spacing w:after="60"/>
      </w:pPr>
      <w:r>
        <w:rPr>
          <w:b w:val="0"/>
        </w:rPr>
        <w:t>Poniższe zdania są zobowiązaniami albo faktami, których nie mogłam sprawdzić. Jeśli któreś nie odpowiada stanowi faktycznemu, zmień zdanie, a nie tylko pole.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Nr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Co jest w tekście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Kto potwierdza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Everest11 przyjmie do 31.10.2026 cztery dokumenty (polityka równego traktowania, procedura rekrutacji i wynagradzania, polityka godzenia pracy z życiem prywatnym, polityka danych). Jeśli któryś już obowiązuje, zmień „przyjmie” na „stosuje”.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Zarząd Everest11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PRz: Plan Równości Płci wprowadzony zarządzeniem Rektora nr 91 z 28.10.2022 (źródło: strona PRz, plan na lata 2022-2025), regulamin pracy, kodeks etyki, regulacje antymobbingowe. Potwierdź, że obowiązuje plan także po 2025.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PRz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Zobowiązania równościowe: cel 30% kobiet wśród rekrutowanych, co najmniej jedna kobieta na rozmowie, komisja z kobietą i mężczyzną, próg 5% różnicy płac, spotkania 9.00-15.00, koszty dostosowań własne.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Zarząd Everest11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Rozmywanie lub usuwanie klatek z wizerunkiem osoby przed anotacją i przekazaniem zbioru do PRz oraz informowanie kierowców według art. 13 RODO.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Dział techniczny, Cybersecurity Specialist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Lista kontrolna dostępności w badaniu UX w Z9 (kontrast 4,5:1, klawiatura, NVDA, alerty) jako kryterium odbioru Z9 oraz kryteria dostępności w specyfikacji w Z1. Rozważ dopisanie ich do opisu Z1 i Z9.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Dział techniczny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7 stanowisk do rekrutacji (4 Everest11, 3 PRz) i 14 osób imiennie w zespole (9 Everest11, 5 PRz), w tym 3 kobiety. Zgodne z pkt 6.1. Stary tekst miał 16 osób i 10 stanowisk (rozbieżność N60 rozwiązana).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Ty, PRz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Papier: w dotychczasowej praktyce Everest11 cykl załadunek-rozładunek wymaga 2 dokumentów po 1 stronie A4 i nie ma ich cyfrowych odpowiedników w tych kursach. Cel: co najmniej 90% mniej, czyli nie więcej niż 50 stron na 250 cykli.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Ty, Everest11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Dane do chmury: co najmniej 95% mniej niż surowy strumień. Przy 3-4 kamerach i radarze to cel bardzo ostrożny, bo surowy strumień jest o rzędy większy niż zdarzenia i dokumenty. Wymaga potwierdzenia pomiarem w Z7.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Dział techniczny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Rola PRz w 6R ograniczona do doboru lekkich architektur w Z3 i Z8 i niezależnego przeliczenia wolumenu. Potwierdź, że to pokrywa się z zakresem zadań PRz.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PRz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Everest11 oceni dostępność biura przed zatrudnieniem osoby z niepełnosprawnością ruchową. Nie opisałam szerokości drzwi ani windy, bo nie znam budynku przy Książkowej. Jeśli biuro jest dostępne, możesz dopisać zdanie z danymi, co wzmocni punkt 7.1.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Ty</w:t>
            </w:r>
          </w:p>
        </w:tc>
      </w:tr>
    </w:tbl>
    <w:p/>
    <w:p>
      <w:pPr>
        <w:pStyle w:val="Heading1"/>
      </w:pPr>
      <w:r>
        <w:t>9. Pokrycie uwag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5783"/>
          </w:tcPr>
          <w:p>
            <w:r/>
            <w:r>
              <w:rPr>
                <w:b/>
                <w:sz w:val="18"/>
              </w:rPr>
              <w:t>Gdzie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K10-01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7.1, akapity o dokumentach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K10-02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7.1, zatrudnienie osób różnej rasy i religii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K10-03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7.1, zatrudnienie osób z niepełnosprawnościami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K10-04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7.1, uniwersalne projektowanie w B+R i internacjonalizacji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K10-05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7.1, tabela 7 pozycji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K10-06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7.1, pole równości kobiet i mężczyzn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K11-01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7.2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K12-01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7.3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K13-01, K13-03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7.4 i 8.2, wskaźniki w trakcie projektu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K13-02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Wariant B, reduce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K13-04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8.2, metodologia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K13-05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7.4, podział prac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K13-06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Pkt 7.4, akty prawne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