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Wskaźniki innowacyjności: pkt 1.2 i pkt 1.4</w:t>
      </w:r>
    </w:p>
    <w:p>
      <w:r>
        <w:rPr>
          <w:b w:val="0"/>
        </w:rPr>
        <w:t>Wniosek FENG.01.01-IP.01-A1RR/26, CargoDT. Wersja robocza do akceptacji. Na żółto zaznaczono wartości i źródła do potwierdzenia przed wpisaniem do LSI. Wszystkie wartości są zgodne z kamieniami milowymi z pliku Opisy_zadan_z_kamieniami_milowymi.docx.</w:t>
      </w:r>
    </w:p>
    <w:p>
      <w:pPr>
        <w:pStyle w:val="Heading1"/>
      </w:pPr>
      <w:r>
        <w:t>1. Co się zmieniło i dlaczego</w:t>
      </w:r>
    </w:p>
    <w:p>
      <w:pPr>
        <w:spacing w:after="60"/>
      </w:pPr>
      <w:r>
        <w:rPr>
          <w:b w:val="0"/>
        </w:rPr>
        <w:t>Poprawki odpowiadają na uwagi K1-01 do K1-06 oraz na powiązane K3-14 do K3-19, K3-48 i K13-03. Jednostki podano w układzie SI (m, s, Hz). Wielkości bezwymiarowe (AUC-ROC, mAP, F1) mają zdefiniowany punkt odniesienia 100%.</w:t>
      </w:r>
    </w:p>
    <w:tbl>
      <w:tblPr>
        <w:tblStyle w:val="TableGrid"/>
        <w:tblW w:type="auto" w:w="0"/>
        <w:tblLook w:firstColumn="1" w:firstRow="1" w:lastColumn="0" w:lastRow="0" w:noHBand="0" w:noVBand="1" w:val="04A0"/>
      </w:tblPr>
      <w:tblGrid>
        <w:gridCol w:w="3213"/>
        <w:gridCol w:w="3213"/>
        <w:gridCol w:w="3213"/>
      </w:tblGrid>
      <w:tr>
        <w:tc>
          <w:tcPr>
            <w:tcW w:type="dxa" w:w="1814"/>
          </w:tcPr>
          <w:p>
            <w:r/>
            <w:r>
              <w:rPr>
                <w:b/>
                <w:sz w:val="18"/>
              </w:rPr>
              <w:t>Wskaźnik</w:t>
            </w:r>
          </w:p>
        </w:tc>
        <w:tc>
          <w:tcPr>
            <w:tcW w:type="dxa" w:w="6236"/>
          </w:tcPr>
          <w:p>
            <w:r/>
            <w:r>
              <w:rPr>
                <w:b/>
                <w:sz w:val="18"/>
              </w:rPr>
              <w:t>Zmiana</w:t>
            </w:r>
          </w:p>
        </w:tc>
        <w:tc>
          <w:tcPr>
            <w:tcW w:type="dxa" w:w="1701"/>
          </w:tcPr>
          <w:p>
            <w:r/>
            <w:r>
              <w:rPr>
                <w:b/>
                <w:sz w:val="18"/>
              </w:rPr>
              <w:t>Uwaga</w:t>
            </w:r>
          </w:p>
        </w:tc>
      </w:tr>
      <w:tr>
        <w:tc>
          <w:tcPr>
            <w:tcW w:type="dxa" w:w="1814"/>
          </w:tcPr>
          <w:p>
            <w:r/>
            <w:r>
              <w:rPr>
                <w:b w:val="0"/>
                <w:sz w:val="18"/>
              </w:rPr>
              <w:t>W1 Model 3D</w:t>
            </w:r>
          </w:p>
        </w:tc>
        <w:tc>
          <w:tcPr>
            <w:tcW w:type="dxa" w:w="6236"/>
          </w:tcPr>
          <w:p>
            <w:r/>
            <w:r>
              <w:rPr>
                <w:b w:val="0"/>
                <w:sz w:val="18"/>
              </w:rPr>
              <w:t>Jednostki [m] i [Hz] zamiast [cm]. Dodano błąd przemieszczenia względnego i wyjaśniono, dlaczego próg 0,10 m jest zgodny z błędem 0,30 m. Dodano F1 wykrywania przemieszczeń z Z8 i redukcję RMSE z Z5. Baza to 0 Hz w ruchu u rozwiązań referencyjnych oraz konfiguracja bez mitygacji z Z1.</w:t>
            </w:r>
          </w:p>
        </w:tc>
        <w:tc>
          <w:tcPr>
            <w:tcW w:type="dxa" w:w="1701"/>
          </w:tcPr>
          <w:p>
            <w:r/>
            <w:r>
              <w:rPr>
                <w:b w:val="0"/>
                <w:sz w:val="18"/>
              </w:rPr>
              <w:t>K1-01, K1-02, K1-04, K3-16</w:t>
            </w:r>
          </w:p>
        </w:tc>
      </w:tr>
      <w:tr>
        <w:tc>
          <w:tcPr>
            <w:tcW w:type="dxa" w:w="1814"/>
          </w:tcPr>
          <w:p>
            <w:r/>
            <w:r>
              <w:rPr>
                <w:b w:val="0"/>
                <w:sz w:val="18"/>
              </w:rPr>
              <w:t>W2 AUC-ROC</w:t>
            </w:r>
          </w:p>
        </w:tc>
        <w:tc>
          <w:tcPr>
            <w:tcW w:type="dxa" w:w="6236"/>
          </w:tcPr>
          <w:p>
            <w:r/>
            <w:r>
              <w:rPr>
                <w:b w:val="0"/>
                <w:sz w:val="18"/>
              </w:rPr>
              <w:t>Baza 0,50 zastąpiona zmierzoną wartością detektora progowego na tym samym teście w Z4 (decyzja D16). Dodano wartość po kompresji 0,82.</w:t>
            </w:r>
          </w:p>
        </w:tc>
        <w:tc>
          <w:tcPr>
            <w:tcW w:type="dxa" w:w="1701"/>
          </w:tcPr>
          <w:p>
            <w:r/>
            <w:r>
              <w:rPr>
                <w:b w:val="0"/>
                <w:sz w:val="18"/>
              </w:rPr>
              <w:t>K1-03, K3-14 do K3-19</w:t>
            </w:r>
          </w:p>
        </w:tc>
      </w:tr>
      <w:tr>
        <w:tc>
          <w:tcPr>
            <w:tcW w:type="dxa" w:w="1814"/>
          </w:tcPr>
          <w:p>
            <w:r/>
            <w:r>
              <w:rPr>
                <w:b w:val="0"/>
                <w:sz w:val="18"/>
              </w:rPr>
              <w:t>W3 mAP</w:t>
            </w:r>
          </w:p>
        </w:tc>
        <w:tc>
          <w:tcPr>
            <w:tcW w:type="dxa" w:w="6236"/>
          </w:tcPr>
          <w:p>
            <w:r/>
            <w:r>
              <w:rPr>
                <w:b w:val="0"/>
                <w:sz w:val="18"/>
              </w:rPr>
              <w:t>Baza N/D uzupełniona punktem odniesienia: ogólny detektor bez adaptacji domenowej, mierzony w Z8. Dodano wartość po kompresji 0,72.</w:t>
            </w:r>
          </w:p>
        </w:tc>
        <w:tc>
          <w:tcPr>
            <w:tcW w:type="dxa" w:w="1701"/>
          </w:tcPr>
          <w:p>
            <w:r/>
            <w:r>
              <w:rPr>
                <w:b w:val="0"/>
                <w:sz w:val="18"/>
              </w:rPr>
              <w:t>K1-01, K1-02, D22</w:t>
            </w:r>
          </w:p>
        </w:tc>
      </w:tr>
      <w:tr>
        <w:tc>
          <w:tcPr>
            <w:tcW w:type="dxa" w:w="1814"/>
          </w:tcPr>
          <w:p>
            <w:r/>
            <w:r>
              <w:rPr>
                <w:b w:val="0"/>
                <w:sz w:val="18"/>
              </w:rPr>
              <w:t>W4 Czas PoC</w:t>
            </w:r>
          </w:p>
        </w:tc>
        <w:tc>
          <w:tcPr>
            <w:tcW w:type="dxa" w:w="6236"/>
          </w:tcPr>
          <w:p>
            <w:r/>
            <w:r>
              <w:rPr>
                <w:b w:val="0"/>
                <w:sz w:val="18"/>
              </w:rPr>
              <w:t>Wskaźnik dotyczy tylko czasu. Pokrycie pól eFTI przeniesione do osobnego wskaźnika w pkt 1.4. Baza opisuje czas dokumentowania bez oceny stanu ładunku.</w:t>
            </w:r>
          </w:p>
        </w:tc>
        <w:tc>
          <w:tcPr>
            <w:tcW w:type="dxa" w:w="1701"/>
          </w:tcPr>
          <w:p>
            <w:r/>
            <w:r>
              <w:rPr>
                <w:b w:val="0"/>
                <w:sz w:val="18"/>
              </w:rPr>
              <w:t>K1-03</w:t>
            </w:r>
          </w:p>
        </w:tc>
      </w:tr>
      <w:tr>
        <w:tc>
          <w:tcPr>
            <w:tcW w:type="dxa" w:w="1814"/>
          </w:tcPr>
          <w:p>
            <w:r/>
            <w:r>
              <w:rPr>
                <w:b w:val="0"/>
                <w:sz w:val="18"/>
              </w:rPr>
              <w:t>W5 Alert</w:t>
            </w:r>
          </w:p>
        </w:tc>
        <w:tc>
          <w:tcPr>
            <w:tcW w:type="dxa" w:w="6236"/>
          </w:tcPr>
          <w:p>
            <w:r/>
            <w:r>
              <w:rPr>
                <w:b w:val="0"/>
                <w:sz w:val="18"/>
              </w:rPr>
              <w:t>Jednostka [s]. Interwał transmisji GSM nie jest już wartością bazową, tylko kontekstem. Baza: brak alertu lokalnego. Margines projektowy 0,3 s i kryterium akceptacji 1 s.</w:t>
            </w:r>
          </w:p>
        </w:tc>
        <w:tc>
          <w:tcPr>
            <w:tcW w:type="dxa" w:w="1701"/>
          </w:tcPr>
          <w:p>
            <w:r/>
            <w:r>
              <w:rPr>
                <w:b w:val="0"/>
                <w:sz w:val="18"/>
              </w:rPr>
              <w:t>K1-03, K3-48</w:t>
            </w:r>
          </w:p>
        </w:tc>
      </w:tr>
      <w:tr>
        <w:tc>
          <w:tcPr>
            <w:tcW w:type="dxa" w:w="1814"/>
          </w:tcPr>
          <w:p>
            <w:r/>
            <w:r>
              <w:rPr>
                <w:b w:val="0"/>
                <w:sz w:val="18"/>
              </w:rPr>
              <w:t>I1 Cena</w:t>
            </w:r>
          </w:p>
        </w:tc>
        <w:tc>
          <w:tcPr>
            <w:tcW w:type="dxa" w:w="6236"/>
          </w:tcPr>
          <w:p>
            <w:r/>
            <w:r>
              <w:rPr>
                <w:b w:val="0"/>
                <w:sz w:val="18"/>
              </w:rPr>
              <w:t>Baza to koszt rozwiązania o podobnej funkcji, a nie koszt naczepy. Wskaźnik: roczny koszt posiadania na naczepę.</w:t>
            </w:r>
          </w:p>
        </w:tc>
        <w:tc>
          <w:tcPr>
            <w:tcW w:type="dxa" w:w="1701"/>
          </w:tcPr>
          <w:p>
            <w:r/>
            <w:r>
              <w:rPr>
                <w:b w:val="0"/>
                <w:sz w:val="18"/>
              </w:rPr>
              <w:t>K1-05</w:t>
            </w:r>
          </w:p>
        </w:tc>
      </w:tr>
      <w:tr>
        <w:tc>
          <w:tcPr>
            <w:tcW w:type="dxa" w:w="1814"/>
          </w:tcPr>
          <w:p>
            <w:r/>
            <w:r>
              <w:rPr>
                <w:b w:val="0"/>
                <w:sz w:val="18"/>
              </w:rPr>
              <w:t>I2 Funkcje AI lokalnie</w:t>
            </w:r>
          </w:p>
        </w:tc>
        <w:tc>
          <w:tcPr>
            <w:tcW w:type="dxa" w:w="6236"/>
          </w:tcPr>
          <w:p>
            <w:r/>
            <w:r>
              <w:rPr>
                <w:b w:val="0"/>
                <w:sz w:val="18"/>
              </w:rPr>
              <w:t>Zastępuje wskaźnik „liczba warstw ICT”, który nie wykazywał przewagi cyfrowej. Wskaźnik mierzy się w Z7 i Z9.</w:t>
            </w:r>
          </w:p>
        </w:tc>
        <w:tc>
          <w:tcPr>
            <w:tcW w:type="dxa" w:w="1701"/>
          </w:tcPr>
          <w:p>
            <w:r/>
            <w:r>
              <w:rPr>
                <w:b w:val="0"/>
                <w:sz w:val="18"/>
              </w:rPr>
              <w:t>K1-05</w:t>
            </w:r>
          </w:p>
        </w:tc>
      </w:tr>
      <w:tr>
        <w:tc>
          <w:tcPr>
            <w:tcW w:type="dxa" w:w="1814"/>
          </w:tcPr>
          <w:p>
            <w:r/>
            <w:r>
              <w:rPr>
                <w:b w:val="0"/>
                <w:sz w:val="18"/>
              </w:rPr>
              <w:t>I3 Pokrycie eFTI</w:t>
            </w:r>
          </w:p>
        </w:tc>
        <w:tc>
          <w:tcPr>
            <w:tcW w:type="dxa" w:w="6236"/>
          </w:tcPr>
          <w:p>
            <w:r/>
            <w:r>
              <w:rPr>
                <w:b w:val="0"/>
                <w:sz w:val="18"/>
              </w:rPr>
              <w:t>Usunięto audyt prawny podwykonawcy. Zgodność formatu potwierdza walidacja XSD, a treść ground truth z Z6. Ujednolicono z KM-Z6 (pola z TMS i z sensorów).</w:t>
            </w:r>
          </w:p>
        </w:tc>
        <w:tc>
          <w:tcPr>
            <w:tcW w:type="dxa" w:w="1701"/>
          </w:tcPr>
          <w:p>
            <w:r/>
            <w:r>
              <w:rPr>
                <w:b w:val="0"/>
                <w:sz w:val="18"/>
              </w:rPr>
              <w:t>K1-03, K3-14</w:t>
            </w:r>
          </w:p>
        </w:tc>
      </w:tr>
      <w:tr>
        <w:tc>
          <w:tcPr>
            <w:tcW w:type="dxa" w:w="1814"/>
          </w:tcPr>
          <w:p>
            <w:r/>
            <w:r>
              <w:rPr>
                <w:b w:val="0"/>
                <w:sz w:val="18"/>
              </w:rPr>
              <w:t>Fill rate 65% → 80%</w:t>
            </w:r>
          </w:p>
        </w:tc>
        <w:tc>
          <w:tcPr>
            <w:tcW w:type="dxa" w:w="6236"/>
          </w:tcPr>
          <w:p>
            <w:r/>
            <w:r>
              <w:rPr>
                <w:b w:val="0"/>
                <w:sz w:val="18"/>
              </w:rPr>
              <w:t>Wskaźnik usunięty z 1.4. System mierzy zajętość, ale nie generuje planu załadunku, więc poprawy fill rate nie da się mu przypisać. Baza 65% miała trzy sprzeczne wersje. Wymaga zmian w 7.4 (REDUCE już oparte o dokumenty papierowe, D17).</w:t>
            </w:r>
          </w:p>
        </w:tc>
        <w:tc>
          <w:tcPr>
            <w:tcW w:type="dxa" w:w="1701"/>
          </w:tcPr>
          <w:p>
            <w:r/>
            <w:r>
              <w:rPr>
                <w:b w:val="0"/>
                <w:sz w:val="18"/>
              </w:rPr>
              <w:t>K1-05, K13-03</w:t>
            </w:r>
          </w:p>
        </w:tc>
      </w:tr>
    </w:tbl>
    <w:p/>
    <w:p>
      <w:pPr>
        <w:pStyle w:val="Heading1"/>
      </w:pPr>
      <w:r>
        <w:t>2. Pkt 1.2: wskaźniki innowacyjności produktowej</w:t>
      </w:r>
    </w:p>
    <w:p>
      <w:pPr>
        <w:spacing w:after="60"/>
      </w:pPr>
      <w:r>
        <w:rPr>
          <w:b w:val="0"/>
        </w:rPr>
        <w:t>Tabela w LSI ma pola: cecha lub funkcjonalność, wartość bazowa, wartość docelowa, jednostka miary, produkt referencyjny, przewaga lub korzyść, metodologia szacowania i weryfikacji. Limity znaków pól tabeli nie wynikają z Instrukcji, dlatego sprawdzamy je w LSI przy wpisywaniu (najdłuższe pole ma poniżej 1100 znaków).</w:t>
      </w:r>
    </w:p>
    <w:p>
      <w:pPr>
        <w:pStyle w:val="Heading2"/>
      </w:pPr>
      <w:r>
        <w:t>W1. Trójwymiarowy model przestrzeni ładunkowej</w:t>
      </w:r>
    </w:p>
    <w:p>
      <w:pPr>
        <w:keepNext/>
        <w:spacing w:before="160" w:after="40"/>
      </w:pPr>
      <w:r>
        <w:rPr>
          <w:b/>
          <w:sz w:val="20"/>
        </w:rPr>
        <w:t>Cecha lub funkcjonalność rezultatu</w:t>
      </w:r>
      <w:r>
        <w:rPr>
          <w:color w:val="666666"/>
          <w:sz w:val="17"/>
        </w:rPr>
        <w:t xml:space="preserve"> [253 znaków]</w:t>
      </w:r>
    </w:p>
    <w:p>
      <w:pPr>
        <w:spacing w:after="60"/>
      </w:pPr>
      <w:r>
        <w:rPr>
          <w:b w:val="0"/>
        </w:rPr>
        <w:t>Trójwymiarowy model przestrzeni ładunkowej naczepy aktualizowany w ruchu z wielu kamer, z kompensacją drgań i mitygacją zakłóceń podczerwieni. Model określa położenie jednostek ładunkowych i pozwala wykryć ich przemieszczenie względem stanu z załadunku.</w:t>
      </w:r>
    </w:p>
    <w:p>
      <w:pPr>
        <w:keepNext/>
        <w:spacing w:before="160" w:after="40"/>
      </w:pPr>
      <w:r>
        <w:rPr>
          <w:b/>
          <w:sz w:val="20"/>
        </w:rPr>
        <w:t>Wartość bazowa</w:t>
      </w:r>
      <w:r>
        <w:rPr>
          <w:color w:val="666666"/>
          <w:sz w:val="17"/>
        </w:rPr>
        <w:t xml:space="preserve"> [411 znaków]</w:t>
      </w:r>
    </w:p>
    <w:p>
      <w:pPr>
        <w:spacing w:after="60"/>
      </w:pPr>
      <w:r>
        <w:rPr>
          <w:b w:val="0"/>
        </w:rPr>
        <w:t>Brak aktualizacji modelu w ruchu. Rozwiązania referencyjne mierzą zajętość przestrzeni albo robią zdjęcia przy zatrzymanym pojeździe, na wyzwalacz otwarcia drzwi lub na żądanie, czyli 0 Hz podczas jazdy, i nie podają błędu położenia pojedynczych jednostek ładunkowych. Punktem odniesienia dla jakości estymacji jest RMSE głębi konfiguracji bez mitygacji zakłóceń i bez rejestracji z użyciem IMU, zmierzone w Z1.</w:t>
      </w:r>
    </w:p>
    <w:p>
      <w:pPr>
        <w:keepNext/>
        <w:spacing w:before="160" w:after="40"/>
      </w:pPr>
      <w:r>
        <w:rPr>
          <w:b/>
          <w:sz w:val="20"/>
        </w:rPr>
        <w:t>Wartość docelowa</w:t>
      </w:r>
      <w:r>
        <w:rPr>
          <w:color w:val="666666"/>
          <w:sz w:val="17"/>
        </w:rPr>
        <w:t xml:space="preserve"> [451 znaków]</w:t>
      </w:r>
    </w:p>
    <w:p>
      <w:pPr>
        <w:spacing w:after="60"/>
      </w:pPr>
      <w:r>
        <w:rPr>
          <w:b w:val="0"/>
        </w:rPr>
        <w:t>1) Błąd położenia bezwzględnego ładunku: mediana nie więcej niż 0,30 m, percentyl 95 nie więcej niż 0,35 m.</w:t>
      </w:r>
    </w:p>
    <w:p>
      <w:pPr>
        <w:spacing w:after="60"/>
      </w:pPr>
      <w:r>
        <w:rPr>
          <w:b w:val="0"/>
        </w:rPr>
        <w:t xml:space="preserve">2) Błąd przemieszczenia względnego ładunku między kolejnymi klatkami: mediana nie więcej niż </w:t>
      </w:r>
      <w:r>
        <w:rPr>
          <w:b w:val="0"/>
          <w:highlight w:val="yellow"/>
        </w:rPr>
        <w:t>0,03 m</w:t>
      </w:r>
      <w:r>
        <w:rPr>
          <w:b w:val="0"/>
        </w:rPr>
        <w:t xml:space="preserve">, percentyl 95 nie więcej niż </w:t>
      </w:r>
      <w:r>
        <w:rPr>
          <w:b w:val="0"/>
          <w:highlight w:val="yellow"/>
        </w:rPr>
        <w:t>0,05 m</w:t>
      </w:r>
      <w:r>
        <w:rPr>
          <w:b w:val="0"/>
        </w:rPr>
        <w:t>.</w:t>
      </w:r>
    </w:p>
    <w:p>
      <w:pPr>
        <w:spacing w:after="60"/>
      </w:pPr>
      <w:r>
        <w:rPr>
          <w:b w:val="0"/>
        </w:rPr>
        <w:t>3) Częstotliwość aktualizacji modelu: nie mniej niż 5 Hz.</w:t>
      </w:r>
    </w:p>
    <w:p>
      <w:pPr>
        <w:spacing w:after="60"/>
      </w:pPr>
      <w:r>
        <w:rPr>
          <w:b w:val="0"/>
        </w:rPr>
        <w:t>4) Redukcja RMSE głębi względem konfiguracji bez mitygacji: nie mniej niż 50%.</w:t>
      </w:r>
    </w:p>
    <w:p>
      <w:pPr>
        <w:spacing w:after="60"/>
      </w:pPr>
      <w:r>
        <w:rPr>
          <w:b w:val="0"/>
        </w:rPr>
        <w:t>5) F1 wykrywania przemieszczeń ładunku od 0,10 m: nie mniej niż 0,85.</w:t>
      </w:r>
    </w:p>
    <w:p>
      <w:pPr>
        <w:keepNext/>
        <w:spacing w:before="160" w:after="40"/>
      </w:pPr>
      <w:r>
        <w:rPr>
          <w:b/>
          <w:sz w:val="20"/>
        </w:rPr>
        <w:t>Jednostka miary</w:t>
      </w:r>
      <w:r>
        <w:rPr>
          <w:color w:val="666666"/>
          <w:sz w:val="17"/>
        </w:rPr>
        <w:t xml:space="preserve"> [197 znaków]</w:t>
      </w:r>
    </w:p>
    <w:p>
      <w:pPr>
        <w:spacing w:after="60"/>
      </w:pPr>
      <w:r>
        <w:rPr>
          <w:b w:val="0"/>
        </w:rPr>
        <w:t>m (błędy położenia i przemieszczenia), Hz (częstotliwość aktualizacji). Redukcja RMSE i F1 są wielkościami względnymi: 100% to RMSE konfiguracji bez mitygacji, a F1 równe 1,0 oznacza wynik idealny.</w:t>
      </w:r>
    </w:p>
    <w:p>
      <w:pPr>
        <w:keepNext/>
        <w:spacing w:before="160" w:after="40"/>
      </w:pPr>
      <w:r>
        <w:rPr>
          <w:b/>
          <w:sz w:val="20"/>
        </w:rPr>
        <w:t>Produkt referencyjny</w:t>
      </w:r>
      <w:r>
        <w:rPr>
          <w:color w:val="666666"/>
          <w:sz w:val="17"/>
        </w:rPr>
        <w:t xml:space="preserve"> [626 znaków]</w:t>
      </w:r>
    </w:p>
    <w:p>
      <w:pPr>
        <w:spacing w:after="60"/>
      </w:pPr>
      <w:r>
        <w:rPr>
          <w:b w:val="0"/>
        </w:rPr>
        <w:t>Blickfeld Qb2 z oprogramowaniem QbVolume (Blickfeld GmbH): pomiar objętości w zastosowaniach stacjonarnych, zasięg od 1 m do 100 m, precyzja odległości poniżej 0,02 m, od 1 Hz do 50 Hz. Ouster OS0 (Ouster Inc.): LiDAR o szerokim polu widzenia do nadzoru placów i hal, zasięg 35 m dla obiektu o odbiciu 10%, do 20 Hz. SkyCamera (SkyBitz): kamera i czujnik wolumetryczny w naczepie, pomiar objętości i powierzchni podłogi, zdjęcia na wyzwalacz otwarcia drzwi lub na żądanie. TrailerConnect (Schmitz Cargobull): kamera przestrzeni ładunkowej do podglądu załadunku. Dane z kart katalogowych i stron producentów, dostęp 02.10.2026.</w:t>
      </w:r>
    </w:p>
    <w:p>
      <w:pPr>
        <w:keepNext/>
        <w:spacing w:before="160" w:after="40"/>
      </w:pPr>
      <w:r>
        <w:rPr>
          <w:b/>
          <w:sz w:val="20"/>
        </w:rPr>
        <w:t>Przewaga lub korzyść</w:t>
      </w:r>
      <w:r>
        <w:rPr>
          <w:color w:val="666666"/>
          <w:sz w:val="17"/>
        </w:rPr>
        <w:t xml:space="preserve"> [492 znaków]</w:t>
      </w:r>
    </w:p>
    <w:p>
      <w:pPr>
        <w:spacing w:after="60"/>
      </w:pPr>
      <w:r>
        <w:rPr>
          <w:b w:val="0"/>
        </w:rPr>
        <w:t>Referencyjne LiDAR-y są przeznaczone do montażu na stałe przy infrastrukturze, a rozwiązania montowane w naczepie dają obraz albo zajętość kubatury w wybranych chwilach. Według dostępnej dokumentacji żadne z nich nie podaje położenia jednostek ładunkowych w jadącej naczepie z kompensacją drgań. CargoDT ma śledzić położenie ładunku w ruchu z błędem mierzalnym względem referencji fotogrametrycznej. Pozwala to wykryć przemieszczenie o 0,10 m i jest warunkiem wiarygodnego Proof of Condition.</w:t>
      </w:r>
    </w:p>
    <w:p>
      <w:pPr>
        <w:keepNext/>
        <w:spacing w:before="160" w:after="40"/>
      </w:pPr>
      <w:r>
        <w:rPr>
          <w:b/>
          <w:sz w:val="20"/>
        </w:rPr>
        <w:t>Opis metodologii szacowania wartości bazowej i docelowej oraz sposób weryfikacji</w:t>
      </w:r>
      <w:r>
        <w:rPr>
          <w:color w:val="666666"/>
          <w:sz w:val="17"/>
        </w:rPr>
        <w:t xml:space="preserve"> [1076 znaków]</w:t>
      </w:r>
    </w:p>
    <w:p>
      <w:pPr>
        <w:spacing w:after="60"/>
      </w:pPr>
      <w:r>
        <w:rPr>
          <w:b w:val="0"/>
        </w:rPr>
        <w:t>Wartość 0,30 m służy do przypisania jednostki ładunkowej do strefy naczepy. Paleta EUR ma wymiary 0,8 m x 1,2 m (EN 13382), więc błąd 0,30 m to jedna czwarta dłuższego boku palety i wystarcza do jednoznacznej identyfikacji palety w siatce stref. Przemieszczenie o 0,10 m wykrywamy na podstawie błędu względnego: porównujemy kolejne klatki tej samej konfiguracji kamer, więc błąd systematyczny się znosi. Dlatego próg 0,10 m jest ponad trzy razy większy niż mediana błędu względnego 0,03 m. Wartość 5 Hz wynika z czasu trwania zdarzeń dynamicznych od 0,2 s (Lee i in., Sensors 2022, DOI 10.3390/s22218369). Redukcja RMSE o 50% pokazuje wkład mitygacji zakłóceń i rejestracji z IMU względem konfiguracji bazowej z Z1. Weryfikacja: Z5, stanowisko wibracyjne PRz (ISO 8608 klasa D, referencja fotogrametryczna, co najmniej 100 sekwencji); Z8, F1 na co najmniej 50 cyklach załadunek-rozładunek; Z9, test terenowy Everest11 na co najmniej 3 pojazdach i co najmniej 1000 pomiarach fotogrametrycznych, raport z medianą i percentylem 95. Wyniki przelicza niezależnie AI Lead Everest11.</w:t>
      </w:r>
    </w:p>
    <w:p>
      <w:pPr>
        <w:pStyle w:val="Heading2"/>
      </w:pPr>
      <w:r>
        <w:t>W2. Predykcyjny model ML ryzyka uszkodzenia ładunku</w:t>
      </w:r>
    </w:p>
    <w:p>
      <w:pPr>
        <w:keepNext/>
        <w:spacing w:before="160" w:after="40"/>
      </w:pPr>
      <w:r>
        <w:rPr>
          <w:b/>
          <w:sz w:val="20"/>
        </w:rPr>
        <w:t>Cecha lub funkcjonalność rezultatu</w:t>
      </w:r>
      <w:r>
        <w:rPr>
          <w:color w:val="666666"/>
          <w:sz w:val="17"/>
        </w:rPr>
        <w:t xml:space="preserve"> [188 znaków]</w:t>
      </w:r>
    </w:p>
    <w:p>
      <w:pPr>
        <w:spacing w:after="60"/>
      </w:pPr>
      <w:r>
        <w:rPr>
          <w:b w:val="0"/>
        </w:rPr>
        <w:t>Predykcyjny model ML ryzyka uszkodzenia ładunku z sygnałów wielomodalnych (przyspieszenia, temperatura, wilgotność, obraz), uwzględniający klasę ładunku i historię skumulowanego narażenia.</w:t>
      </w:r>
    </w:p>
    <w:p>
      <w:pPr>
        <w:keepNext/>
        <w:spacing w:before="160" w:after="40"/>
      </w:pPr>
      <w:r>
        <w:rPr>
          <w:b/>
          <w:sz w:val="20"/>
        </w:rPr>
        <w:t>Wartość bazowa</w:t>
      </w:r>
      <w:r>
        <w:rPr>
          <w:color w:val="666666"/>
          <w:sz w:val="17"/>
        </w:rPr>
        <w:t xml:space="preserve"> [337 znaków]</w:t>
      </w:r>
    </w:p>
    <w:p>
      <w:pPr>
        <w:spacing w:after="60"/>
      </w:pPr>
      <w:r>
        <w:rPr>
          <w:b w:val="0"/>
        </w:rPr>
        <w:t xml:space="preserve">AUC-ROC detektora progowego, czyli alarmu przy przekroczeniu stałego progu przyspieszenia, tak jak działają systemy referencyjne. Wartość zostanie zmierzona w Z4 na tym samym zbiorze testowym co model, a do tego czasu przyjmujemy ostrożnie nie więcej niż </w:t>
      </w:r>
      <w:r>
        <w:rPr>
          <w:b w:val="0"/>
          <w:highlight w:val="yellow"/>
        </w:rPr>
        <w:t>0,70</w:t>
      </w:r>
      <w:r>
        <w:rPr>
          <w:b w:val="0"/>
        </w:rPr>
        <w:t>. Wartość 0,50 odpowiada klasyfikatorowi losowemu i nie jest wartością bazową.</w:t>
      </w:r>
    </w:p>
    <w:p>
      <w:pPr>
        <w:keepNext/>
        <w:spacing w:before="160" w:after="40"/>
      </w:pPr>
      <w:r>
        <w:rPr>
          <w:b/>
          <w:sz w:val="20"/>
        </w:rPr>
        <w:t>Wartość docelowa</w:t>
      </w:r>
      <w:r>
        <w:rPr>
          <w:color w:val="666666"/>
          <w:sz w:val="17"/>
        </w:rPr>
        <w:t xml:space="preserve"> [327 znaków]</w:t>
      </w:r>
    </w:p>
    <w:p>
      <w:pPr>
        <w:spacing w:after="60"/>
      </w:pPr>
      <w:r>
        <w:rPr>
          <w:b w:val="0"/>
        </w:rPr>
        <w:t>AUC-ROC nie mniej niż 0,85 dla modelu FP32 (Z4) oraz nie mniej niż 0,82 dla modelu po kompresji na platformie embedded (Z7) i w teście terenowym (Z9). Wartości dotyczą co najmniej 3 klas ładunku (kruchy, paletowy standard, wrażliwy temperaturowo) na kursach nieużytych w treningu. Czułość dla zdarzeń ryzyka nie mniej niż 0,80.</w:t>
      </w:r>
    </w:p>
    <w:p>
      <w:pPr>
        <w:keepNext/>
        <w:spacing w:before="160" w:after="40"/>
      </w:pPr>
      <w:r>
        <w:rPr>
          <w:b/>
          <w:sz w:val="20"/>
        </w:rPr>
        <w:t>Jednostka miary</w:t>
      </w:r>
      <w:r>
        <w:rPr>
          <w:color w:val="666666"/>
          <w:sz w:val="17"/>
        </w:rPr>
        <w:t xml:space="preserve"> [106 znaków]</w:t>
      </w:r>
    </w:p>
    <w:p>
      <w:pPr>
        <w:spacing w:after="60"/>
      </w:pPr>
      <w:r>
        <w:rPr>
          <w:b w:val="0"/>
        </w:rPr>
        <w:t>Wielkość bezwymiarowa od 0 do 1. Wartość 1,0 oznacza klasyfikację idealną i jest punktem odniesienia 100%.</w:t>
      </w:r>
    </w:p>
    <w:p>
      <w:pPr>
        <w:keepNext/>
        <w:spacing w:before="160" w:after="40"/>
      </w:pPr>
      <w:r>
        <w:rPr>
          <w:b/>
          <w:sz w:val="20"/>
        </w:rPr>
        <w:t>Produkt referencyjny</w:t>
      </w:r>
      <w:r>
        <w:rPr>
          <w:color w:val="666666"/>
          <w:sz w:val="17"/>
        </w:rPr>
        <w:t xml:space="preserve"> [360 znaków]</w:t>
      </w:r>
    </w:p>
    <w:p>
      <w:pPr>
        <w:spacing w:after="60"/>
      </w:pPr>
      <w:r>
        <w:rPr>
          <w:b w:val="0"/>
        </w:rPr>
        <w:t>Systemy z alertami progowymi. Tive Solo 5G (Tive Inc.): konfigurowalne progi wstrząsu, temperatury i wilgotności. Arviem Cargo Condition Monitoring Platform (Arviem AG): czujniki wstrząsu i temperatury, domyślny interwał pomiaru 3600 s. Globehopper (Nexxiot AG): urządzenia z detekcją wstrząsów. Dane z kart katalogowych i stron producentów, dostęp 02.10.2026.</w:t>
      </w:r>
    </w:p>
    <w:p>
      <w:pPr>
        <w:keepNext/>
        <w:spacing w:before="160" w:after="40"/>
      </w:pPr>
      <w:r>
        <w:rPr>
          <w:b/>
          <w:sz w:val="20"/>
        </w:rPr>
        <w:t>Przewaga lub korzyść</w:t>
      </w:r>
      <w:r>
        <w:rPr>
          <w:color w:val="666666"/>
          <w:sz w:val="17"/>
        </w:rPr>
        <w:t xml:space="preserve"> [393 znaków]</w:t>
      </w:r>
    </w:p>
    <w:p>
      <w:pPr>
        <w:spacing w:after="60"/>
      </w:pPr>
      <w:r>
        <w:rPr>
          <w:b w:val="0"/>
        </w:rPr>
        <w:t>Systemy referencyjne reagują po przekroczeniu stałego progu. Nie uwzględniają klasy ładunku, kumulacji drgań poniżej progu ani łącznego działania drgań, temperatury i wilgotności. CargoDT ma oceniać ryzyko uszkodzenia z tych trzech czynników, zanim dojdzie do szkody. Przewagę mierzymy jako różnicę AUC-ROC modelu i detektora progowego na tym samym zbiorze testowym, z przedziałem ufności 95%.</w:t>
      </w:r>
    </w:p>
    <w:p>
      <w:pPr>
        <w:keepNext/>
        <w:spacing w:before="160" w:after="40"/>
      </w:pPr>
      <w:r>
        <w:rPr>
          <w:b/>
          <w:sz w:val="20"/>
        </w:rPr>
        <w:t>Opis metodologii szacowania wartości bazowej i docelowej oraz sposób weryfikacji</w:t>
      </w:r>
      <w:r>
        <w:rPr>
          <w:color w:val="666666"/>
          <w:sz w:val="17"/>
        </w:rPr>
        <w:t xml:space="preserve"> [912 znaków]</w:t>
      </w:r>
    </w:p>
    <w:p>
      <w:pPr>
        <w:spacing w:after="60"/>
      </w:pPr>
      <w:r>
        <w:rPr>
          <w:b w:val="0"/>
        </w:rPr>
        <w:t xml:space="preserve">Wartość 0,85 mieści się w przedziale doskonałej dyskryminacji od 0,80 do 0,90 (Hosmer, Lemeshow, Applied Logistic Regression, </w:t>
      </w:r>
      <w:r>
        <w:rPr>
          <w:b w:val="0"/>
          <w:highlight w:val="yellow"/>
        </w:rPr>
        <w:t>3rd ed., Wiley 2013, s. 177, sprawdzić wydanie i stronę</w:t>
      </w:r>
      <w:r>
        <w:rPr>
          <w:b w:val="0"/>
        </w:rPr>
        <w:t>). Spadek po kompresji nie może przekroczyć 3 punktów procentowych, stąd 0,82. Wartość bazowa jest wynikiem pomiaru: w Z4 uruchamiamy detektor progowy na tym samym teście naturalnym (co najmniej 30 zdarzeń ryzyka, w tym co najmniej 10 w każdej z 3 klas) i zmieniamy próg amplitudy, żeby wyznaczyć krzywą ROC. Zdarzenie ryzyka to przemieszczenie ładunku o co najmniej 0,10 m, uszkodzenie albo poluzowanie zabezpieczenia, potwierdzone inspekcją. Weryfikacja: protokół testowy PRz w Z4 na zamrożonym zbiorze testowym, niezależne przeliczenie przez AI Lead Everest11, następnie test terenowy Z9 na co najmniej 180 nowych kursach według ścieżki audytu. Raport zawiera krzywe ROC i precision-recall oraz macierz pomyłek dla każdej klasy.</w:t>
      </w:r>
    </w:p>
    <w:p>
      <w:pPr>
        <w:pStyle w:val="Heading2"/>
      </w:pPr>
      <w:r>
        <w:t>W3. Wizyjna weryfikacja zabezpieczeń transportowych</w:t>
      </w:r>
    </w:p>
    <w:p>
      <w:pPr>
        <w:keepNext/>
        <w:spacing w:before="160" w:after="40"/>
      </w:pPr>
      <w:r>
        <w:rPr>
          <w:b/>
          <w:sz w:val="20"/>
        </w:rPr>
        <w:t>Cecha lub funkcjonalność rezultatu</w:t>
      </w:r>
      <w:r>
        <w:rPr>
          <w:color w:val="666666"/>
          <w:sz w:val="17"/>
        </w:rPr>
        <w:t xml:space="preserve"> [191 znaków]</w:t>
      </w:r>
    </w:p>
    <w:p>
      <w:pPr>
        <w:spacing w:after="60"/>
      </w:pPr>
      <w:r>
        <w:rPr>
          <w:b w:val="0"/>
        </w:rPr>
        <w:t>Automatyczna detekcja, klasyfikacja i ocena poprawności elementów zabezpieczeń transportowych (pasy, kliny, siatki, separatory, blokady) oparta na taksonomii klas TSL opracowanej w projekcie.</w:t>
      </w:r>
    </w:p>
    <w:p>
      <w:pPr>
        <w:keepNext/>
        <w:spacing w:before="160" w:after="40"/>
      </w:pPr>
      <w:r>
        <w:rPr>
          <w:b/>
          <w:sz w:val="20"/>
        </w:rPr>
        <w:t>Wartość bazowa</w:t>
      </w:r>
      <w:r>
        <w:rPr>
          <w:color w:val="666666"/>
          <w:sz w:val="17"/>
        </w:rPr>
        <w:t xml:space="preserve"> [394 znaków]</w:t>
      </w:r>
    </w:p>
    <w:p>
      <w:pPr>
        <w:spacing w:after="60"/>
      </w:pPr>
      <w:r>
        <w:rPr>
          <w:b w:val="0"/>
        </w:rPr>
        <w:t xml:space="preserve">Brak systemu komercyjnego zwalidowanego dla wnętrza ruchomej naczepy, kontrola odbywa się ręcznie i nie jest dokumentowana. Punkt odniesienia metodologiczny to mAP przy IoU 0,50 ogólnego detektora wstępnie wytrenowanego na zbiorze publicznym, bez adaptacji domenowej i bez taksonomii TSL, zmierzone na tym samym zbiorze testowym w Z8. Do czasu pomiaru przyjmujemy ostrożnie nie więcej niż </w:t>
      </w:r>
      <w:r>
        <w:rPr>
          <w:b w:val="0"/>
          <w:highlight w:val="yellow"/>
        </w:rPr>
        <w:t>0,40</w:t>
      </w:r>
      <w:r>
        <w:rPr>
          <w:b w:val="0"/>
        </w:rPr>
        <w:t>.</w:t>
      </w:r>
    </w:p>
    <w:p>
      <w:pPr>
        <w:keepNext/>
        <w:spacing w:before="160" w:after="40"/>
      </w:pPr>
      <w:r>
        <w:rPr>
          <w:b/>
          <w:sz w:val="20"/>
        </w:rPr>
        <w:t>Wartość docelowa</w:t>
      </w:r>
      <w:r>
        <w:rPr>
          <w:color w:val="666666"/>
          <w:sz w:val="17"/>
        </w:rPr>
        <w:t xml:space="preserve"> [257 znaków]</w:t>
      </w:r>
    </w:p>
    <w:p>
      <w:pPr>
        <w:spacing w:after="60"/>
      </w:pPr>
      <w:r>
        <w:rPr>
          <w:b w:val="0"/>
        </w:rPr>
        <w:t>mAP przy IoU 0,50 nie mniej niż 0,75 dla modelu FP32 (Z8), dla co najmniej 5 klas zabezpieczeń, na zbiorze testowym co najmniej 2000 obrazów. Po kompresji na platformie embedded (Z7) i w teście terenowym na co najmniej 200 obrazach (Z9): nie mniej niż 0,72.</w:t>
      </w:r>
    </w:p>
    <w:p>
      <w:pPr>
        <w:keepNext/>
        <w:spacing w:before="160" w:after="40"/>
      </w:pPr>
      <w:r>
        <w:rPr>
          <w:b/>
          <w:sz w:val="20"/>
        </w:rPr>
        <w:t>Jednostka miary</w:t>
      </w:r>
      <w:r>
        <w:rPr>
          <w:color w:val="666666"/>
          <w:sz w:val="17"/>
        </w:rPr>
        <w:t xml:space="preserve"> [99 znaków]</w:t>
      </w:r>
    </w:p>
    <w:p>
      <w:pPr>
        <w:spacing w:after="60"/>
      </w:pPr>
      <w:r>
        <w:rPr>
          <w:b w:val="0"/>
        </w:rPr>
        <w:t>Wielkość bezwymiarowa od 0 do 1. Wartość 1,0 oznacza wynik idealny i jest punktem odniesienia 100%.</w:t>
      </w:r>
    </w:p>
    <w:p>
      <w:pPr>
        <w:keepNext/>
        <w:spacing w:before="160" w:after="40"/>
      </w:pPr>
      <w:r>
        <w:rPr>
          <w:b/>
          <w:sz w:val="20"/>
        </w:rPr>
        <w:t>Produkt referencyjny</w:t>
      </w:r>
      <w:r>
        <w:rPr>
          <w:color w:val="666666"/>
          <w:sz w:val="17"/>
        </w:rPr>
        <w:t xml:space="preserve"> [335 znaków]</w:t>
      </w:r>
    </w:p>
    <w:p>
      <w:pPr>
        <w:spacing w:after="60"/>
      </w:pPr>
      <w:r>
        <w:rPr>
          <w:b w:val="0"/>
        </w:rPr>
        <w:t>W dostępnej dokumentacji brak produktu oceniającego automatycznie zabezpieczenia ładunku w naczepie. Kamery przestrzeni ładunkowej (TrailerConnect, Schmitz Cargobull; SkyCamera, SkyBitz) dają obraz do oceny przez człowieka. Substytut funkcjonalny w środowisku magazynowym: Ega, Journal of Computer Science and Technology Studies, 2025.</w:t>
      </w:r>
    </w:p>
    <w:p>
      <w:pPr>
        <w:keepNext/>
        <w:spacing w:before="160" w:after="40"/>
      </w:pPr>
      <w:r>
        <w:rPr>
          <w:b/>
          <w:sz w:val="20"/>
        </w:rPr>
        <w:t>Przewaga lub korzyść</w:t>
      </w:r>
      <w:r>
        <w:rPr>
          <w:color w:val="666666"/>
          <w:sz w:val="17"/>
        </w:rPr>
        <w:t xml:space="preserve"> [259 znaków]</w:t>
      </w:r>
    </w:p>
    <w:p>
      <w:pPr>
        <w:spacing w:after="60"/>
      </w:pPr>
      <w:r>
        <w:rPr>
          <w:b w:val="0"/>
        </w:rPr>
        <w:t>Automatyczna ocena zastępuje kontrolę ręczną, która jest podatna na błędy i nieudokumentowana. Wynik oceny trafia do Proof of Loading jako dowód poprawności zabezpieczenia przed wyjazdem. Przewagę nad detektorem ogólnym mierzymy na tym samym zbiorze testowym.</w:t>
      </w:r>
    </w:p>
    <w:p>
      <w:pPr>
        <w:keepNext/>
        <w:spacing w:before="160" w:after="40"/>
      </w:pPr>
      <w:r>
        <w:rPr>
          <w:b/>
          <w:sz w:val="20"/>
        </w:rPr>
        <w:t>Opis metodologii szacowania wartości bazowej i docelowej oraz sposób weryfikacji</w:t>
      </w:r>
      <w:r>
        <w:rPr>
          <w:color w:val="666666"/>
          <w:sz w:val="17"/>
        </w:rPr>
        <w:t xml:space="preserve"> [837 znaków]</w:t>
      </w:r>
    </w:p>
    <w:p>
      <w:pPr>
        <w:spacing w:after="60"/>
      </w:pPr>
      <w:r>
        <w:rPr>
          <w:b w:val="0"/>
        </w:rPr>
        <w:t>Próg 0,75 przyjęto jako ambitny i weryfikowalny w nowej domenie bez benchmarku. mAP przy IoU 0,50 jest standardową metryką detekcji obiektów (Lin i in., arXiv:1405.0312, 2014). Warunki w naczepie, czyli drgania ISO 8608 klasy D, światło podczerwone kamer ToF i okluzje przez ładunek, nie mają odpowiednika w literaturze, więc wartość jest celem projektowym. Brak komercyjnego systemu dla naczepy potwierdziło przeszukanie IEEE Xplore, Scopus i Google Scholar w maju 2026 r. Weryfikacja: protokół testowy PRz w Z8 na zbiorze co najmniej 2000 obrazów niebiorących udziału w trenowaniu, z etykietami referencyjnymi z inspekcji z dokumentacją zdjęciową (ground truth według ścieżki audytu), raport mAP dla każdej klasy z przedziałem ufności 95%, niezależne przeliczenie przez AI Lead Everest11. Po kompresji pomiar w Z7 i test terenowy w Z9.</w:t>
      </w:r>
    </w:p>
    <w:p>
      <w:pPr>
        <w:pStyle w:val="Heading2"/>
      </w:pPr>
      <w:r>
        <w:t>W4. Czas generowania Proof of Condition</w:t>
      </w:r>
    </w:p>
    <w:p>
      <w:pPr>
        <w:keepNext/>
        <w:spacing w:before="160" w:after="40"/>
      </w:pPr>
      <w:r>
        <w:rPr>
          <w:b/>
          <w:sz w:val="20"/>
        </w:rPr>
        <w:t>Cecha lub funkcjonalność rezultatu</w:t>
      </w:r>
      <w:r>
        <w:rPr>
          <w:color w:val="666666"/>
          <w:sz w:val="17"/>
        </w:rPr>
        <w:t xml:space="preserve"> [222 znaków]</w:t>
      </w:r>
    </w:p>
    <w:p>
      <w:pPr>
        <w:spacing w:after="60"/>
      </w:pPr>
      <w:r>
        <w:rPr>
          <w:b w:val="0"/>
        </w:rPr>
        <w:t>Automatyczne generowanie Proof of Condition w formacie zgodnym z rozporządzeniem UE 2020/1056 (eFTI): czas od zdarzenia inicjującego do zapisania podpisanego dokumentu. Pokrycie pól eFTI jest osobnym wskaźnikiem w pkt 1.4.</w:t>
      </w:r>
    </w:p>
    <w:p>
      <w:pPr>
        <w:keepNext/>
        <w:spacing w:before="160" w:after="40"/>
      </w:pPr>
      <w:r>
        <w:rPr>
          <w:b/>
          <w:sz w:val="20"/>
        </w:rPr>
        <w:t>Wartość bazowa</w:t>
      </w:r>
      <w:r>
        <w:rPr>
          <w:color w:val="666666"/>
          <w:sz w:val="17"/>
        </w:rPr>
        <w:t xml:space="preserve"> [313 znaków]</w:t>
      </w:r>
    </w:p>
    <w:p>
      <w:pPr>
        <w:spacing w:after="60"/>
      </w:pPr>
      <w:r>
        <w:rPr>
          <w:b w:val="0"/>
        </w:rPr>
        <w:t xml:space="preserve">Ręczne sporządzenie dokumentacji przewozowej: od 900 s do 1800 s (15 do 30 min) przy papierowym CMR według badania PITD przytoczonego przez pragmago.com </w:t>
      </w:r>
      <w:r>
        <w:rPr>
          <w:b w:val="0"/>
          <w:highlight w:val="yellow"/>
        </w:rPr>
        <w:t>pobrać oryginał źródła</w:t>
      </w:r>
      <w:r>
        <w:rPr>
          <w:b w:val="0"/>
        </w:rPr>
        <w:t>; poniżej 180 s przy e-CMR bez inspekcji wizualnej stanu ładunku (tacto.ai, 2024). W obu przypadkach ocena stanu ładunku pozostaje ręczna.</w:t>
      </w:r>
    </w:p>
    <w:p>
      <w:pPr>
        <w:keepNext/>
        <w:spacing w:before="160" w:after="40"/>
      </w:pPr>
      <w:r>
        <w:rPr>
          <w:b/>
          <w:sz w:val="20"/>
        </w:rPr>
        <w:t>Wartość docelowa</w:t>
      </w:r>
      <w:r>
        <w:rPr>
          <w:color w:val="666666"/>
          <w:sz w:val="17"/>
        </w:rPr>
        <w:t xml:space="preserve"> [191 znaków]</w:t>
      </w:r>
    </w:p>
    <w:p>
      <w:pPr>
        <w:spacing w:after="60"/>
      </w:pPr>
      <w:r>
        <w:rPr>
          <w:b w:val="0"/>
        </w:rPr>
        <w:t>Czas generowania PoC, mediana: nie więcej niż 30 s od zdarzenia inicjującego do zapisu podpisanego dokumentu. Opóźnienie przesłania zdarzenia do TMS w środowisku testowym: nie więcej niż 2 s.</w:t>
      </w:r>
    </w:p>
    <w:p>
      <w:pPr>
        <w:keepNext/>
        <w:spacing w:before="160" w:after="40"/>
      </w:pPr>
      <w:r>
        <w:rPr>
          <w:b/>
          <w:sz w:val="20"/>
        </w:rPr>
        <w:t>Jednostka miary</w:t>
      </w:r>
      <w:r>
        <w:rPr>
          <w:color w:val="666666"/>
          <w:sz w:val="17"/>
        </w:rPr>
        <w:t xml:space="preserve"> [1 znaków]</w:t>
      </w:r>
    </w:p>
    <w:p>
      <w:pPr>
        <w:spacing w:after="60"/>
      </w:pPr>
      <w:r>
        <w:rPr>
          <w:b w:val="0"/>
        </w:rPr>
        <w:t>s</w:t>
      </w:r>
    </w:p>
    <w:p>
      <w:pPr>
        <w:keepNext/>
        <w:spacing w:before="160" w:after="40"/>
      </w:pPr>
      <w:r>
        <w:rPr>
          <w:b/>
          <w:sz w:val="20"/>
        </w:rPr>
        <w:t>Produkt referencyjny</w:t>
      </w:r>
      <w:r>
        <w:rPr>
          <w:color w:val="666666"/>
          <w:sz w:val="17"/>
        </w:rPr>
        <w:t xml:space="preserve"> [290 znaków]</w:t>
      </w:r>
    </w:p>
    <w:p>
      <w:pPr>
        <w:spacing w:after="60"/>
      </w:pPr>
      <w:r>
        <w:rPr>
          <w:b w:val="0"/>
        </w:rPr>
        <w:t>Ręczna dokumentacja stanu ładunku: inspekcja przez kierowcę i papierowy CMR (Konwencja CMR, 1956) albo e-CMR. Żaden z przeanalizowanych systemów telematycznych (Tive, Arviem, Nexxiot, Schmitz Cargobull, SkyBitz) nie generuje w dostępnej dokumentacji dokumentu stanu ładunku w formacie eFTI.</w:t>
      </w:r>
    </w:p>
    <w:p>
      <w:pPr>
        <w:keepNext/>
        <w:spacing w:before="160" w:after="40"/>
      </w:pPr>
      <w:r>
        <w:rPr>
          <w:b/>
          <w:sz w:val="20"/>
        </w:rPr>
        <w:t>Przewaga lub korzyść</w:t>
      </w:r>
      <w:r>
        <w:rPr>
          <w:color w:val="666666"/>
          <w:sz w:val="17"/>
        </w:rPr>
        <w:t xml:space="preserve"> [247 znaków]</w:t>
      </w:r>
    </w:p>
    <w:p>
      <w:pPr>
        <w:spacing w:after="60"/>
      </w:pPr>
      <w:r>
        <w:rPr>
          <w:b w:val="0"/>
        </w:rPr>
        <w:t>Czas dokumentowania spada z 900 s do 1800 s (papierowy CMR) albo z poniżej 180 s (e-CMR) do 30 s, a dokument zawiera automatyczną ocenę stanu ładunku z modelu 3D, historii sygnałów i klasyfikatora ryzyka. Jest eksportowany do TMS i platformy eFTI.</w:t>
      </w:r>
    </w:p>
    <w:p>
      <w:pPr>
        <w:keepNext/>
        <w:spacing w:before="160" w:after="40"/>
      </w:pPr>
      <w:r>
        <w:rPr>
          <w:b/>
          <w:sz w:val="20"/>
        </w:rPr>
        <w:t>Opis metodologii szacowania wartości bazowej i docelowej oraz sposób weryfikacji</w:t>
      </w:r>
      <w:r>
        <w:rPr>
          <w:color w:val="666666"/>
          <w:sz w:val="17"/>
        </w:rPr>
        <w:t xml:space="preserve"> [644 znaków]</w:t>
      </w:r>
    </w:p>
    <w:p>
      <w:pPr>
        <w:spacing w:after="60"/>
      </w:pPr>
      <w:r>
        <w:rPr>
          <w:b w:val="0"/>
        </w:rPr>
        <w:t xml:space="preserve">Pipeline: migawka modelu 3D 2 do 5 s, historia sygnałów 1 do 2 s, złożenie i podpis dokumentu 1 do 2 s, razem poniżej 10 s. Wartość 30 s to trzykrotny margines. Zdarzeniem inicjującym jest zamknięcie drzwi po załadunku (PoL) albo zakończenie rozładunku (PoC) </w:t>
      </w:r>
      <w:r>
        <w:rPr>
          <w:b w:val="0"/>
          <w:highlight w:val="yellow"/>
        </w:rPr>
        <w:t>potwierdzić z zespołem technicznym</w:t>
      </w:r>
      <w:r>
        <w:rPr>
          <w:b w:val="0"/>
        </w:rPr>
        <w:t>. Wartość bazowa opisuje czas dokumentowania bez automatycznej oceny stanu ładunku, więc jest punktem odniesienia dla czasu, a nie dla jakości oceny. Weryfikacja: log systemowy z czasem od zdarzenia do zapisu dokumentu, mediana i percentyl 95. W Z6 na co najmniej 50 cyklach załadunek-rozładunek, w Z9 na co najmniej 200 cyklach według ścieżki audytu.</w:t>
      </w:r>
    </w:p>
    <w:p>
      <w:pPr>
        <w:pStyle w:val="Heading2"/>
      </w:pPr>
      <w:r>
        <w:t>W5. Opóźnienie alertu lokalnego bez łączności</w:t>
      </w:r>
    </w:p>
    <w:p>
      <w:pPr>
        <w:keepNext/>
        <w:spacing w:before="160" w:after="40"/>
      </w:pPr>
      <w:r>
        <w:rPr>
          <w:b/>
          <w:sz w:val="20"/>
        </w:rPr>
        <w:t>Cecha lub funkcjonalność rezultatu</w:t>
      </w:r>
      <w:r>
        <w:rPr>
          <w:color w:val="666666"/>
          <w:sz w:val="17"/>
        </w:rPr>
        <w:t xml:space="preserve"> [161 znaków]</w:t>
      </w:r>
    </w:p>
    <w:p>
      <w:pPr>
        <w:spacing w:after="60"/>
      </w:pPr>
      <w:r>
        <w:rPr>
          <w:b w:val="0"/>
        </w:rPr>
        <w:t>Alert ryzyka uszkodzenia ładunku generowany lokalnie na jednostce embedded bez łączności internetowej: czas od zdarzenia sensorycznego do powiadomienia kierowcy.</w:t>
      </w:r>
    </w:p>
    <w:p>
      <w:pPr>
        <w:keepNext/>
        <w:spacing w:before="160" w:after="40"/>
      </w:pPr>
      <w:r>
        <w:rPr>
          <w:b/>
          <w:sz w:val="20"/>
        </w:rPr>
        <w:t>Wartość bazowa</w:t>
      </w:r>
      <w:r>
        <w:rPr>
          <w:color w:val="666666"/>
          <w:sz w:val="17"/>
        </w:rPr>
        <w:t xml:space="preserve"> [372 znaków]</w:t>
      </w:r>
    </w:p>
    <w:p>
      <w:pPr>
        <w:spacing w:after="60"/>
      </w:pPr>
      <w:r>
        <w:rPr>
          <w:b w:val="0"/>
        </w:rPr>
        <w:t>Brak alertu lokalnego. W dostępnej dokumentacji systemów referencyjnych dane są wysyłane do chmury, a powiadomienie dociera po nawiązaniu łączności, więc przy braku zasięgu czas do powiadomienia kierowcy jest nieokreślony. Dla kontekstu: interwał transmisji Tive Solo 5G programowalny od 300 s do 43 200 s, Arviem domyślnie 3600 s, Nexxiot Globehopper Edge 3600 s w ruchu.</w:t>
      </w:r>
    </w:p>
    <w:p>
      <w:pPr>
        <w:keepNext/>
        <w:spacing w:before="160" w:after="40"/>
      </w:pPr>
      <w:r>
        <w:rPr>
          <w:b/>
          <w:sz w:val="20"/>
        </w:rPr>
        <w:t>Wartość docelowa</w:t>
      </w:r>
      <w:r>
        <w:rPr>
          <w:color w:val="666666"/>
          <w:sz w:val="17"/>
        </w:rPr>
        <w:t xml:space="preserve"> [158 znaków]</w:t>
      </w:r>
    </w:p>
    <w:p>
      <w:pPr>
        <w:spacing w:after="60"/>
      </w:pPr>
      <w:r>
        <w:rPr>
          <w:b w:val="0"/>
        </w:rPr>
        <w:t>Opóźnienie alertu lokalnego bez łączności: mediana i percentyl 95 nie więcej niż 1 s, przy równoczesnej inferencji modeli 3D, CV i ML na platformie docelowej.</w:t>
      </w:r>
    </w:p>
    <w:p>
      <w:pPr>
        <w:keepNext/>
        <w:spacing w:before="160" w:after="40"/>
      </w:pPr>
      <w:r>
        <w:rPr>
          <w:b/>
          <w:sz w:val="20"/>
        </w:rPr>
        <w:t>Jednostka miary</w:t>
      </w:r>
      <w:r>
        <w:rPr>
          <w:color w:val="666666"/>
          <w:sz w:val="17"/>
        </w:rPr>
        <w:t xml:space="preserve"> [1 znaków]</w:t>
      </w:r>
    </w:p>
    <w:p>
      <w:pPr>
        <w:spacing w:after="60"/>
      </w:pPr>
      <w:r>
        <w:rPr>
          <w:b w:val="0"/>
        </w:rPr>
        <w:t>s</w:t>
      </w:r>
    </w:p>
    <w:p>
      <w:pPr>
        <w:keepNext/>
        <w:spacing w:before="160" w:after="40"/>
      </w:pPr>
      <w:r>
        <w:rPr>
          <w:b/>
          <w:sz w:val="20"/>
        </w:rPr>
        <w:t>Produkt referencyjny</w:t>
      </w:r>
      <w:r>
        <w:rPr>
          <w:color w:val="666666"/>
          <w:sz w:val="17"/>
        </w:rPr>
        <w:t xml:space="preserve"> [172 znaków]</w:t>
      </w:r>
    </w:p>
    <w:p>
      <w:pPr>
        <w:spacing w:after="60"/>
      </w:pPr>
      <w:r>
        <w:rPr>
          <w:b w:val="0"/>
        </w:rPr>
        <w:t>Tive Solo 5G (Tive Inc.), Arviem Cargo Condition Monitoring Platform (Arviem AG), Globehopper (Nexxiot AG). Dane z kart katalogowych i stron producentów, dostęp 02.10.2026.</w:t>
      </w:r>
    </w:p>
    <w:p>
      <w:pPr>
        <w:keepNext/>
        <w:spacing w:before="160" w:after="40"/>
      </w:pPr>
      <w:r>
        <w:rPr>
          <w:b/>
          <w:sz w:val="20"/>
        </w:rPr>
        <w:t>Przewaga lub korzyść</w:t>
      </w:r>
      <w:r>
        <w:rPr>
          <w:color w:val="666666"/>
          <w:sz w:val="17"/>
        </w:rPr>
        <w:t xml:space="preserve"> [253 znaków]</w:t>
      </w:r>
    </w:p>
    <w:p>
      <w:pPr>
        <w:spacing w:after="60"/>
      </w:pPr>
      <w:r>
        <w:rPr>
          <w:b w:val="0"/>
        </w:rPr>
        <w:t>Kierowca dostaje powiadomienie dźwiękowe w ciągu sekundy od zdarzenia i może zareagować, zanim ryzyko przerodzi się w uszkodzenie. Systemy referencyjne informują o zdarzeniu po nawiązaniu łączności, więc przy braku zasięgu nie ma reakcji w czasie jazdy.</w:t>
      </w:r>
    </w:p>
    <w:p>
      <w:pPr>
        <w:keepNext/>
        <w:spacing w:before="160" w:after="40"/>
      </w:pPr>
      <w:r>
        <w:rPr>
          <w:b/>
          <w:sz w:val="20"/>
        </w:rPr>
        <w:t>Opis metodologii szacowania wartości bazowej i docelowej oraz sposób weryfikacji</w:t>
      </w:r>
      <w:r>
        <w:rPr>
          <w:color w:val="666666"/>
          <w:sz w:val="17"/>
        </w:rPr>
        <w:t xml:space="preserve"> [794 znaków]</w:t>
      </w:r>
    </w:p>
    <w:p>
      <w:pPr>
        <w:spacing w:after="60"/>
      </w:pPr>
      <w:r>
        <w:rPr>
          <w:b w:val="0"/>
        </w:rPr>
        <w:t xml:space="preserve">Wartość 1 s wynika z okna analizy zdarzeń 1000 ms stosowanego w literaturze dla przyspieszeń w transporcie drogowym (Gnap i in., Sensors 2021, DOI 10.3390/s21082881, okna 80, 300 i 1000 ms) oraz z minimalnego czasu trwania zdarzenia w testach dynamicznych wg prEN 17321:2020 </w:t>
      </w:r>
      <w:r>
        <w:rPr>
          <w:b w:val="0"/>
          <w:highlight w:val="yellow"/>
        </w:rPr>
        <w:t>sprawdzić zapis normy</w:t>
      </w:r>
      <w:r>
        <w:rPr>
          <w:b w:val="0"/>
        </w:rPr>
        <w:t>. Przy doborze platformy przyjęto margines projektowy 0,3 s, a 1 s jest kryterium akceptacji. Wartość bazowa jest opisowa, bo systemy referencyjne nie mają alertu lokalnego. Interwały transmisji podajemy tylko jako kontekst i nie porównujemy ich z opóźnieniem alertu. Weryfikacja: protokół testów platformy embedded w Z7, impuls testowy i log znaczników czasu, co najmniej 1000 pomiarów bez łączności, mediana i percentyl 95. Test terenowy w Z9 na co najmniej 500 zdarzeniach według ścieżki audytu.</w:t>
      </w:r>
    </w:p>
    <w:p>
      <w:pPr>
        <w:pStyle w:val="Heading1"/>
      </w:pPr>
      <w:r>
        <w:t>3. Pkt 1.4: dodatkowe aspekty innowacyjności</w:t>
      </w:r>
    </w:p>
    <w:p>
      <w:pPr>
        <w:pStyle w:val="Heading2"/>
      </w:pPr>
      <w:r>
        <w:t>Tekst (limit 4 000 znaków)</w:t>
      </w:r>
    </w:p>
    <w:p>
      <w:pPr>
        <w:keepNext/>
        <w:spacing w:before="160" w:after="40"/>
      </w:pPr>
      <w:r>
        <w:rPr>
          <w:b/>
          <w:sz w:val="20"/>
        </w:rPr>
        <w:t>Dodatkowe aspekty innowacyjności rezultatu prac B+R</w:t>
      </w:r>
      <w:r>
        <w:rPr>
          <w:color w:val="666666"/>
          <w:sz w:val="17"/>
        </w:rPr>
        <w:t xml:space="preserve"> [3023 znaków]</w:t>
      </w:r>
    </w:p>
    <w:p>
      <w:pPr>
        <w:spacing w:after="60"/>
      </w:pPr>
      <w:r>
        <w:rPr>
          <w:b w:val="0"/>
        </w:rPr>
        <w:t>POTENCJAŁ TRANSFORMACJI RYNKU</w:t>
      </w:r>
    </w:p>
    <w:p>
      <w:pPr>
        <w:spacing w:after="60"/>
      </w:pPr>
      <w:r>
        <w:rPr>
          <w:b w:val="0"/>
        </w:rPr>
        <w:t>CargoDT spełnia definicję innowacji kreującej nowy rynek według Podręcznika Oslo 2018 (§ 3.43). Zaspokaja potrzebę, której dotąd nie zaspokajało żadne dostępne rozwiązanie, w segmencie pomijanym przez dostawców ze względu na cenę i model dystrybucji.</w:t>
      </w:r>
    </w:p>
    <w:p>
      <w:pPr>
        <w:spacing w:after="60"/>
      </w:pPr>
      <w:r>
        <w:rPr>
          <w:b w:val="0"/>
        </w:rPr>
        <w:t xml:space="preserve">Zmiana reguł konkurencji. Producenci wyposażenia oryginalnego (Schmitz Cargobull TrailerConnect, Krone Telematics) i dostawcy systemów aftermarket (Nexxiot, Arviem, Tive, SkyBitz) oferują lokalizację, monitoring warunków i alerty progowe, a w części przypadków obraz lub zajętość przestrzeni ładunkowej. Według dostępnej dokumentacji żaden z nich nie łączy modelu 3D przestrzeni ładunkowej, predykcji ryzyka ML z klasą ładunku i automatycznego Proof of Condition w formacie eFTI. Systemy OEM są dostępne dla nowych naczep, a modele CAPEX są kosztowne dla flot poniżej 50 pojazdów </w:t>
      </w:r>
      <w:r>
        <w:rPr>
          <w:b w:val="0"/>
          <w:highlight w:val="yellow"/>
        </w:rPr>
        <w:t>źródło</w:t>
      </w:r>
      <w:r>
        <w:rPr>
          <w:b w:val="0"/>
        </w:rPr>
        <w:t>. CargoDT jest oferowany jako retrofit w subskrypcji: 349 PLN/pojazd/miesiąc, zestaw średnio 7 500 PLN za naczepę (sprzedaż z instalacją) i licencja API 4 800 PLN rocznie na klienta.</w:t>
      </w:r>
    </w:p>
    <w:p>
      <w:pPr>
        <w:spacing w:after="60"/>
      </w:pPr>
      <w:r>
        <w:rPr>
          <w:b w:val="0"/>
        </w:rPr>
        <w:t xml:space="preserve">Mechanizmy transformacji. 1) Ubezpieczenia cargo: szkody są rozliczane po fakcie, a predykcja ryzyka i alert lokalny pozwalają interweniować przed uszkodzeniem, co umożliwia różnicowanie składek według udokumentowanego profilu ryzyka. 2) Standard dokumentacyjny: tachograf cyfrowy stał się standardem dzięki regulacji, a analogiczna ścieżka otwiera się dla Proof of Condition w ramach rozporządzenia eFTI (UE 2020/1056). 3) Dostępność: technologie digital twin, edge AI i automatyczna dokumentacja, dotąd zarezerwowane dla dużych operatorów, trafiają do MŚP, które w Polsce eksploatują ok. </w:t>
      </w:r>
      <w:r>
        <w:rPr>
          <w:b w:val="0"/>
          <w:highlight w:val="yellow"/>
        </w:rPr>
        <w:t>200 000 naczep, źródło</w:t>
      </w:r>
      <w:r>
        <w:rPr>
          <w:b w:val="0"/>
        </w:rPr>
        <w:t>.</w:t>
      </w:r>
    </w:p>
    <w:p>
      <w:pPr>
        <w:spacing w:after="60"/>
      </w:pPr>
      <w:r>
        <w:rPr>
          <w:b w:val="0"/>
        </w:rPr>
        <w:t>INNOWACJA CYFROWA</w:t>
      </w:r>
    </w:p>
    <w:p>
      <w:pPr>
        <w:spacing w:after="60"/>
      </w:pPr>
      <w:r>
        <w:rPr>
          <w:b w:val="0"/>
        </w:rPr>
        <w:t>CargoDT jest innowacją produktową opartą na technologiach ICT. Na poziomie kraju jest nowością, bo według dostępnej dokumentacji produktów konkurencyjnych na rynku polskim (TrailerConnect, Nexxiot, Arviem, Tive, SkyBitz) żaden nie wykonuje lokalnie, bez łączności internetowej, jednocześnie modelu 3D, predykcji ML i weryfikacji zabezpieczeń metodami CV. Wartość tworzą cztery warstwy ICT. 1) Sztuczna inteligencja: segmentacja do rekonstrukcji modelu 3D, model szeregów czasowych ML do predykcji ryzyka (AUC-ROC nie mniej niż 0,85) i segmentacja instancji do oceny zabezpieczeń (mAP przy IoU 0,50 nie mniej niż 0,75). 2) Przetwarzanie brzegowe: kompresja modeli (INT8, pruning, destylacja wiedzy) pozwala generować alert w czasie nie dłuższym niż 1 s bez łączności. 3) Internet Rzeczy: kamery ToF lub EO/IR, radar mmWave i sensory MEMS tworzą jeden strumień danych o stanie ładunku. 4) Interoperacyjność: API z TMS, platformą eFTI i e-CMR umożliwia automatyczny Proof of Condition w czasie nie dłuższym niż 30 s.</w:t>
      </w:r>
    </w:p>
    <w:p>
      <w:pPr>
        <w:spacing w:after="60"/>
      </w:pPr>
      <w:r>
        <w:rPr>
          <w:b w:val="0"/>
        </w:rPr>
        <w:t>Cechy innowacji cyfrowej są odzwierciedlone we wskaźnikach: liczba funkcji AI wykonywanych lokalnie i pokrycie pól eFTI (poniżej) oraz AUC-ROC, mAP, opóźnienie alertu i czas generowania PoC (pkt 1.2). Dostępność cenowa ma osobny wskaźnik, bo potencjał transformacji zależy od tego, czy retrofit jest osiągalny dla małych flot.</w:t>
      </w:r>
    </w:p>
    <w:p>
      <w:pPr>
        <w:pStyle w:val="Heading2"/>
      </w:pPr>
      <w:r>
        <w:t>I1. Roczny koszt posiadania systemu monitoringu stanu przestrzeni ładunkowej na jedną naczepę</w:t>
      </w:r>
    </w:p>
    <w:p>
      <w:pPr>
        <w:keepNext/>
        <w:spacing w:before="160" w:after="40"/>
      </w:pPr>
      <w:r>
        <w:rPr>
          <w:b/>
          <w:sz w:val="20"/>
        </w:rPr>
        <w:t>Nazwa wskaźnika</w:t>
      </w:r>
      <w:r>
        <w:rPr>
          <w:color w:val="666666"/>
          <w:sz w:val="17"/>
        </w:rPr>
        <w:t xml:space="preserve"> [89 znaków]</w:t>
      </w:r>
    </w:p>
    <w:p>
      <w:pPr>
        <w:spacing w:after="60"/>
      </w:pPr>
      <w:r>
        <w:rPr>
          <w:b w:val="0"/>
        </w:rPr>
        <w:t>Roczny koszt posiadania systemu monitoringu stanu przestrzeni ładunkowej na jedną naczepę</w:t>
      </w:r>
    </w:p>
    <w:p>
      <w:pPr>
        <w:keepNext/>
        <w:spacing w:before="160" w:after="40"/>
      </w:pPr>
      <w:r>
        <w:rPr>
          <w:b/>
          <w:sz w:val="20"/>
        </w:rPr>
        <w:t>Wartość bazowa</w:t>
      </w:r>
      <w:r>
        <w:rPr>
          <w:color w:val="666666"/>
          <w:sz w:val="17"/>
        </w:rPr>
        <w:t xml:space="preserve"> [306 znaków]</w:t>
      </w:r>
    </w:p>
    <w:p>
      <w:pPr>
        <w:spacing w:after="60"/>
      </w:pPr>
      <w:r>
        <w:rPr>
          <w:b w:val="0"/>
        </w:rPr>
        <w:t xml:space="preserve">Roczny koszt posiadania najtańszego dostępnego rozwiązania o zbliżonej funkcji (monitoring warunków oraz obraz lub zajętość przestrzeni ładunkowej; subskrypcja i zestaw rozłożony na 5 lat): </w:t>
      </w:r>
      <w:r>
        <w:rPr>
          <w:b w:val="0"/>
          <w:highlight w:val="yellow"/>
        </w:rPr>
        <w:t>X PLN/naczepa/rok, z ofert co najmniej 3 dostawców, z datami zapytań</w:t>
      </w:r>
      <w:r>
        <w:rPr>
          <w:b w:val="0"/>
        </w:rPr>
        <w:t>. Koszt całej naczepy nie jest wartością bazową.</w:t>
      </w:r>
    </w:p>
    <w:p>
      <w:pPr>
        <w:keepNext/>
        <w:spacing w:before="160" w:after="40"/>
      </w:pPr>
      <w:r>
        <w:rPr>
          <w:b/>
          <w:sz w:val="20"/>
        </w:rPr>
        <w:t>Wartość docelowa</w:t>
      </w:r>
      <w:r>
        <w:rPr>
          <w:color w:val="666666"/>
          <w:sz w:val="17"/>
        </w:rPr>
        <w:t xml:space="preserve"> [284 znaków]</w:t>
      </w:r>
    </w:p>
    <w:p>
      <w:pPr>
        <w:spacing w:after="60"/>
      </w:pPr>
      <w:r>
        <w:rPr>
          <w:b w:val="0"/>
        </w:rPr>
        <w:t>Nie więcej niż 6 200 PLN/naczepa/rok dla floty 10 naczep: subskrypcja 349 PLN x 12 = 4 188 PLN, zestaw 7 500 PLN rozłożony na 5 lat = 1 500 PLN, licencja API 4 800 PLN rocznie podzielona na 10 naczep = 480 PLN, razem 6 168 PLN. Przyjęta flota odniesienia jest taka sama jak w pkt 1.3.</w:t>
      </w:r>
    </w:p>
    <w:p>
      <w:pPr>
        <w:keepNext/>
        <w:spacing w:before="160" w:after="40"/>
      </w:pPr>
      <w:r>
        <w:rPr>
          <w:b/>
          <w:sz w:val="20"/>
        </w:rPr>
        <w:t>Jednostka miary</w:t>
      </w:r>
      <w:r>
        <w:rPr>
          <w:color w:val="666666"/>
          <w:sz w:val="17"/>
        </w:rPr>
        <w:t xml:space="preserve"> [15 znaków]</w:t>
      </w:r>
    </w:p>
    <w:p>
      <w:pPr>
        <w:spacing w:after="60"/>
      </w:pPr>
      <w:r>
        <w:rPr>
          <w:b w:val="0"/>
        </w:rPr>
        <w:t>PLN/naczepa/rok</w:t>
      </w:r>
    </w:p>
    <w:p>
      <w:pPr>
        <w:keepNext/>
        <w:spacing w:before="160" w:after="40"/>
      </w:pPr>
      <w:r>
        <w:rPr>
          <w:b/>
          <w:sz w:val="20"/>
        </w:rPr>
        <w:t>Metoda oszacowania wartości docelowej</w:t>
      </w:r>
      <w:r>
        <w:rPr>
          <w:color w:val="666666"/>
          <w:sz w:val="17"/>
        </w:rPr>
        <w:t xml:space="preserve"> [495 znaków]</w:t>
      </w:r>
    </w:p>
    <w:p>
      <w:pPr>
        <w:spacing w:after="60"/>
      </w:pPr>
      <w:r>
        <w:rPr>
          <w:b w:val="0"/>
        </w:rPr>
        <w:t>Ceny dla klienta wynikają z modelu cenowego Wnioskodawcy (arkusz modelu finansowego, przychody), a koszt zestawu z jego struktury kosztowej (kamery, radar, jednostka embedded, czujniki MEMS, montaż). Wartość bazowa pochodzi z zapytań ofertowych do co najmniej 3 dostawców rozwiązań o zbliżonej funkcji, wysłanych dla identycznego zakresu: monitoring warunków i obraz lub zajętość przestrzeni ładunkowej, jedna naczepa, 5 lat. Dla floty większej niż 5 naczep koszt licencji API na naczepę maleje.</w:t>
      </w:r>
    </w:p>
    <w:p>
      <w:pPr>
        <w:keepNext/>
        <w:spacing w:before="160" w:after="40"/>
      </w:pPr>
      <w:r>
        <w:rPr>
          <w:b/>
          <w:sz w:val="20"/>
        </w:rPr>
        <w:t>Sposób monitorowania i weryfikacji (z rokiem bazowym i docelowym)</w:t>
      </w:r>
      <w:r>
        <w:rPr>
          <w:color w:val="666666"/>
          <w:sz w:val="17"/>
        </w:rPr>
        <w:t xml:space="preserve"> [199 znaków]</w:t>
      </w:r>
    </w:p>
    <w:p>
      <w:pPr>
        <w:spacing w:after="60"/>
      </w:pPr>
      <w:r>
        <w:rPr>
          <w:b w:val="0"/>
        </w:rPr>
        <w:t>Cennik i oferta Wnioskodawcy z pierwszych umów oraz zestawienie ofert konkurencji z datami. Rok bazowy 2026, rok docelowy 2030 (start sprzedaży 01.2030). Wskaźnik raportujemy w sprawozdaniu końcowym.</w:t>
      </w:r>
    </w:p>
    <w:p>
      <w:pPr>
        <w:pStyle w:val="Heading2"/>
      </w:pPr>
      <w:r>
        <w:t>I2. Liczba funkcji AI wykonywanych lokalnie na pojeździe, bez łączności, jednocześnie na jednej platformie embedded</w:t>
      </w:r>
    </w:p>
    <w:p>
      <w:pPr>
        <w:keepNext/>
        <w:spacing w:before="160" w:after="40"/>
      </w:pPr>
      <w:r>
        <w:rPr>
          <w:b/>
          <w:sz w:val="20"/>
        </w:rPr>
        <w:t>Nazwa wskaźnika</w:t>
      </w:r>
      <w:r>
        <w:rPr>
          <w:color w:val="666666"/>
          <w:sz w:val="17"/>
        </w:rPr>
        <w:t xml:space="preserve"> [111 znaków]</w:t>
      </w:r>
    </w:p>
    <w:p>
      <w:pPr>
        <w:spacing w:after="60"/>
      </w:pPr>
      <w:r>
        <w:rPr>
          <w:b w:val="0"/>
        </w:rPr>
        <w:t>Liczba funkcji AI wykonywanych lokalnie na pojeździe, bez łączności, jednocześnie na jednej platformie embedded</w:t>
      </w:r>
    </w:p>
    <w:p>
      <w:pPr>
        <w:keepNext/>
        <w:spacing w:before="160" w:after="40"/>
      </w:pPr>
      <w:r>
        <w:rPr>
          <w:b/>
          <w:sz w:val="20"/>
        </w:rPr>
        <w:t>Wartość bazowa</w:t>
      </w:r>
      <w:r>
        <w:rPr>
          <w:color w:val="666666"/>
          <w:sz w:val="17"/>
        </w:rPr>
        <w:t xml:space="preserve"> [174 znaków]</w:t>
      </w:r>
    </w:p>
    <w:p>
      <w:pPr>
        <w:spacing w:after="60"/>
      </w:pPr>
      <w:r>
        <w:rPr>
          <w:b w:val="0"/>
        </w:rPr>
        <w:t>0. Systemy referencyjne przesyłają dane do chmury lub portalu i tam je przetwarzają, alert lokalny nie występuje (Tive Solo 5G, Arviem, Nexxiot Globehopper). Rok bazowy 2026.</w:t>
      </w:r>
    </w:p>
    <w:p>
      <w:pPr>
        <w:keepNext/>
        <w:spacing w:before="160" w:after="40"/>
      </w:pPr>
      <w:r>
        <w:rPr>
          <w:b/>
          <w:sz w:val="20"/>
        </w:rPr>
        <w:t>Wartość docelowa</w:t>
      </w:r>
      <w:r>
        <w:rPr>
          <w:color w:val="666666"/>
          <w:sz w:val="17"/>
        </w:rPr>
        <w:t xml:space="preserve"> [197 znaków]</w:t>
      </w:r>
    </w:p>
    <w:p>
      <w:pPr>
        <w:spacing w:after="60"/>
      </w:pPr>
      <w:r>
        <w:rPr>
          <w:b w:val="0"/>
        </w:rPr>
        <w:t>3: aktualizacja modelu 3D, predykcja ryzyka ML z alertem oraz weryfikacja zabezpieczeń CV, działające jednocześnie na jednej jednostce embedded, z alertem nie później niż po 1 s. Rok docelowy 2029.</w:t>
      </w:r>
    </w:p>
    <w:p>
      <w:pPr>
        <w:keepNext/>
        <w:spacing w:before="160" w:after="40"/>
      </w:pPr>
      <w:r>
        <w:rPr>
          <w:b/>
          <w:sz w:val="20"/>
        </w:rPr>
        <w:t>Jednostka miary</w:t>
      </w:r>
      <w:r>
        <w:rPr>
          <w:color w:val="666666"/>
          <w:sz w:val="17"/>
        </w:rPr>
        <w:t xml:space="preserve"> [21 znaków]</w:t>
      </w:r>
    </w:p>
    <w:p>
      <w:pPr>
        <w:spacing w:after="60"/>
      </w:pPr>
      <w:r>
        <w:rPr>
          <w:b w:val="0"/>
        </w:rPr>
        <w:t>szt. (liczba funkcji)</w:t>
      </w:r>
    </w:p>
    <w:p>
      <w:pPr>
        <w:keepNext/>
        <w:spacing w:before="160" w:after="40"/>
      </w:pPr>
      <w:r>
        <w:rPr>
          <w:b/>
          <w:sz w:val="20"/>
        </w:rPr>
        <w:t>Metoda oszacowania wartości docelowej</w:t>
      </w:r>
      <w:r>
        <w:rPr>
          <w:color w:val="666666"/>
          <w:sz w:val="17"/>
        </w:rPr>
        <w:t xml:space="preserve"> [476 znaków]</w:t>
      </w:r>
    </w:p>
    <w:p>
      <w:pPr>
        <w:spacing w:after="60"/>
      </w:pPr>
      <w:r>
        <w:rPr>
          <w:b w:val="0"/>
        </w:rPr>
        <w:t>Liczymy funkcje AI, które na platformie docelowej działają jednocześnie, bez łączności internetowej i spełniają progi z kamienia milowego Z7: model 3D co najmniej 5 Hz, alert nie później niż po 1 s, degradacja po kompresji nie większa niż 3 punkty procentowe (AUC-ROC co najmniej 0,82, mAP co najmniej 0,72). Wskaźnik pokazuje przewagę cyfrową, bo przeniesienie obliczeń na pojazd usuwa zależność od zasięgu: system działa w całej trasie, a nie tylko tam, gdzie jest łączność.</w:t>
      </w:r>
    </w:p>
    <w:p>
      <w:pPr>
        <w:keepNext/>
        <w:spacing w:before="160" w:after="40"/>
      </w:pPr>
      <w:r>
        <w:rPr>
          <w:b/>
          <w:sz w:val="20"/>
        </w:rPr>
        <w:t>Sposób monitorowania i weryfikacji (z rokiem bazowym i docelowym)</w:t>
      </w:r>
      <w:r>
        <w:rPr>
          <w:color w:val="666666"/>
          <w:sz w:val="17"/>
        </w:rPr>
        <w:t xml:space="preserve"> [232 znaków]</w:t>
      </w:r>
    </w:p>
    <w:p>
      <w:pPr>
        <w:spacing w:after="60"/>
      </w:pPr>
      <w:r>
        <w:rPr>
          <w:b w:val="0"/>
        </w:rPr>
        <w:t>Protokół testów embedded w Z7: jednoczesna praca trzech funkcji na stanowisku wibracyjnym i w komorze termicznej, log znaczników czasu. Test terenowy w Z9 bez łączności na co najmniej 3 pojazdach. Rok bazowy 2026, rok docelowy 2029.</w:t>
      </w:r>
    </w:p>
    <w:p>
      <w:pPr>
        <w:pStyle w:val="Heading2"/>
      </w:pPr>
      <w:r>
        <w:t>I3. Pokrycie obligatoryjnych pól eFTI w dokumencie generowanym automatycznie przez CargoDT</w:t>
      </w:r>
    </w:p>
    <w:p>
      <w:pPr>
        <w:keepNext/>
        <w:spacing w:before="160" w:after="40"/>
      </w:pPr>
      <w:r>
        <w:rPr>
          <w:b/>
          <w:sz w:val="20"/>
        </w:rPr>
        <w:t>Nazwa wskaźnika</w:t>
      </w:r>
      <w:r>
        <w:rPr>
          <w:color w:val="666666"/>
          <w:sz w:val="17"/>
        </w:rPr>
        <w:t xml:space="preserve"> [86 znaków]</w:t>
      </w:r>
    </w:p>
    <w:p>
      <w:pPr>
        <w:spacing w:after="60"/>
      </w:pPr>
      <w:r>
        <w:rPr>
          <w:b w:val="0"/>
        </w:rPr>
        <w:t>Pokrycie obligatoryjnych pól eFTI w dokumencie generowanym automatycznie przez CargoDT</w:t>
      </w:r>
    </w:p>
    <w:p>
      <w:pPr>
        <w:keepNext/>
        <w:spacing w:before="160" w:after="40"/>
      </w:pPr>
      <w:r>
        <w:rPr>
          <w:b/>
          <w:sz w:val="20"/>
        </w:rPr>
        <w:t>Wartość bazowa</w:t>
      </w:r>
      <w:r>
        <w:rPr>
          <w:color w:val="666666"/>
          <w:sz w:val="17"/>
        </w:rPr>
        <w:t xml:space="preserve"> [191 znaków]</w:t>
      </w:r>
    </w:p>
    <w:p>
      <w:pPr>
        <w:spacing w:after="60"/>
      </w:pPr>
      <w:r>
        <w:rPr>
          <w:b w:val="0"/>
        </w:rPr>
        <w:t xml:space="preserve">0%. W dostępnej dokumentacji systemów referencyjnych nie ma automatycznego generowania dokumentów eFTI na podstawie stanu ładunku </w:t>
      </w:r>
      <w:r>
        <w:rPr>
          <w:b w:val="0"/>
          <w:highlight w:val="yellow"/>
        </w:rPr>
        <w:t>potwierdzić przeglądem dokumentacji, z datą</w:t>
      </w:r>
      <w:r>
        <w:rPr>
          <w:b w:val="0"/>
        </w:rPr>
        <w:t>. Rok bazowy 2026.</w:t>
      </w:r>
    </w:p>
    <w:p>
      <w:pPr>
        <w:keepNext/>
        <w:spacing w:before="160" w:after="40"/>
      </w:pPr>
      <w:r>
        <w:rPr>
          <w:b/>
          <w:sz w:val="20"/>
        </w:rPr>
        <w:t>Wartość docelowa</w:t>
      </w:r>
      <w:r>
        <w:rPr>
          <w:color w:val="666666"/>
          <w:sz w:val="17"/>
        </w:rPr>
        <w:t xml:space="preserve"> [291 znaków]</w:t>
      </w:r>
    </w:p>
    <w:p>
      <w:pPr>
        <w:spacing w:after="60"/>
      </w:pPr>
      <w:r>
        <w:rPr>
          <w:b w:val="0"/>
        </w:rPr>
        <w:t xml:space="preserve">Nie mniej niż 95% obligatoryjnych pól (100% to wszystkie pola obligatoryjne wykazu), przy zgodności kluczowych pól stanu ładunku z ground truth nie mniejszej niż </w:t>
      </w:r>
      <w:r>
        <w:rPr>
          <w:b w:val="0"/>
          <w:highlight w:val="yellow"/>
        </w:rPr>
        <w:t>90%</w:t>
      </w:r>
      <w:r>
        <w:rPr>
          <w:b w:val="0"/>
        </w:rPr>
        <w:t>. Część pól pochodzi z TMS Everest11, część z sensorów CargoDT, a udział każdego źródła raportujemy osobno. Rok docelowy 2029.</w:t>
      </w:r>
    </w:p>
    <w:p>
      <w:pPr>
        <w:keepNext/>
        <w:spacing w:before="160" w:after="40"/>
      </w:pPr>
      <w:r>
        <w:rPr>
          <w:b/>
          <w:sz w:val="20"/>
        </w:rPr>
        <w:t>Jednostka miary</w:t>
      </w:r>
      <w:r>
        <w:rPr>
          <w:color w:val="666666"/>
          <w:sz w:val="17"/>
        </w:rPr>
        <w:t xml:space="preserve"> [47 znaków]</w:t>
      </w:r>
    </w:p>
    <w:p>
      <w:pPr>
        <w:spacing w:after="60"/>
      </w:pPr>
      <w:r>
        <w:rPr>
          <w:b w:val="0"/>
        </w:rPr>
        <w:t>% (100% to wszystkie pola obligatoryjne wykazu)</w:t>
      </w:r>
    </w:p>
    <w:p>
      <w:pPr>
        <w:keepNext/>
        <w:spacing w:before="160" w:after="40"/>
      </w:pPr>
      <w:r>
        <w:rPr>
          <w:b/>
          <w:sz w:val="20"/>
        </w:rPr>
        <w:t>Metoda oszacowania wartości docelowej</w:t>
      </w:r>
      <w:r>
        <w:rPr>
          <w:color w:val="666666"/>
          <w:sz w:val="17"/>
        </w:rPr>
        <w:t xml:space="preserve"> [477 znaków]</w:t>
      </w:r>
    </w:p>
    <w:p>
      <w:pPr>
        <w:spacing w:after="60"/>
      </w:pPr>
      <w:r>
        <w:rPr>
          <w:b w:val="0"/>
        </w:rPr>
        <w:t xml:space="preserve">Wykaz pól obligatoryjnych sporządzamy z rozporządzenia (UE) 2020/1056 i aktów wykonawczych </w:t>
      </w:r>
      <w:r>
        <w:rPr>
          <w:b w:val="0"/>
          <w:highlight w:val="yellow"/>
        </w:rPr>
        <w:t>sprawdzić wersję aktów</w:t>
      </w:r>
      <w:r>
        <w:rPr>
          <w:b w:val="0"/>
        </w:rPr>
        <w:t xml:space="preserve"> i zapisujemy w protokole razem z wersją. Pokrycie to liczba pól obligatoryjnych wypełnionych w dokumencie podzielona przez liczbę pól wykazu. Zgodność treści to liczba pól kluczowych zgodnych z ground truth podzielona przez liczbę pól kluczowych próby. Zgodność formatu potwierdza walidacja schematem XSD. Pola poza zakresem systemu są jawnie oznaczone w wykazie.</w:t>
      </w:r>
    </w:p>
    <w:p>
      <w:pPr>
        <w:keepNext/>
        <w:spacing w:before="160" w:after="40"/>
      </w:pPr>
      <w:r>
        <w:rPr>
          <w:b/>
          <w:sz w:val="20"/>
        </w:rPr>
        <w:t>Sposób monitorowania i weryfikacji (z rokiem bazowym i docelowym)</w:t>
      </w:r>
      <w:r>
        <w:rPr>
          <w:color w:val="666666"/>
          <w:sz w:val="17"/>
        </w:rPr>
        <w:t xml:space="preserve"> [229 znaków]</w:t>
      </w:r>
    </w:p>
    <w:p>
      <w:pPr>
        <w:spacing w:after="60"/>
      </w:pPr>
      <w:r>
        <w:rPr>
          <w:b w:val="0"/>
        </w:rPr>
        <w:t>Raport walidacji XSD i zestawienie pól w Z6 (kamień milowy Z6). Powtórzenie na dokumentach z testu terenowego Z9, na próbie co najmniej 10% dokumentów i nie mniej niż 50, według ścieżki audytu. Rok bazowy 2026, rok docelowy 2029.</w:t>
      </w:r>
    </w:p>
    <w:p>
      <w:pPr>
        <w:pStyle w:val="Heading1"/>
      </w:pPr>
      <w:r>
        <w:t>4. Zmiany w tekście „Opis innowacji produktowej” (pkt 1.2)</w:t>
      </w:r>
    </w:p>
    <w:p>
      <w:pPr>
        <w:spacing w:after="60"/>
      </w:pPr>
      <w:r>
        <w:rPr>
          <w:b w:val="0"/>
        </w:rPr>
        <w:t>Opis zawiera zdania, które przeczą wskaźnikom albo twierdzą więcej, niż pokazuje przegląd rynku. Poniżej fragmenty do zmiany, w układzie: obecny zapis, nowy zapis.</w:t>
      </w:r>
    </w:p>
    <w:p>
      <w:pPr>
        <w:keepNext/>
        <w:spacing w:before="160" w:after="40"/>
      </w:pPr>
      <w:r>
        <w:rPr>
          <w:b/>
          <w:sz w:val="20"/>
        </w:rPr>
        <w:t>Zmiana 1</w:t>
      </w:r>
    </w:p>
    <w:p>
      <w:r>
        <w:rPr>
          <w:b w:val="0"/>
          <w:sz w:val="19"/>
        </w:rPr>
        <w:t>Obecnie: Na rynku polskim i europejskim nie istnieje żaden produkt realizujący tę funkcję - co potwierdziło przeszukanie IEEE Xplore i Scopus frazami ... , które nie zwróciło żadnej recenzowanej publikacji opisującej system tej klasy.</w:t>
      </w:r>
    </w:p>
    <w:p>
      <w:r>
        <w:rPr>
          <w:b w:val="0"/>
        </w:rPr>
        <w:t>Nowy zapis: Na podstawie przeglądu dokumentacji produktów (Schmitz Cargobull TrailerConnect, Krone Telematics, Nexxiot, Arviem, Tive, SkyBitz) oraz przeszukania IEEE Xplore, Scopus i Google Patents w maju 2026 r. nie znaleźliśmy produktu łączącego opisane funkcje. Najbliższe rozwiązania to kamery i czujniki wolumetryczne w naczepie (SkyCamera, kamera przestrzeni ładunkowej TrailerConnect), które dają obraz lub zajętość kubatury w wybranych chwilach i nie określają położenia jednostek ładunkowych w ruchu.</w:t>
      </w:r>
    </w:p>
    <w:p>
      <w:pPr>
        <w:keepNext/>
        <w:spacing w:before="160" w:after="40"/>
      </w:pPr>
      <w:r>
        <w:rPr>
          <w:b/>
          <w:sz w:val="20"/>
        </w:rPr>
        <w:t>Zmiana 2</w:t>
      </w:r>
    </w:p>
    <w:p>
      <w:r>
        <w:rPr>
          <w:b w:val="0"/>
          <w:sz w:val="19"/>
        </w:rPr>
        <w:t>Obecnie: Parametry techniczne ... błąd pozycji ładunku ≤30 cm, częstotliwość aktualizacji modelu 3D ≥5 Hz, latencja alertu embedded ≤1000 ms bez łączności, czas generowania Proof of Condition ≤30 s ... na min. 3 pojazdach floty Natanek Logistics.</w:t>
      </w:r>
    </w:p>
    <w:p>
      <w:r>
        <w:rPr>
          <w:b w:val="0"/>
        </w:rPr>
        <w:t>Nowy zapis: Parametry techniczne: błąd położenia ładunku (mediana nie więcej niż 0,30 m, percentyl 95 nie więcej niż 0,35 m), częstotliwość aktualizacji modelu 3D nie mniej niż 5 Hz, opóźnienie alertu lokalnego bez łączności nie więcej niż 1 s, czas generowania Proof of Condition nie więcej niż 30 s. Zostaną zweryfikowane w testach terenowych w Z9 na co najmniej 3 pojazdach floty testowej.</w:t>
      </w:r>
    </w:p>
    <w:p>
      <w:pPr>
        <w:keepNext/>
        <w:spacing w:before="160" w:after="40"/>
      </w:pPr>
      <w:r>
        <w:rPr>
          <w:b/>
          <w:sz w:val="20"/>
        </w:rPr>
        <w:t>Zmiana 3</w:t>
      </w:r>
    </w:p>
    <w:p>
      <w:r>
        <w:rPr>
          <w:b w:val="0"/>
          <w:sz w:val="19"/>
        </w:rPr>
        <w:t>Obecnie: Wszystkie opierają się wyłącznie na statycznych alertach progowych: Nexxiot Globe+ i Arviem transmitują dane przez GSM, Tive wymaga łączności sieciowej do wygenerowania alertu ...</w:t>
      </w:r>
    </w:p>
    <w:p>
      <w:r>
        <w:rPr>
          <w:b w:val="0"/>
        </w:rPr>
        <w:t xml:space="preserve">Nowy zapis: Systemy telematyczne (Schmitz Cargobull TrailerConnect, Arviem, Tive Solo 5G, Nexxiot Globehopper) opierają się na alertach progowych i przesyłają dane do chmury. Alert dociera do użytkownika po nawiązaniu łączności. </w:t>
      </w:r>
      <w:r>
        <w:rPr>
          <w:b w:val="0"/>
          <w:highlight w:val="yellow"/>
        </w:rPr>
        <w:t>Nazwa produktu Nexxiot do potwierdzenia: w dokumentacji producenta występuje linia Globehopper, nie Globe+.</w:t>
      </w:r>
    </w:p>
    <w:p>
      <w:pPr>
        <w:keepNext/>
        <w:spacing w:before="160" w:after="40"/>
      </w:pPr>
      <w:r>
        <w:rPr>
          <w:b/>
          <w:sz w:val="20"/>
        </w:rPr>
        <w:t>Zmiana 4</w:t>
      </w:r>
    </w:p>
    <w:p>
      <w:r>
        <w:rPr>
          <w:b w:val="0"/>
          <w:sz w:val="19"/>
        </w:rPr>
        <w:t>Obecnie: Blickfeld do pomiaru wolumenów w magazynach i Ouster do nadzoru placów logistycznych ...</w:t>
      </w:r>
    </w:p>
    <w:p>
      <w:r>
        <w:rPr>
          <w:b w:val="0"/>
        </w:rPr>
        <w:t>Nowy zapis: Blickfeld (Qb2 z oprogramowaniem QbVolume) do pomiaru objętości w magazynach i Ouster (OS0) do nadzoru placów logistycznych służą do zastosowań stacjonarnych przy infrastrukturze. W wykazie produktów referencyjnych w polu wskaźnika używamy nazw z kart katalogowych.</w:t>
      </w:r>
    </w:p>
    <w:p>
      <w:pPr>
        <w:keepNext/>
        <w:spacing w:before="160" w:after="40"/>
      </w:pPr>
      <w:r>
        <w:rPr>
          <w:b/>
          <w:sz w:val="20"/>
        </w:rPr>
        <w:t>Zmiana 5</w:t>
      </w:r>
    </w:p>
    <w:p>
      <w:r>
        <w:rPr>
          <w:b w:val="0"/>
          <w:sz w:val="19"/>
        </w:rPr>
        <w:t>Obecnie: Przy wykryciu ryzyka wysokiego system wygeneruje alert w ≤1000 ms od zdarzenia ...</w:t>
      </w:r>
    </w:p>
    <w:p>
      <w:r>
        <w:rPr>
          <w:b w:val="0"/>
        </w:rPr>
        <w:t>Nowy zapis: Przy wykryciu ryzyka wysokiego system wygeneruje alert w czasie nie dłuższym niż 1 s od zdarzenia, lokalnie na jednostce embedded, bez oczekiwania na łączność GSM.</w:t>
      </w:r>
    </w:p>
    <w:p>
      <w:pPr>
        <w:keepNext/>
        <w:spacing w:before="160" w:after="40"/>
      </w:pPr>
      <w:r>
        <w:rPr>
          <w:b/>
          <w:sz w:val="20"/>
        </w:rPr>
        <w:t>Zmiana 6</w:t>
      </w:r>
    </w:p>
    <w:p>
      <w:r>
        <w:rPr>
          <w:b w:val="0"/>
          <w:sz w:val="19"/>
        </w:rPr>
        <w:t>Obecnie: ... będzie pierwszym takim modelem w literaturze naukowej dla transportu drogowego, co potwierdziło przeszukanie ...</w:t>
      </w:r>
    </w:p>
    <w:p>
      <w:r>
        <w:rPr>
          <w:b w:val="0"/>
        </w:rPr>
        <w:t>Nowy zapis: ... według przeszukanej literatury (IEEE Xplore, Scopus, Google Scholar, maj 2026 r.) nie ma opublikowanego modelu tego typu dla transportu drogowego.</w:t>
      </w:r>
    </w:p>
    <w:p>
      <w:pPr>
        <w:keepNext/>
        <w:spacing w:before="160" w:after="40"/>
      </w:pPr>
      <w:r>
        <w:rPr>
          <w:b/>
          <w:sz w:val="20"/>
        </w:rPr>
        <w:t>Zmiana 7</w:t>
      </w:r>
    </w:p>
    <w:p>
      <w:r>
        <w:rPr>
          <w:b w:val="0"/>
          <w:sz w:val="19"/>
        </w:rPr>
        <w:t>Obecnie: Łączny roczny koszt jest niższy niż typowa wartość jednego roszczenia CMR (8,33 SDR/kg ... co dla palety 200-500 kg daje 5 500 - 23 000 PLN). ... ROI dodatni już od pierwszego roku.</w:t>
      </w:r>
    </w:p>
    <w:p>
      <w:r>
        <w:rPr>
          <w:b w:val="0"/>
        </w:rPr>
        <w:t>Nowy zapis: Przeliczyć zakres odszkodowania według kursu SDR z daty wniosku (8,33 SDR/kg x 200-500 kg = 1 666-4 165 SDR) i podać kurs oraz źródło. Zdanie o dodatnim ROI od pierwszego roku usunąć albo poprzeć obliczeniem z modelu finansowego.</w:t>
      </w:r>
    </w:p>
    <w:p>
      <w:pPr>
        <w:keepNext/>
        <w:spacing w:before="160" w:after="40"/>
      </w:pPr>
      <w:r>
        <w:rPr>
          <w:b/>
          <w:sz w:val="20"/>
        </w:rPr>
        <w:t>Zmiana 8</w:t>
      </w:r>
    </w:p>
    <w:p>
      <w:r>
        <w:rPr>
          <w:b w:val="0"/>
          <w:sz w:val="19"/>
        </w:rPr>
        <w:t>Obecnie: na min. 3 pojazdach floty Natanek Logistics (wszystkie miejsca w opisie innowacji i we wskaźnikach)</w:t>
      </w:r>
    </w:p>
    <w:p>
      <w:r>
        <w:rPr>
          <w:b w:val="0"/>
        </w:rPr>
        <w:t>Nowy zapis: na co najmniej 3 pojazdach floty testowej (bez wskazywania właściciela, zgodnie z ustaleniem o flocie).</w:t>
      </w:r>
    </w:p>
    <w:p>
      <w:pPr>
        <w:pStyle w:val="Heading1"/>
      </w:pPr>
      <w:r>
        <w:t>5. Produkty referencyjne: parametry i źródła (K1-01)</w:t>
      </w:r>
    </w:p>
    <w:p>
      <w:pPr>
        <w:spacing w:after="60"/>
      </w:pPr>
      <w:r>
        <w:rPr>
          <w:b w:val="0"/>
        </w:rPr>
        <w:t>Dane pochodzą ze stron i kart katalogowych producentów, pobrane 02.10.2026 wyszukiwarką. Przed wpisaniem do LSI trzeba je sprawdzić w pełnych kartach katalogowych i dopisać adres oraz datę dostępu przy każdym produkcie.</w:t>
      </w:r>
    </w:p>
    <w:tbl>
      <w:tblPr>
        <w:tblStyle w:val="TableGrid"/>
        <w:tblW w:type="auto" w:w="0"/>
        <w:tblLook w:firstColumn="1" w:firstRow="1" w:lastColumn="0" w:lastRow="0" w:noHBand="0" w:noVBand="1" w:val="04A0"/>
      </w:tblPr>
      <w:tblGrid>
        <w:gridCol w:w="3213"/>
        <w:gridCol w:w="3213"/>
        <w:gridCol w:w="3213"/>
      </w:tblGrid>
      <w:tr>
        <w:tc>
          <w:tcPr>
            <w:tcW w:type="dxa" w:w="2268"/>
          </w:tcPr>
          <w:p>
            <w:r/>
            <w:r>
              <w:rPr>
                <w:b/>
                <w:sz w:val="18"/>
              </w:rPr>
              <w:t>Produkt</w:t>
            </w:r>
          </w:p>
        </w:tc>
        <w:tc>
          <w:tcPr>
            <w:tcW w:type="dxa" w:w="5386"/>
          </w:tcPr>
          <w:p>
            <w:r/>
            <w:r>
              <w:rPr>
                <w:b/>
                <w:sz w:val="18"/>
              </w:rPr>
              <w:t>Parametry</w:t>
            </w:r>
          </w:p>
        </w:tc>
        <w:tc>
          <w:tcPr>
            <w:tcW w:type="dxa" w:w="2098"/>
          </w:tcPr>
          <w:p>
            <w:r/>
            <w:r>
              <w:rPr>
                <w:b/>
                <w:sz w:val="18"/>
              </w:rPr>
              <w:t>Źródło</w:t>
            </w:r>
          </w:p>
        </w:tc>
      </w:tr>
      <w:tr>
        <w:tc>
          <w:tcPr>
            <w:tcW w:type="dxa" w:w="2268"/>
          </w:tcPr>
          <w:p>
            <w:r/>
            <w:r>
              <w:rPr>
                <w:b w:val="0"/>
                <w:sz w:val="18"/>
              </w:rPr>
              <w:t>Blickfeld Qb2, QbVolume (Blickfeld GmbH)</w:t>
            </w:r>
          </w:p>
        </w:tc>
        <w:tc>
          <w:tcPr>
            <w:tcW w:type="dxa" w:w="5386"/>
          </w:tcPr>
          <w:p>
            <w:r/>
            <w:r>
              <w:rPr>
                <w:b w:val="0"/>
                <w:sz w:val="18"/>
              </w:rPr>
              <w:t>Zasięg typowy 1 do 100 m, pole widzenia do 90° x 50°, precyzja odległości poniżej ±2 cm (1 sigma), 1 do 50 Hz, objętość i zajętość stref, zastosowania stacjonarne.</w:t>
            </w:r>
          </w:p>
        </w:tc>
        <w:tc>
          <w:tcPr>
            <w:tcW w:type="dxa" w:w="2098"/>
          </w:tcPr>
          <w:p>
            <w:r/>
            <w:r>
              <w:rPr>
                <w:b w:val="0"/>
                <w:sz w:val="18"/>
              </w:rPr>
              <w:t>blickfeld.com, karty Qb2 ETR V2.3 (03.2026) i QbVolume V2.3 (03.2026)</w:t>
            </w:r>
          </w:p>
        </w:tc>
      </w:tr>
      <w:tr>
        <w:tc>
          <w:tcPr>
            <w:tcW w:type="dxa" w:w="2268"/>
          </w:tcPr>
          <w:p>
            <w:r/>
            <w:r>
              <w:rPr>
                <w:b w:val="0"/>
                <w:sz w:val="18"/>
              </w:rPr>
              <w:t>Ouster OS0 (Ouster Inc.)</w:t>
            </w:r>
          </w:p>
        </w:tc>
        <w:tc>
          <w:tcPr>
            <w:tcW w:type="dxa" w:w="5386"/>
          </w:tcPr>
          <w:p>
            <w:r/>
            <w:r>
              <w:rPr>
                <w:b w:val="0"/>
                <w:sz w:val="18"/>
              </w:rPr>
              <w:t>Zasięg do 100 m, 35 m dla obiektu o odbiciu 10% (Rev 7), dokładność ±3 cm, pole widzenia 360° x 90°, do 20 Hz.</w:t>
            </w:r>
          </w:p>
        </w:tc>
        <w:tc>
          <w:tcPr>
            <w:tcW w:type="dxa" w:w="2098"/>
          </w:tcPr>
          <w:p>
            <w:r/>
            <w:r>
              <w:rPr>
                <w:b w:val="0"/>
                <w:sz w:val="18"/>
              </w:rPr>
              <w:t>ouster.com/products/hardware/os0</w:t>
            </w:r>
          </w:p>
        </w:tc>
      </w:tr>
      <w:tr>
        <w:tc>
          <w:tcPr>
            <w:tcW w:type="dxa" w:w="2268"/>
          </w:tcPr>
          <w:p>
            <w:r/>
            <w:r>
              <w:rPr>
                <w:b w:val="0"/>
                <w:sz w:val="18"/>
              </w:rPr>
              <w:t>SkyCamera (SkyBitz)</w:t>
            </w:r>
          </w:p>
        </w:tc>
        <w:tc>
          <w:tcPr>
            <w:tcW w:type="dxa" w:w="5386"/>
          </w:tcPr>
          <w:p>
            <w:r/>
            <w:r>
              <w:rPr>
                <w:b w:val="0"/>
                <w:sz w:val="18"/>
              </w:rPr>
              <w:t>Kamera i czujnik wolumetryczny w naczepie, pomiar objętości i powierzchni podłogi, zdjęcia na wyzwalacz otwarcia drzwi lub na żądanie. Producent nie podaje dokładności.</w:t>
            </w:r>
          </w:p>
        </w:tc>
        <w:tc>
          <w:tcPr>
            <w:tcW w:type="dxa" w:w="2098"/>
          </w:tcPr>
          <w:p>
            <w:r/>
            <w:r>
              <w:rPr>
                <w:b w:val="0"/>
                <w:sz w:val="18"/>
              </w:rPr>
              <w:t>skybitz.com/skycamera; komunikat prasowy o czujniku wolumetrycznym</w:t>
            </w:r>
          </w:p>
        </w:tc>
      </w:tr>
      <w:tr>
        <w:tc>
          <w:tcPr>
            <w:tcW w:type="dxa" w:w="2268"/>
          </w:tcPr>
          <w:p>
            <w:r/>
            <w:r>
              <w:rPr>
                <w:b w:val="0"/>
                <w:sz w:val="18"/>
              </w:rPr>
              <w:t>TrailerConnect (Schmitz Cargobull)</w:t>
            </w:r>
          </w:p>
        </w:tc>
        <w:tc>
          <w:tcPr>
            <w:tcW w:type="dxa" w:w="5386"/>
          </w:tcPr>
          <w:p>
            <w:r/>
            <w:r>
              <w:rPr>
                <w:b w:val="0"/>
                <w:sz w:val="18"/>
              </w:rPr>
              <w:t>Telematyka z TPMS, ważeniem pokładowym i kamerą przestrzeni ładunkowej (w opisie naczep wywrotek S.KI, 2025). Do sprawdzenia, czy kamera ładunkowa jest oferowana dla naczep typu kurtyna i furgon.</w:t>
            </w:r>
          </w:p>
        </w:tc>
        <w:tc>
          <w:tcPr>
            <w:tcW w:type="dxa" w:w="2098"/>
          </w:tcPr>
          <w:p>
            <w:r/>
            <w:r>
              <w:rPr>
                <w:b w:val="0"/>
                <w:sz w:val="18"/>
              </w:rPr>
              <w:t>cargobull.com, komunikat prasowy bauma 2025</w:t>
            </w:r>
          </w:p>
        </w:tc>
      </w:tr>
      <w:tr>
        <w:tc>
          <w:tcPr>
            <w:tcW w:type="dxa" w:w="2268"/>
          </w:tcPr>
          <w:p>
            <w:r/>
            <w:r>
              <w:rPr>
                <w:b w:val="0"/>
                <w:sz w:val="18"/>
              </w:rPr>
              <w:t>Tive Solo 5G (Tive Inc.)</w:t>
            </w:r>
          </w:p>
        </w:tc>
        <w:tc>
          <w:tcPr>
            <w:tcW w:type="dxa" w:w="5386"/>
          </w:tcPr>
          <w:p>
            <w:r/>
            <w:r>
              <w:rPr>
                <w:b w:val="0"/>
                <w:sz w:val="18"/>
              </w:rPr>
              <w:t>Interwał transmisji programowalny od 5 do 720 min (od 300 s do 43 200 s), zdarzenia przekroczeń przesyłane natychmiast przy łączności. Temperatura od -30 °C do 60 °C, ±0,5 °C, wilgotność, światło, wstrząs, ruch. Lokalizacja GPS 10 m. Pamięć 25 000 rekordów.</w:t>
            </w:r>
          </w:p>
        </w:tc>
        <w:tc>
          <w:tcPr>
            <w:tcW w:type="dxa" w:w="2098"/>
          </w:tcPr>
          <w:p>
            <w:r/>
            <w:r>
              <w:rPr>
                <w:b w:val="0"/>
                <w:sz w:val="18"/>
              </w:rPr>
              <w:t>Tive Solo 5G Data Sheet (2024), tive.com/compare-trackers</w:t>
            </w:r>
          </w:p>
        </w:tc>
      </w:tr>
      <w:tr>
        <w:tc>
          <w:tcPr>
            <w:tcW w:type="dxa" w:w="2268"/>
          </w:tcPr>
          <w:p>
            <w:r/>
            <w:r>
              <w:rPr>
                <w:b w:val="0"/>
                <w:sz w:val="18"/>
              </w:rPr>
              <w:t>Arviem Cargo Condition Monitoring (Arviem AG)</w:t>
            </w:r>
          </w:p>
        </w:tc>
        <w:tc>
          <w:tcPr>
            <w:tcW w:type="dxa" w:w="5386"/>
          </w:tcPr>
          <w:p>
            <w:r/>
            <w:r>
              <w:rPr>
                <w:b w:val="0"/>
                <w:sz w:val="18"/>
              </w:rPr>
              <w:t xml:space="preserve">GSM i GPRS, lokalizacja co godzinę, czujniki temperatury, wilgotności, światła i wstrząsu, domyślny interwał pomiaru 60 min. </w:t>
            </w:r>
            <w:r>
              <w:rPr>
                <w:b w:val="0"/>
                <w:sz w:val="18"/>
                <w:highlight w:val="yellow"/>
              </w:rPr>
              <w:t>Źródło wyszukane pośrednio, pobrać kartę katalogową Arviem.</w:t>
            </w:r>
          </w:p>
        </w:tc>
        <w:tc>
          <w:tcPr>
            <w:tcW w:type="dxa" w:w="2098"/>
          </w:tcPr>
          <w:p>
            <w:r/>
            <w:r>
              <w:rPr>
                <w:b w:val="0"/>
                <w:sz w:val="18"/>
              </w:rPr>
              <w:t>do uzupełnienia</w:t>
            </w:r>
          </w:p>
        </w:tc>
      </w:tr>
      <w:tr>
        <w:tc>
          <w:tcPr>
            <w:tcW w:type="dxa" w:w="2268"/>
          </w:tcPr>
          <w:p>
            <w:r/>
            <w:r>
              <w:rPr>
                <w:b w:val="0"/>
                <w:sz w:val="18"/>
              </w:rPr>
              <w:t>Globehopper (Nexxiot AG)</w:t>
            </w:r>
          </w:p>
        </w:tc>
        <w:tc>
          <w:tcPr>
            <w:tcW w:type="dxa" w:w="5386"/>
          </w:tcPr>
          <w:p>
            <w:r/>
            <w:r>
              <w:rPr>
                <w:b w:val="0"/>
                <w:sz w:val="18"/>
              </w:rPr>
              <w:t xml:space="preserve">Globehopper Edge: aktualizacja co 60 min w ruchu. Globehopper (wagony, cysterny): co 5 min. Crossmodal: lokalizacja i detekcja wstrząsów. </w:t>
            </w:r>
            <w:r>
              <w:rPr>
                <w:b w:val="0"/>
                <w:sz w:val="18"/>
                <w:highlight w:val="yellow"/>
              </w:rPr>
              <w:t>W dokumentacji nie znaleziono produktu o nazwie „Globe+”.</w:t>
            </w:r>
          </w:p>
        </w:tc>
        <w:tc>
          <w:tcPr>
            <w:tcW w:type="dxa" w:w="2098"/>
          </w:tcPr>
          <w:p>
            <w:r/>
            <w:r>
              <w:rPr>
                <w:b w:val="0"/>
                <w:sz w:val="18"/>
              </w:rPr>
              <w:t>porttechnology.org, businesswire.com (10.2021), caasint.com</w:t>
            </w:r>
          </w:p>
        </w:tc>
      </w:tr>
    </w:tbl>
    <w:p/>
    <w:p>
      <w:pPr>
        <w:pStyle w:val="Heading1"/>
      </w:pPr>
      <w:r>
        <w:t>6. Otwarte kwestie i decyzje</w:t>
      </w:r>
    </w:p>
    <w:p>
      <w:pPr>
        <w:pStyle w:val="ListBullet"/>
      </w:pPr>
      <w:r>
        <w:rPr>
          <w:b/>
        </w:rPr>
        <w:t>Wartość bazowa kosztu (I1)</w:t>
      </w:r>
      <w:r>
        <w:rPr>
          <w:b w:val="0"/>
        </w:rPr>
        <w:t xml:space="preserve"> wymaga zapytań ofertowych do co najmniej 3 dostawców o zbliżonej funkcji. Publicznych cen nie znaleziono. Bez ofert wskaźnik I1 nie ma wiarygodnej bazy i zaproponuję wtedy zastąpienie go innym wskaźnikiem 1.4.</w:t>
      </w:r>
    </w:p>
    <w:p>
      <w:pPr>
        <w:pStyle w:val="ListBullet"/>
      </w:pPr>
      <w:r>
        <w:rPr>
          <w:b/>
        </w:rPr>
        <w:t>Bazy zakładane [[0,70]] (AUC-ROC detektora progowego) i [[0,40]] (mAP detektora ogólnego)</w:t>
      </w:r>
      <w:r>
        <w:rPr>
          <w:b w:val="0"/>
        </w:rPr>
        <w:t xml:space="preserve"> to założenia robocze, które zastąpią pomiary z Z4 i Z8. Trzeba je potwierdzić technicznie. Pomiar bazy mAP jest do dopisania w opisie i kamieniu milowym Z8 (obecnie jest tylko pomiar bazy AUC w Z4).</w:t>
      </w:r>
    </w:p>
    <w:p>
      <w:pPr>
        <w:pStyle w:val="ListBullet"/>
      </w:pPr>
      <w:r>
        <w:rPr>
          <w:b/>
        </w:rPr>
        <w:t>Teza „nie istnieje żaden produkt”</w:t>
      </w:r>
      <w:r>
        <w:rPr>
          <w:b w:val="0"/>
        </w:rPr>
        <w:t xml:space="preserve"> jest zbyt mocna. Istnieją kamery i czujniki wolumetryczne w naczepie (SkyBitz, Schmitz). Teksty zostały złagodzone do „według dostępnej dokumentacji”, z wyjaśnieniem różnicy: obraz lub zajętość w wybranych chwilach, a nie położenie jednostek ładunkowych w ruchu.</w:t>
      </w:r>
    </w:p>
    <w:p>
      <w:pPr>
        <w:pStyle w:val="ListBullet"/>
      </w:pPr>
      <w:r>
        <w:rPr>
          <w:b/>
        </w:rPr>
        <w:t>Analiza FTO (K2-03):</w:t>
      </w:r>
      <w:r>
        <w:rPr>
          <w:b w:val="0"/>
        </w:rPr>
        <w:t xml:space="preserve"> wyszukiwanie zwróciło patenty dotyczące pomiaru wypełnienia naczepy 3D kamerą (m.in. US10158842B2, US12198091B2, US11763439, US12086934). Trzeba je ocenić w analizie FTO, bo dotyczą pomiaru zajętości, a nie położenia ładunku w ruchu, ale zakres zastrzeżeń wymaga sprawdzenia.</w:t>
      </w:r>
    </w:p>
    <w:p>
      <w:pPr>
        <w:pStyle w:val="ListBullet"/>
      </w:pPr>
      <w:r>
        <w:rPr>
          <w:b/>
        </w:rPr>
        <w:t>Nazwy produktów:</w:t>
      </w:r>
      <w:r>
        <w:rPr>
          <w:b w:val="0"/>
        </w:rPr>
        <w:t xml:space="preserve"> w dokumentacji Nexxiot występuje Globehopper, nie Globe+; Blickfeld oferuje Qb2 z QbVolume, nie QbScan. Zmieniono w tekstach, a pozostałe wystąpienia we wniosku (1.2, 1.4, 6.x) trzeba poprawić tak samo.</w:t>
      </w:r>
    </w:p>
    <w:p>
      <w:pPr>
        <w:pStyle w:val="ListBullet"/>
      </w:pPr>
      <w:r>
        <w:rPr>
          <w:b/>
        </w:rPr>
        <w:t>Zdarzenie inicjujące PoC i PoL</w:t>
      </w:r>
      <w:r>
        <w:rPr>
          <w:b w:val="0"/>
        </w:rPr>
        <w:t xml:space="preserve"> (zamknięcie drzwi, koniec rozładunku) trzeba potwierdzić technicznie, bo od tego zależy mierzony czas.</w:t>
      </w:r>
    </w:p>
    <w:p>
      <w:pPr>
        <w:pStyle w:val="ListBullet"/>
      </w:pPr>
      <w:r>
        <w:rPr>
          <w:b/>
        </w:rPr>
        <w:t>Źródła do sprawdzenia:</w:t>
      </w:r>
      <w:r>
        <w:rPr>
          <w:b w:val="0"/>
        </w:rPr>
        <w:t xml:space="preserve"> Hosmer i Lemeshow (wydanie i strona), prEN 17321:2020 (czas trwania zdarzenia), EN 13382 (wymiary palety), akty wykonawcze do rozporządzenia 2020/1056, oryginał badania PITD.</w:t>
      </w:r>
    </w:p>
    <w:p>
      <w:pPr>
        <w:pStyle w:val="ListBullet"/>
      </w:pPr>
      <w:r>
        <w:rPr>
          <w:b/>
        </w:rPr>
        <w:t>Fill rate:</w:t>
      </w:r>
      <w:r>
        <w:rPr>
          <w:b w:val="0"/>
        </w:rPr>
        <w:t xml:space="preserve"> po usunięciu z 1.4 trzeba usunąć wskaźnik także z 7.4 (REDUCE już oparte o dokumenty papierowe, D17) i z modelu finansowego, jeśli się tam pojawia.</w:t>
      </w:r>
    </w:p>
    <w:p>
      <w:pPr>
        <w:pStyle w:val="ListBullet"/>
      </w:pPr>
      <w:r>
        <w:rPr>
          <w:b/>
        </w:rPr>
        <w:t>Cena 7 500 PLN i 349 PLN</w:t>
      </w:r>
      <w:r>
        <w:rPr>
          <w:b w:val="0"/>
        </w:rPr>
        <w:t xml:space="preserve"> pochodzą z modelu cenowo-kosztowego w toku (D11). Jeśli zmienią się ceny, I1 i teksty 1.2 oraz 2.1 trzeba przeliczyć.</w:t>
      </w:r>
    </w:p>
    <w:p>
      <w:pPr>
        <w:pStyle w:val="ListBullet"/>
      </w:pPr>
      <w:r>
        <w:rPr>
          <w:b/>
        </w:rPr>
        <w:t>Liczba 200 000 naczep w Polsce</w:t>
      </w:r>
      <w:r>
        <w:rPr>
          <w:b w:val="0"/>
        </w:rPr>
        <w:t xml:space="preserve"> nie ma źródła (D20).</w:t>
      </w:r>
    </w:p>
    <w:p>
      <w:pPr>
        <w:pStyle w:val="ListBullet"/>
      </w:pPr>
      <w:r>
        <w:rPr>
          <w:b/>
        </w:rPr>
        <w:t>Limity znaków</w:t>
      </w:r>
      <w:r>
        <w:rPr>
          <w:b w:val="0"/>
        </w:rPr>
        <w:t xml:space="preserve"> pól tabeli wskaźników do sprawdzenia w LSI.</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1F3A5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