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[3517 z 4000 znaków]</w:t>
      </w:r>
    </w:p>
    <w:p>
      <w:pPr>
        <w:spacing w:after="60"/>
      </w:pPr>
      <w:r>
        <w:rPr>
          <w:b w:val="0"/>
        </w:rPr>
        <w:t>Problem badawczy. W zamkniętej, metalowej naczepie kamery ToF odbierają impulsy podczerwone innych kamer (MCI), a wielokrotne odbicia od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Hipotezy badawcze. H1: RMSE głębi rośnie wraz z liczbą równocześnie pracujących kamer i maleje wraz z odległością od ściany, a efekt jest większy niż opisywany dla scen otwartych. H2: istnieje konfiguracja do 4 kamer, w której błąd pozycji ładunku nie przekracza 0,30 m bez osobnego algorytmu mitygacji. Odrzucenie H2 uzasadnia prace nad algorytmem adaptacyjnym w zadaniu Z5.</w:t>
      </w:r>
    </w:p>
    <w:p>
      <w:pPr>
        <w:spacing w:after="60"/>
      </w:pPr>
      <w:r>
        <w:rPr>
          <w:b w:val="0"/>
        </w:rPr>
        <w:t xml:space="preserve">Metoda badawcza. Badania przemysłowe zostaną przeprowadzone w formie eksperymentu kontrolowanego. Czynniki: liczba kamer od 1 do 4, trzy odległości od ściany z zakresu od 0,3 do 5 m, co najmniej dwa tryby pracy kamery, cztery klasy optyczne ładunku oraz co najmniej pięć powtórzeń w każdym punkcie planu częściowo czynnikowego, łącznie </w:t>
      </w:r>
      <w:r>
        <w:rPr>
          <w:b w:val="0"/>
          <w:highlight w:val="yellow"/>
        </w:rPr>
        <w:t>co najmniej 200 serii</w:t>
      </w:r>
      <w:r>
        <w:rPr>
          <w:b w:val="0"/>
        </w:rPr>
        <w:t>. Zmienne wynikowe: RMSE głębi względem referencji (płaski cel pomiarowy i dalmierz laserowy), udział pikseli odrzuconych oraz błąd MCI jako różnica względem pracy jednej kamery. Wyniki zostaną opracowane regresją i analizą wariancji z przedziałami ufności 95%. Brak wykrytego efektu również rozstrzyga niepewność badawczą. Ponadto zostaną wykonane badania porównawcze modalności (RMSE, wrażliwość na refleksy w podczerwieni, praca przy 0 lx) oraz symulacja geometryczna, z której wynikną udział pokrytej kubatury i stref martwych dla konfiguracji do 4 kamer.</w:t>
      </w:r>
    </w:p>
    <w:p>
      <w:pPr>
        <w:spacing w:after="60"/>
      </w:pPr>
      <w:r>
        <w:rPr>
          <w:b w:val="0"/>
        </w:rPr>
        <w:t>Liczba kupowanego sprzętu wynika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Uzasadnienie wyboru metody.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kupowany jest w liczbie wynikającej z planu pomiarów, co zapewnia ekonomiczność.</w:t>
      </w:r>
    </w:p>
    <w:p>
      <w:pPr>
        <w:spacing w:after="60"/>
      </w:pPr>
      <w:r>
        <w:rPr>
          <w:b w:val="0"/>
        </w:rPr>
        <w:t>Charakter prac. Zadanie ma charakter badań przemysłowych, ponieważ dostarcza nowej wiedzy potrzebnej do opracowania produktu: modelu degradacji dokładności oraz rozstrzygnięcia hipotez H1 i H2. Stanowisko pomiarowe jest prototypem laboratoryjnym w rozumieniu art. 2 pkt 85 rozporządzenia 651/2014.</w:t>
      </w:r>
    </w:p>
    <w:p>
      <w:pPr>
        <w:spacing w:after="60"/>
      </w:pPr>
      <w:r>
        <w:rPr>
          <w:b w:val="0"/>
        </w:rPr>
        <w:t xml:space="preserve">Kolejność i powiązania.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Taka kolejność wynika z tego, że zadanie Z2 potrzebuje specyfikacji sensorów do M6, a pełny model degradacji jest potrzebny dopiero w zadaniu Z5, gdzie posłuży jako wartość bazowa dla redukcji RMSE o co najmniej 50%. Koszty zadania obejmują wynagrodzenia zespołu PRz oraz sprzęt pomiarowy wynikający z planu badań.</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Akwizycja wielomodalnego datasetu in-transit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[3570 z 4000 znaków]</w:t>
      </w:r>
    </w:p>
    <w:p>
      <w:pPr>
        <w:spacing w:after="60"/>
      </w:pPr>
      <w:r>
        <w:rPr>
          <w:b w:val="0"/>
        </w:rPr>
        <w:t>Problem badawczy.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 Są to niepewności badawcze, a nie rutynowe gromadzenie danych.</w:t>
      </w:r>
    </w:p>
    <w:p>
      <w:pPr>
        <w:spacing w:after="60"/>
      </w:pPr>
      <w:r>
        <w:rPr>
          <w:b w:val="0"/>
        </w:rPr>
        <w:t>Metoda akwizycji. Tor pomiarowy zostanie zbudowany według specyfikacji z zadania Z1, a jakość synchronizacji zbadana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Jednostką analizy jest przesyłka, czyli ładunek jednego zlecenia na naczepie.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Walidacja w zadaniu Z9 wykorzysta nowe kursy naturalne, co wyklucza przeciek danych.</w:t>
      </w:r>
    </w:p>
    <w:p>
      <w:pPr>
        <w:spacing w:after="60"/>
      </w:pPr>
      <w:r>
        <w:rPr>
          <w:b w:val="0"/>
        </w:rPr>
        <w:t>Etykietowanie i zgodność anotacji.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Charakter prac. Zadanie ma charakter badań przemysłowych, ponieważ tworzy nową metodę akwizycji i zbiór referencyjny niezbędne do rozwiązania problemów badawczych od 1 do 3. Montaż i organizacja przejazdów są czynnościami pomocniczymi i nie stanowią wyniku badawczego.</w:t>
      </w:r>
    </w:p>
    <w:p>
      <w:pPr>
        <w:spacing w:after="60"/>
      </w:pPr>
      <w:r>
        <w:rPr>
          <w:b w:val="0"/>
        </w:rPr>
        <w:t>Uzasadnienie wyboru metody. Test drogowy i inspekcja ślepa dają wiarygodny pomiar, dlatego metoda jest celowa i skuteczna, 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Kolejność prac. W miesiącach M1-M6 zostanie przygotowana infrastruktura i protokół bezpieczeństwa danych, w M7-M8 wykonany montaż, a w M9-M18 przeprowadzona kampania pomiarowa. Kolejność wynika z zależności od zadań Z1 i Z3.</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[3189 z 4000 znaków]</w:t>
      </w:r>
    </w:p>
    <w:p>
      <w:pPr>
        <w:spacing w:after="60"/>
      </w:pPr>
      <w:r>
        <w:rPr>
          <w:b w:val="0"/>
        </w:rPr>
        <w:t>Problem badawczy.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Nowa wiedza.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Metryki: AUC-ROC, AUC-PR, mAP i opóźnienie. Przetestowane zostaną metody uczenia przy niezbalansowaniu: Borderline-SMOTE, ADASYN, funkcja straty zależna od kosztu błędu i zespoły modeli.</w:t>
      </w:r>
    </w:p>
    <w:p>
      <w:pPr>
        <w:spacing w:after="60"/>
      </w:pPr>
      <w:r>
        <w:rPr>
          <w:b w:val="0"/>
        </w:rPr>
        <w:t>Potrzeba stanowiska. Stanowisko zapewnia powtarzalne warunki, których nie dają dane publiczne i pilotażowe: kontrolowaną ekspozycję, znany ground truth i pomiar opóźnienia na docelowej klasie sprzętu. Zakup komponentów nie jest wynikiem badawczym, lecz warunkiem przeprowadzenia badań.</w:t>
      </w:r>
    </w:p>
    <w:p>
      <w:pPr>
        <w:spacing w:after="60"/>
      </w:pPr>
      <w:r>
        <w:rPr>
          <w:b w:val="0"/>
        </w:rPr>
        <w:t>Charakter prac. 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Uzasadnienie wyboru metody.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 xml:space="preserve">Kolejność i powiązania. Protokół zbioru powstanie w </w:t>
      </w:r>
      <w:r>
        <w:rPr>
          <w:b w:val="0"/>
          <w:highlight w:val="yellow"/>
        </w:rPr>
        <w:t>M6-M8</w:t>
      </w:r>
      <w:r>
        <w:rPr>
          <w:b w:val="0"/>
        </w:rPr>
        <w:t xml:space="preserve">, ponieważ zadanie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 Koszty zadania obejmują wynagrodzenia zespołu PRz oraz komponenty stanowiska laboratoryjnego.</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[2777 z 4000 znaków]</w:t>
      </w:r>
    </w:p>
    <w:p>
      <w:pPr>
        <w:spacing w:after="60"/>
      </w:pPr>
      <w:r>
        <w:rPr>
          <w:b w:val="0"/>
        </w:rPr>
        <w:t>Problem technologiczny.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Charakter prac. Zadanie ma charakter prac rozwojowych i nie polega na wytrenowaniu gotowej sieci na danych.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Wynik nie jest przesądzony. Znane narzędzia (FFT, SHAP, SMOTE) zostaną wykorzystane do zbudowania nowego modelu, a nie do zmiany działającego produktu.</w:t>
      </w:r>
    </w:p>
    <w:p>
      <w:pPr>
        <w:spacing w:after="60"/>
      </w:pPr>
      <w:r>
        <w:rPr>
          <w:b w:val="0"/>
        </w:rPr>
        <w:t>Metoda. Porównane zostaną warianty: baza bez technik niezbalansowania, SMOTE lub ADASYN, funkcja straty zależna od kosztu błędu oraz zespół modeli, każdy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 Jako wartość bazowa posłuży detektor progowy według EN 12195-1 oceniony na tym samym teście, a nie klasyfikator losowy (AUC 0,50). Wyjaśnialność SHAP i LIME jest warunkiem akceptacji przez dyspozytora i materiałem do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Uzasadnienie wyboru metody. Walidacja po kursach i odrębny test dają obiektywny wynik, co zapewnia niezawodność. Badanie ablacyjne wskazuje, co faktycznie poprawia wynik, dlatego metoda jest celowa i skuteczna. Wykorzystanie zbioru z zadania Z2 i środowiska PRz zapewnia ekonomiczność.</w:t>
      </w:r>
    </w:p>
    <w:p>
      <w:pPr>
        <w:spacing w:after="60"/>
      </w:pPr>
      <w:r>
        <w:rPr>
          <w:b w:val="0"/>
        </w:rPr>
        <w:t xml:space="preserve">Kolejność i powiązania.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walidacja i porównanie z metodą referencyjną w </w:t>
      </w:r>
      <w:r>
        <w:rPr>
          <w:b w:val="0"/>
          <w:highlight w:val="yellow"/>
        </w:rPr>
        <w:t>M25-M26</w:t>
      </w:r>
      <w:r>
        <w:rPr>
          <w:b w:val="0"/>
        </w:rPr>
        <w:t>, a raport i przekazanie modelu nastąpią w M27, po oknie korekt. Cechy trzeba przygotować przed eksperymentami, a walidacja wymaga zamrożenia wariantu. Zadanie korzysta z architektury z zadania Z3 i danych z zadania Z2. Model FP32 jest wejściem do kompresji w zadaniu Z7, a jego skuteczność w ruchu sprawdzi zadanie Z9. Koszty zadania obejmują wynagrodzenia wymienionych osób PRz.</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3D state estimation: mitygacja MCI, IMU-aided registration, pipeline modelu 3D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[2438 z 4000 znaków]</w:t>
      </w:r>
    </w:p>
    <w:p>
      <w:pPr>
        <w:spacing w:after="60"/>
      </w:pPr>
      <w:r>
        <w:rPr>
          <w:b w:val="0"/>
        </w:rPr>
        <w:t>Charakter prac. Zadanie ma charakter prac rozwojowych: działający prototyp algorytmiczny będzie budowany iteracyjnie i walidowany w kontrolowanych eksperymentach w środowisku zbliżonym do docelowego, aby osiągnąć gotowość pozwalającą przekazać go do integracji embedded w zadaniu Z7. Niepewność dotyczy tego, czy znane metody dadzą wymagany błąd pozycji przy drganiach naczepy i zakłóceniach MCI bez założenia stałej geometrii.</w:t>
      </w:r>
    </w:p>
    <w:p>
      <w:pPr>
        <w:spacing w:after="60"/>
      </w:pPr>
      <w:r>
        <w:rPr>
          <w:b w:val="0"/>
        </w:rPr>
        <w:t>Metoda. Prace zostaną oparte na trzech eksperymentach. Pierwszy to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 to eksperyment wibracyjny: rig odwzorowujący profil drgań naczepy według ISO 8608 klasy D z referencją fotogrametryczną, z fuzją danych ToF lub EO ze światłem strukturalnym oraz IMU i strojeniem filtra Kalmana. Trzeci to weryfikacja na wybranych rzeczywistych sekwencjach z zadania Z2, aby potwierdzić działanie poza laboratorium.</w:t>
      </w:r>
    </w:p>
    <w:p>
      <w:pPr>
        <w:spacing w:after="60"/>
      </w:pPr>
      <w:r>
        <w:rPr>
          <w:b w:val="0"/>
        </w:rPr>
        <w:t>Walidacja statystyczna obejmie medianę i percentyl 95 błędu pozycji na co najmniej 100 sekwencjach, błąd względny przemieszczenia między kolejnymi klatkami (decyduje o wykrywaniu przemieszczeń od 0,10 m w zadaniu Z8) oraz częstotliwość aktualizacji modelu co najmniej 5 Hz.</w:t>
      </w:r>
    </w:p>
    <w:p>
      <w:pPr>
        <w:spacing w:after="60"/>
      </w:pPr>
      <w:r>
        <w:rPr>
          <w:b w:val="0"/>
        </w:rPr>
        <w:t>Uzasadnienie wyboru metody.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w:t>
      </w:r>
    </w:p>
    <w:p>
      <w:pPr>
        <w:spacing w:after="60"/>
      </w:pPr>
      <w:r>
        <w:rPr>
          <w:b w:val="0"/>
        </w:rPr>
        <w:t xml:space="preserve">Kolejność i powiązania. Moduł MCI zostanie wdrożony w </w:t>
      </w:r>
      <w:r>
        <w:rPr>
          <w:b w:val="0"/>
          <w:highlight w:val="yellow"/>
        </w:rPr>
        <w:t>M19-M21</w:t>
      </w:r>
      <w:r>
        <w:rPr>
          <w:b w:val="0"/>
        </w:rPr>
        <w:t xml:space="preserve">,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Moduł MCI powstaje jako pierwszy, ponieważ jego wynik poprawia dane wejściowe modułu rejestracji. Wynikowy moduł jest wejściem do optymalizacji w zadaniu Z7, podstawą wskaźnika błędu pozycji walidowanego w zadaniu Z9 i progu wykrywania przemieszczeń w module change detection z zadania Z8. Koszty zadania obejmują wynagrodzenia wymienionych osób PRz i eksploatację stanowisk laboratoryjnych zbudowanych w zadaniu Z3.</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[3275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Poza zakresem prac B+R i poza kosztami projektu pozostają: standardowe API TMS, integracje z Trans.eu, TimoCom i e-CMR, produkcyjny dashboard TMS, utrzymanie i przygotowanie do wdrożenia operacyjnego. Z istniejącego TMS zadanie korzysta przez interfejs testowy, wyłącznie do pomiaru czasu i kompletności.</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oraz zmierzy czasy i opóźnienia w testach integracyjnych. Backend/Full-Stack Developer, w wymiarze 1,0 etatu przez 9 miesięcy od M19 do M27, zbuduje strumieniowy potok danych z embedded do pipeline'u, kolejkowanie i spójność przy utracie łączności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[2786 z 4000 znaków]</w:t>
      </w:r>
    </w:p>
    <w:p>
      <w:pPr>
        <w:spacing w:after="60"/>
      </w:pPr>
      <w:r>
        <w:rPr>
          <w:b w:val="0"/>
        </w:rPr>
        <w:t>Problem technologiczny. Istniejące systemy telematyczne rejestrują lokalizację i zdarzenia progowe, ale nie tworzą dokumentu stanu ładunku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Charakter prac. 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standardowe (API TMS, Trans.eu, TimoCom, e-CMR, produkcyjny dashboard, utrzymanie) nie są pracami B+R i nie są kosztem projektu.</w:t>
      </w:r>
    </w:p>
    <w:p>
      <w:pPr>
        <w:spacing w:after="60"/>
      </w:pPr>
      <w:r>
        <w:rPr>
          <w:b w:val="0"/>
        </w:rPr>
        <w:t xml:space="preserve">Metoda. Dla pipeline'u zostaną sprofilowane wszystkie etapy, wskazane wąskie gardła i zastosowane przetwarzanie przyrostowe oraz bufor modelu 3D. Czas zostanie zmierzony na co najmniej 50 cyklach (mediana do 30 s, opóźnienie zdarzenia do interfejsu testowego TMS do 2 s). Łańcuch integralności to podpisany pakiet z hashem źródeł i znacznikiem czasu, badany testem odporności na utratę łączności. Dla eFTI zostaną przeanalizowane pola obligatoryjne, ustalona formalna reguła przekształcania zdarzeń w pola i przeprowadzona walidacja schematem XSD oraz implementacją referencyjną KE jako narzędziami testowymi. Mianownikiem wskaźnika pokrycia będą wszystkie pola obligatoryjne. Walidacja merytoryczna obejmie próbę co najmniej 10% dokumentów (nie mniej niż 50) porównaną z dokumentacją ground truth z zadania Z2,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Uzasadnienie wyboru metody. Test na rzeczywistych cyklach jest jedynym wiarygodnym sprawdzianem wykonalności, dlatego metoda jest celowa i skuteczna. Walidacja formalna i porównanie z ground truth zapewniają rzetelność, czyli niezawodność. Równoległość z zadaniem Z7 i interfejs testowy do istniejącego TMS zapewniają ekonomiczność.</w:t>
      </w:r>
    </w:p>
    <w:p>
      <w:pPr>
        <w:spacing w:after="60"/>
      </w:pPr>
      <w:r>
        <w:rPr>
          <w:b w:val="0"/>
        </w:rPr>
        <w:t xml:space="preserve">Kolejność i powiązania.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Pełna walidacja terenowa PoC należy do zadania Z9. Koszty zadania obejmują wynagrodzenia wymienionych osób Everest11, z Backend/Full-Stack Developerem na 9 miesięcy.</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i integracja embedded (Z7)</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[3015 z 4000 znaków]</w:t>
      </w:r>
    </w:p>
    <w:p>
      <w:pPr>
        <w:spacing w:after="60"/>
      </w:pPr>
      <w:r>
        <w:rPr>
          <w:b w:val="0"/>
        </w:rPr>
        <w:t>Charakter prac. Zadanie ma charakter eksperymentalnych prac rozwojowych: modele badawcze PRz (3D z zadania Z5, ML z zadania Z4, CV z zadania Z8, rozwiązujące problemy badawcze 1-3) zostaną doprowadzone do działającego systemu wbudowanego, pracującego w czasie rzeczywistym w warunkach naczepy i walidowanego w środowisku modelującym rzeczywiste działanie. Niepewność dotyczy pogodzenia opóźnienia alertu do 1 s z degradacją dokładności modeli skompresowanych do 3 punktów procentowych. Przed realizacją nie wiadomo, czy ten kompromis jest osiągalny na docelowej platformie embedded.</w:t>
      </w:r>
    </w:p>
    <w:p>
      <w:pPr>
        <w:spacing w:after="60"/>
      </w:pPr>
      <w:r>
        <w:rPr>
          <w:b w:val="0"/>
        </w:rPr>
        <w:t>Kompresja. Techniki zostaną dobrane eksperymentalnie: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Dokładność zostanie porównana dla FP32 i INT8, osobno dla AUC-ROC i mAP. Granica 3 punktów procentowych jest twardym warunkiem. Jeżeli pojedyncze warstwy jej nie utrzymają, zostanie zastosowana mieszana precyzja warstw kosztem opóźnienia, co domyka przestrzeń decyzyjną kompromisu.</w:t>
      </w:r>
    </w:p>
    <w:p>
      <w:pPr>
        <w:spacing w:after="60"/>
      </w:pPr>
      <w:r>
        <w:rPr>
          <w:b w:val="0"/>
        </w:rPr>
        <w:t>Architektura sprzętowa. Zostanie zaprojektowana jednostka AI z interfejsami sensorów, zasilaniem z buforem UPS (czas pozwalający wygenerować PoC po wyłączeniu silnika) i obudowa IP67 odporna na drgania i temperaturę. Jest to element systemu złożonego, od którego zależy praca modeli w środowisku docelowym.</w:t>
      </w:r>
    </w:p>
    <w:p>
      <w:pPr>
        <w:spacing w:after="60"/>
      </w:pPr>
      <w:r>
        <w:rPr>
          <w:b w:val="0"/>
        </w:rPr>
        <w:t>Potok edge. Skompresowane modele 3D, CV i ML zostaną połączone w jeden potok tworzący alert lokalnie, bez łączności, z buforowaniem do transmisji GSM do 72 h. Opóźnienie zostanie zoptymalizowane przez profilowanie modułów, batching i TensorRT oraz zmierzone (mediana, percentyl 95) na co najmniej 1000 przebiegach na docelowej platformie. Walidacja środowiskowa na infrastrukturze PRz obejmie rig wibracyjny, komorę termiczną i EMC. Trafność progów alertu i użyteczność powiadomienia w kabinie sprawdzi specjalista TSL.</w:t>
      </w:r>
    </w:p>
    <w:p>
      <w:pPr>
        <w:spacing w:after="60"/>
      </w:pPr>
      <w:r>
        <w:rPr>
          <w:b w:val="0"/>
        </w:rPr>
        <w:t>Uzasadnienie wyboru metody. Pomiar opóźnienia na docelowej platformie jest jedynym wiarygodnym testem wykonalności edge, dlatego metoda jest celowa i skuteczna. Testy w komorze i na rigu odwzorowują warunki docelowe, co zapewnia niezawodność. Korzystanie z infrastruktury PRz w ramach konsorcjum zapewnia ekonomiczność.</w:t>
      </w:r>
    </w:p>
    <w:p>
      <w:pPr>
        <w:spacing w:after="60"/>
      </w:pPr>
      <w:r>
        <w:rPr>
          <w:b w:val="0"/>
        </w:rPr>
        <w:t xml:space="preserve">Kolejność i powiązania.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przyjmie modele z zadań Z5, Z4 i Z8 w wersjach release candidate przed końcem tych zadań i przekaże zintegrowany system do instalacji i testów terenowych w zadaniu Z9. Bez zwalidowanego systemu testy terenowe nie mogą się rozpocząć, dlatego kamień milowy zadania Z7 jest krytyczny. Koszty zadania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i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[2291 z 4000 znaków]</w:t>
      </w:r>
    </w:p>
    <w:p>
      <w:pPr>
        <w:spacing w:after="60"/>
      </w:pPr>
      <w:r>
        <w:rPr>
          <w:b w:val="0"/>
        </w:rPr>
        <w:t>Charakter prac. Zadanie ma charakter prac rozwojowych: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Najpierw zostanie zrewidowana taksonomia 1.0 na podstawie obserwacji z zadania Z2 i konsultacji z ekspertem TSL. Zmiana kryteriów klasy oznacza jej ponowną anotację, aby etykiety pozostały spójne z modelem. Następnie modele zostaną wytrenowane metodą transfer learningu na zbiorze TSL z zadania Z2, z augmentacjami dla naczepy: rozmyciem od drgań, domeną NIR i okluzjami syntetycznymi, czyli wyzwaniem opisanym w analizie stanu techniki w zadaniu Z1. Moduł change detection połączy model 3D z zadania Z5 i detekcje CV w algorytm tworzący mapę anomalii. Walidacja obejmie mAP przy IoU 0,50 dla każdej klasy na zbiorze co najmniej 2000 obrazów oraz F1 change detection względem oceny eksperckiej na co najmniej 50 cyklach.</w:t>
      </w:r>
    </w:p>
    <w:p>
      <w:pPr>
        <w:spacing w:after="60"/>
      </w:pPr>
      <w:r>
        <w:rPr>
          <w:b w:val="0"/>
        </w:rPr>
        <w:t>Uzasadnienie wyboru metody. Augmentacje domenowe są konieczne, ponieważ modele wytrenowane na obrazach naturalnych nie uogólniają na okluzje i oświetlenie NIR w metalowej naczepie, dlatego metoda jest celowa i skuteczna. Osobny zbiór testowy i ocena ekspercka dają obiektywny wynik, czyli niezawodność. Transfer learning zmniejsza zapotrzebowanie na dane i koszty, co zapewnia ekonomiczność.</w:t>
      </w:r>
    </w:p>
    <w:p>
      <w:pPr>
        <w:spacing w:after="60"/>
      </w:pPr>
      <w:r>
        <w:rPr>
          <w:b w:val="0"/>
        </w:rPr>
        <w:t>Czas na korekty i ponowną walidację. Harmonogram przewiduje analizę wyników Fazy A z zadania Z9 (M22-M26), korektę modeli, rekalibrację progów i aktualizację taksonomii przed Fazą B (M27-M29) oraz jedną końcową iterację w M30. Zmiany architektury i reanotacje wykona PRz w zadaniu Z8 po dostarczeniu wersji RC w M26, a rekalibrację progów i douczanie wykona Everest11 w zadaniu Z9. Dzięki temu te same prace nie są wykazywane w dwóch zadaniach.</w:t>
      </w:r>
    </w:p>
    <w:p>
      <w:pPr>
        <w:spacing w:after="60"/>
      </w:pPr>
      <w:r>
        <w:rPr>
          <w:b w:val="0"/>
        </w:rPr>
        <w:t>Powiązania. Zadanie korzysta z taksonomii i architektury z zadania Z3, zbioru z zadania Z2 i modelu 3D z zadania Z5. Komponenty zasilają kompresję w zadaniu Z7, generację PoL i PoC w zadaniu Z6 i walidację terenową w zadaniu Z9. Metodykę walidacji i zamrożony skrypt ewaluacyjny dla zadania Z9 zatwierdza odbiór metodyczny w zadaniu Z8. Koszty zadania obejmują wynagrodzenia wymienionych osób PRz.</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i walidacja TRL 8 (Z9)</w:t>
      </w:r>
    </w:p>
    <w:p>
      <w:r>
        <w:rPr>
          <w:color w:val="666666"/>
        </w:rPr>
        <w:t>Everest11, prace rozwojowe, M22-M30</w:t>
      </w:r>
    </w:p>
    <w:p>
      <w:pPr>
        <w:keepNext/>
        <w:spacing w:before="160" w:after="40"/>
      </w:pPr>
      <w:r>
        <w:rPr>
          <w:b/>
          <w:sz w:val="20"/>
        </w:rPr>
        <w:t>Zakres planowanych prac B+R</w:t>
      </w:r>
      <w:r>
        <w:rPr>
          <w:color w:val="666666"/>
          <w:sz w:val="17"/>
        </w:rPr>
        <w:t xml:space="preserve"> [3829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[3240 z 4000 znaków]</w:t>
      </w:r>
    </w:p>
    <w:p>
      <w:pPr>
        <w:spacing w:after="60"/>
      </w:pPr>
      <w:r>
        <w:rPr>
          <w:b w:val="0"/>
        </w:rPr>
        <w:t>Problem technologiczny. Wskaźniki uzyskane w laboratorium mogą nie utrzymać się w ruchu z powodu drgań, zmiennej temperatury, odmiennych ładunków i rzadkości zdarzeń (domain shift). Rozstrzygnięcie wymaga rejestracji w rzeczywistej eksploatacji ze zweryfikowanym ground truth.</w:t>
      </w:r>
    </w:p>
    <w:p>
      <w:pPr>
        <w:spacing w:after="60"/>
      </w:pPr>
      <w:r>
        <w:rPr>
          <w:b w:val="0"/>
        </w:rPr>
        <w:t>Metoda.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Zadanie ma jednego wykonawcę, a jakość wyniku zabezpiecza procedura.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Charakter prac. Zadanie ma charakter prac rozwojowych, ponieważ obejmuje walidację i dostrajanie działającego prototypu w środowisku bliskim docelowemu, a przeniesienie wskaźników z laboratorium w teren jest niepewne. Rzadkie zdarzenia i domain shift nie pozwalają przesądzić wyniku.</w:t>
      </w:r>
    </w:p>
    <w:p>
      <w:pPr>
        <w:spacing w:after="60"/>
      </w:pPr>
      <w:r>
        <w:rPr>
          <w:b w:val="0"/>
        </w:rPr>
        <w:t>Uzasadnienie wyboru metody.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Powiązania. Zadanie integruje wyniki zadań Z4, Z5, Z6, Z7 i Z8. Potwierdzone KPI stanowią podstawę wskaźników rezultatu, a raport techniczny z zadania Z9 jest wejściem do prac patentowych w zadaniu Z11.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3517/4000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3570/4000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3189/4000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2777/4000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2438/4000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3275/4000</w:t>
            </w:r>
          </w:p>
        </w:tc>
        <w:tc>
          <w:tcPr>
            <w:tcW w:type="dxa" w:w="1247"/>
          </w:tcPr>
          <w:p>
            <w:pPr>
              <w:spacing w:after="20"/>
            </w:pPr>
            <w:r/>
            <w:r>
              <w:rPr>
                <w:b w:val="0"/>
                <w:sz w:val="17"/>
              </w:rPr>
              <w:t>2786/4000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3015/4000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2291/4000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3829/4000</w:t>
            </w:r>
          </w:p>
        </w:tc>
        <w:tc>
          <w:tcPr>
            <w:tcW w:type="dxa" w:w="1247"/>
          </w:tcPr>
          <w:p>
            <w:pPr>
              <w:spacing w:after="20"/>
            </w:pPr>
            <w:r/>
            <w:r>
              <w:rPr>
                <w:b w:val="0"/>
                <w:sz w:val="17"/>
              </w:rPr>
              <w:t>3240/4000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