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Wersja robocza do akceptacji. Na żółto zaznaczono dane do uzupełnienia lub sprawdzenia przed wpisaniem do LSI.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Wniosek mówi o przeniesieniu „nie później niż 12 miesięcy po zakończeniu projektu” (04.2030), a sprzedaż rusza w 01.2030. Do czasu przeniesienia Everest11 nie ma 100% praw.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Umowa konsorcjum (§ 11 ust. 7-11) już daje mechanizm bez zmian w umowie: prawo pierwszeństwa Lidera (oświadczenie do 120 dni, czyli do 28.08.2029), wycena eksperta, 7 dni na zastrzeżenia. Wniosek podaje plan: przeniesienie do 30.11.2029, przed sprzedażą, i zapis, że do tego czasu Everest11 nie sprzedaje produktu opartego na wynikach PRz.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elementów; brak statusu prawnego i terytoriów patentów.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z miejscami na status prawny i terytorium każdego patentu oraz na wynik sprawdzenia rodzin EP i PL. Opisy patentów pozostają takie jak we wniosku (sprawdzone przez Everest11).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zdania, brak konkretnych publikacji.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Podział na elementy systemu, różnice względem CargoDT dla każdego patentu i konkretne publikacje z DOI. Dodatkowe dokumenty, które wskazała wyszukiwarka, są w części 2 jako niezweryfikowane i nie weszły do tekstu.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Dokumenty wskazane przez wyszukiwarkę: do sprawdzenia, niezweryfikowane</w:t>
      </w:r>
    </w:p>
    <w:p>
      <w:pPr>
        <w:spacing w:after="60"/>
      </w:pPr>
      <w:r>
        <w:rPr>
          <w:b w:val="0"/>
        </w:rPr>
        <w:t>Uwaga. Z tego środowiska nie ma dostępu do baz patentowych (Google Patents, Espacenet, USPTO), a wyszukiwarka internetowa dała o tym samym patencie sprzeczne dane (np. właściciel US 11,151,506 B2). Dlatego poniższa tabela nie jest ustaleniem faktów. Teksty w części 3 opierają się na opisach patentów z obecnego wniosku, które Everest11 już sprawdził. Tabela wskazuje, co warto potwierdzić w Espacenet lub Google Patents (adresy w ostatniej kolumnie), zanim cokolwiek zostanie dopisane lub zmienione we wniosku.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We wniosku i według wyszukiwarki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Co sprawdzić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Adres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Amazon Technologies, LiDAR i wideo w stacjonarnym kontenerze. Wyszukiwarka podała raz innych wynalazców i raz LG Electronics, a w zastrzeżeniach: LiDAR w kontenerze, mapa 3D, pojemność, chmura, monitorowanie zmian wg trasy.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rodzina EP/PL, a przede wszystkim czy opis „stacjonarny kontener” jest zgodny z zastrzeżeniami (wyszukiwarka sugeruje przewóz wg trasy i harmonogramu).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https://patents.google.com/patent/US11151506B2/en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Mobileye/Intel. Wyszukiwarka wskazała Autobrains, następnie Cartica AI.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pierwotny i obecny oraz zakres zastrzeżeń (klasa ładunku, sposób zamocowania).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https://patents.google.com/patent/US11685400B2/en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2013/0342653 A1 i US 10,158,842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Honeywell, systemy przy bramach z czujnikami IR i ultradźwiękowymi. Wyszukiwarka opisała: aktywne czujniki 3D ze światłem strukturalnym w kontenerze, patent wygasły (brak opłat).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Treść zastrzeżeń i status. Jeśli czujniki 3D ze światłem strukturalnym w kontenerze są potwierdzone, opis we wniosku wymaga zmiany.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https://patents.google.com/patent/US20130342653A1/en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stacjonarne systemy przy bramach. Wyszukiwarka podała tytuł „Cargo sensing apparatus for a cargo container”.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treść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https://patents.google.com/patent/US7468660B2/en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Sensitech, monitorowanie drgań progowe. Wyszukiwarka: histogramy drgań na podróż, bez ML, właściciela nie podała.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https://patents.google.com/patent/US9965939B1/en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EP 3103072; US 12,198,091 B2; US 11,763,439 B2; US 12,086,934 B2 (UPS)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Dokumenty spoza wniosku. Wyszukiwarka: kamera głębi mierzy wykorzystanie naczepy podczas załadunku; EP wskazuje m.in. PL.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Czy należą do UPS, status prawny, czy EP jest udzielony i zwalidowany w PL, zakres zastrzeżeń. Dopiero po potwierdzeniu rozważyć dopisanie do wniosku.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https://worldwide.espacenet.com/patent/search?q=pn%3DEP3103072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10,769,576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BlackBerry, rzutowanie siatki punktów i analiza obrazu do oceny załadunku.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zastrzeżenia.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https://patents.google.com/patent/US10769576B2/en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11,370,348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Spanset, monitorowanie transportowanych towarów, w mocy.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Zakres zastrzeżeń, czy obejmuje analizę obrazu zabezpieczeń.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https://patents.google.com/patent/US11370348B2/en</w:t>
            </w:r>
          </w:p>
        </w:tc>
      </w:tr>
    </w:tbl>
    <w:p/>
    <w:p>
      <w:pPr>
        <w:pStyle w:val="Heading1"/>
      </w:pPr>
      <w:r>
        <w:t>3. Teksty pkt 2.2</w:t>
      </w:r>
    </w:p>
    <w:p>
      <w:pPr>
        <w:pStyle w:val="Heading2"/>
      </w:pPr>
      <w:r>
        <w:t>3.1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[2254 znaków]</w:t>
      </w:r>
    </w:p>
    <w:p>
      <w:pPr>
        <w:spacing w:after="60"/>
      </w:pPr>
      <w:r>
        <w:rPr>
          <w:b w:val="0"/>
        </w:rPr>
        <w:t>Prawa niezbędne do wdrożenia. 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wybieramy w zadaniu Z3 także według licencji: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 xml:space="preserve">Prawa do wyników projektu. Zgodnie z § 11 umowy konsorcjum prawa przysługują stronom proporcjonalnie do wkładu, a Everest11 jako lider ma prawo pierwszeństwa do przeniesienia na siebie praw PRz za wynagrodzeniem rynkowym, ustalonym przez niezależnego eksperta w postępowaniu nadzorowanym przez Radę Konsorcjum. Prawa autorskie pracowników PRz przechodzą na PRz z mocy art. 12 ustawy o prawie autorskim, a prawa podwykonawców przenosimy umowami na zlecającego. Oświadczenie o skorzystaniu z prawa pierwszeństwa Lider składa w ciągu 120 dni od odbioru wyników, najpóźniej do 28.08.2029, a przeniesienie planujemy do 30.11.2029, przed rozpoczęciem sprzedaży w styczniu 2030 r. </w:t>
      </w:r>
      <w:r>
        <w:rPr>
          <w:b w:val="0"/>
          <w:highlight w:val="yellow"/>
        </w:rPr>
        <w:t>potwierdzić z PRz</w:t>
      </w:r>
      <w:r>
        <w:rPr>
          <w:b w:val="0"/>
        </w:rPr>
        <w:t>. Do czasu przeniesienia Everest11 nie sprzedaje produktu opartego na wynikach PRz.</w:t>
      </w:r>
    </w:p>
    <w:p>
      <w:pPr>
        <w:spacing w:after="60"/>
      </w:pPr>
      <w:r>
        <w:rPr>
          <w:b w:val="0"/>
        </w:rPr>
        <w:t xml:space="preserve">Prawa osób trzecich. Wykonaliśmy badanie stanu techniki (07.05.2026) i oceniliśmy patenty osobno dla każdego elementu systemu: model 3D z kamer głębi w naczepie, predykcja ryzyka uszkodzenia ładunku, wizyjna ocena zabezpieczeń i dokument eFTI. Żaden ze zidentyfikowanych patentów nie obejmuje kombinacji funkcji CargoDT ani żadnego z tych elementów w zakresie, który blokowałby wdrożenie. Patenty z USA nie obowiązują w Polsce ani w regionie CEE, a dla każdej rodziny patentowej sprawdziliśmy odpowiedniki europejskie i krajowe </w:t>
      </w:r>
      <w:r>
        <w:rPr>
          <w:b w:val="0"/>
          <w:highlight w:val="yellow"/>
        </w:rPr>
        <w:t>wynik sprawdzenia w Espacenet dla każdej rodziny: status i państwa</w:t>
      </w:r>
      <w:r>
        <w:rPr>
          <w:b w:val="0"/>
        </w:rPr>
        <w:t xml:space="preserve">. Najbliższy patent (US 11,151,506 B2) różni się czujnikami (LiDAR zamiast kamer głębi), środowiskiem i funkcją, co opisujemy poniżej </w:t>
      </w:r>
      <w:r>
        <w:rPr>
          <w:b w:val="0"/>
          <w:highlight w:val="yellow"/>
        </w:rPr>
        <w:t>status prawny i terytorium</w:t>
      </w:r>
      <w:r>
        <w:rPr>
          <w:b w:val="0"/>
        </w:rPr>
        <w:t>. Ewentualną kolizję, którą wykazałby późniejszy przegląd patentowy, usuniemy zmianą rozwiązania technicznego na etapie Z5 i Z7, zanim powstanie zestaw sprzedażowy.</w:t>
      </w:r>
    </w:p>
    <w:p>
      <w:pPr>
        <w:pStyle w:val="Heading2"/>
      </w:pPr>
      <w:r>
        <w:t>3.2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[2221 znaków]</w:t>
      </w:r>
    </w:p>
    <w:p>
      <w:pPr>
        <w:spacing w:after="60"/>
      </w:pPr>
      <w:r>
        <w:rPr>
          <w:b w:val="0"/>
        </w:rPr>
        <w:t xml:space="preserve">Badanie stanu techniki wykonał Everest11 w maju 2026 r. Objęło cztery obszary: cyfrowe bliźniaki w transporcie, pomiar przestrzeni ładunkowej kamerami głębi, predykcję ryzyka uszkodzenia ładunku i wizyjną ocenę zabezpieczeń. Nie ujawniło praw, które uniemożliwiałyby wdrożenie w Polsce i regionie CEE. Poniżej patenty najbliższe poszczególnym elementom systemu. Status prawny i terytorium podano według </w:t>
      </w:r>
      <w:r>
        <w:rPr>
          <w:b w:val="0"/>
          <w:highlight w:val="yellow"/>
        </w:rPr>
        <w:t>Espacenet i Google Patents, data odczytu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Model 3D przestrzeni ładunkowej.</w:t>
      </w:r>
    </w:p>
    <w:p>
      <w:pPr>
        <w:spacing w:after="60"/>
      </w:pPr>
      <w:r>
        <w:rPr>
          <w:b w:val="0"/>
        </w:rPr>
        <w:t xml:space="preserve">US 11,151,506 B2 (Amazon Technologies, 2021): monitorowanie wnętrza kontenera czujnikami LiDAR 3D i kamerami wideo </w:t>
      </w:r>
      <w:r>
        <w:rPr>
          <w:b w:val="0"/>
          <w:highlight w:val="yellow"/>
        </w:rPr>
        <w:t>status prawny; rodzina EP i PL</w:t>
      </w:r>
      <w:r>
        <w:rPr>
          <w:b w:val="0"/>
        </w:rPr>
        <w:t>. CargoDT używa kamer ToF lub EO/IR ze światłem strukturalnym, śledzi położenie ładunku w ruchu z kompensacją drgań i liczy lokalnie, bez chmury. Opis patentu nie obejmuje predykcji ryzyka, oceny zabezpieczeń CV, Proof of Condition ani integracji eFTI i e-CMR.</w:t>
      </w:r>
    </w:p>
    <w:p>
      <w:pPr>
        <w:spacing w:after="60"/>
      </w:pPr>
      <w:r>
        <w:rPr>
          <w:b w:val="0"/>
        </w:rPr>
        <w:t xml:space="preserve">US 20130342653 A1 (Honeywell, 2013) i US 7,468,660 B2: detekcja ładunku czujnikami w kontenerze lub przy bramach logistycznych </w:t>
      </w:r>
      <w:r>
        <w:rPr>
          <w:b w:val="0"/>
          <w:highlight w:val="yellow"/>
        </w:rPr>
        <w:t>status prawny i terytorium obu dokumentów</w:t>
      </w:r>
      <w:r>
        <w:rPr>
          <w:b w:val="0"/>
        </w:rPr>
        <w:t>. Nie obejmują pracy w ruchu, uczenia maszynowego ani predykcji ryzyka.</w:t>
      </w:r>
    </w:p>
    <w:p>
      <w:pPr>
        <w:spacing w:after="60"/>
      </w:pPr>
      <w:r>
        <w:rPr>
          <w:b w:val="0"/>
        </w:rPr>
        <w:t>Predykcja ryzyka.</w:t>
      </w:r>
    </w:p>
    <w:p>
      <w:pPr>
        <w:spacing w:after="60"/>
      </w:pPr>
      <w:r>
        <w:rPr>
          <w:b w:val="0"/>
        </w:rPr>
        <w:t xml:space="preserve">US 9,965,939 B1 (Sensitech): monitorowanie drgań metodą progową, bez modelu ML, bez klas ładunku i kumulacji narażenia </w:t>
      </w:r>
      <w:r>
        <w:rPr>
          <w:b w:val="0"/>
          <w:highlight w:val="yellow"/>
        </w:rPr>
        <w:t>status prawny i terytorium</w:t>
      </w:r>
      <w:r>
        <w:rPr>
          <w:b w:val="0"/>
        </w:rPr>
        <w:t xml:space="preserve">. US 11,685,400 B2 (Mobileye): predykcja wypadnięcia ładunku z innego pojazdu na podstawie zewnętrznej kamery, bez monitoringu wnętrza naczepy i predykcji z sygnałów in-transit </w:t>
      </w:r>
      <w:r>
        <w:rPr>
          <w:b w:val="0"/>
          <w:highlight w:val="yellow"/>
        </w:rPr>
        <w:t>status prawny i terytorium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Literatura. Przeglądy: Ge i Qin, IET ITS 2024, DOI 10.1049/itr2.12539 (n=61); Werbińska-Wojciechowska i in., Sensors 2024 (n=201); European Transport Research Review 2025 (n=136). Żadna z 398 przeanalizowanych prac nie opisuje cyfrowego bliźniaka przestrzeni ładunkowej naczepy TIR. Zakłócenia wielodrogowe kamer ToF opisują prace nad korekcją MPI (np. DeepToF, arXiv:1805.09305), a monitorowanie siły w pasach opisano w pracy z SCITEPRESS z 2019 r. (IoT based Driver Information System for Monitoring the Load Securing). Przeszukanie IEEE Xplore, Scopus i Google Scholar nie zwróciło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 xml:space="preserve">Pola pozostałe w badaniu stanu techniki (bazy, klasyfikacja MKP, słowa kluczowe) uzupełnić o Espacenet, Google Patents i klasy G06V 20/00 (rozpoznawanie scen) oraz B65D 90/48 (wskaźniki w kontenerach), jeśli były używane </w:t>
      </w:r>
      <w:r>
        <w:rPr>
          <w:b w:val="0"/>
          <w:highlight w:val="yellow"/>
        </w:rPr>
        <w:t>potwierdzić</w:t>
      </w:r>
      <w:r>
        <w:rPr>
          <w:b w:val="0"/>
        </w:rPr>
        <w:t>. Data badania: pozostaje 07.05.2026, uzupełnienie opisane w tekście.</w:t>
      </w:r>
    </w:p>
    <w:p>
      <w:pPr>
        <w:pStyle w:val="Heading2"/>
      </w:pPr>
      <w:r>
        <w:t>3.3 Opis sposobu uregulowania praw (limit 4 000 znaków)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[2793 znaków]</w:t>
      </w:r>
    </w:p>
    <w:p>
      <w:pPr>
        <w:spacing w:after="60"/>
      </w:pPr>
      <w:r>
        <w:rPr>
          <w:b w:val="0"/>
        </w:rPr>
        <w:t>Prawa majątkowe do wyników przysługują członkom konsorcjum stosownie do wkładu, zgodnie z art. 32 ust. 1 ustawy o NCBR. Podział wyników na poziomie zadań określa umowa konsorcjum zawarta przed złożeniem wniosku. Everest11 jako lider i jedyne przedsiębiorstwo w konsorcjum ma uzyskać całość praw majątkowych do wyników prac B+R, a Politechnika Rzeszowska zachowuje prawo do publikacji wyników prac własnych.</w:t>
      </w:r>
    </w:p>
    <w:p>
      <w:pPr>
        <w:spacing w:after="60"/>
      </w:pPr>
      <w:r>
        <w:rPr>
          <w:b w:val="0"/>
        </w:rPr>
        <w:t>Wyniki PRz (zadania Z1, Z3, Z4, Z5 i Z8): algorytmy 3D state estimation, model predykcji ryzyka i algorytmy weryfikacji zabezpieczeń. Prawa autorskie pracowników PRz przechodzą na PRz na podstawie art. 12 ustawy o prawie autorskim. PRz przenosi na Everest11 swoje prawa majątkowe do wyników za wynagrodzeniem odpowiadającym ich wartości rynkowej, ustalonym przez niezależnego biegłego (wycena eksperta). Biegłego wybiera się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 xml:space="preserve">Przeniesienie praw PRz przebiega według § 11 umowy konsorcjum. Lider ma prawo pierwszeństwa do zawarcia umowy przeniesienia praw majątkowych PRz do wyników i składa oświadczenie o skorzystaniu z niego w ciągu 120 dni od otrzymania wyników i zakończenia projektu (04/2029), czyli najpóźniej do 28.08.2029. PRz ma 7 dni na zastrzeżenia do wyceny, a przy sporze Rada Konsorcjum może powołać drugiego eksperta i wtedy przyjmuje się średnią obu wycen. Plan Lidera: oświadczenie po odbiorze wyników zadania Z8 (04/2029), wybór eksperta w trakcie Z8, wycena do 10/2029 i umowa przeniesienia do 30.11.2029, przed rozpoczęciem sprzedaży w styczniu 2030 r. </w:t>
      </w:r>
      <w:r>
        <w:rPr>
          <w:b w:val="0"/>
          <w:highlight w:val="yellow"/>
        </w:rPr>
        <w:t>potwierdzić z PRz</w:t>
      </w:r>
      <w:r>
        <w:rPr>
          <w:b w:val="0"/>
        </w:rPr>
        <w:t>. Do czasu przeniesienia strony wykonują wspólne prawa na podstawie umowy o wykonywaniu wspólnych praw (§ 11 ust. 5), a Everest11 nie sprzedaje produktu opartego na wynikach PRz.</w:t>
      </w:r>
    </w:p>
    <w:p>
      <w:pPr>
        <w:spacing w:after="60"/>
      </w:pPr>
      <w:r>
        <w:rPr>
          <w:b w:val="0"/>
        </w:rPr>
        <w:t>Rozpowszechnianie i ochrona są rozdzielone. Publikacjom podlega warstwa naukowa: metody mitygacji MCI i kompensacji drgań, metodologia uczenia na danych niezbalansowanych, taksonomia klas zabezpieczeń TSL i wyniki walidacji w postaci metryk (AUC-ROC, mAP). Ochronie podlega warstwa komercyjna: wagi modeli, architektury i hiperparametry, kod embedded, zbiór danych i integracja API z TMS (tajemnica przedsiębiorstwa), a metoda predykcji ryzyka (patent EPO).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należą do Everest11. Prawa podwykonawców przenosimy na zlecającego umowami z klauzulą przeniesienia majątkowych praw autorskich, bez naruszania zasady, że całość praw do wyników przysługuje liderowi. Everest11 może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Harmonogram wynika z § 11 umowy konsorcjum: oświadczenie Lidera w ciągu 120 dni od otrzymania wyników i zakończenia projektu (najpóźniej 28.08.2029), wycena niezależnego eksperta, 7 dni na zastrzeżenia PRz, ewentualnie drugi ekspert i średnia wycen. W najgorszym wariancie (druga wycena) przeniesienie mieści się w 12.2029. Sprzedaż od 01.2030 jest bezpieczna, jeśli Lider składa oświadczenie wcześniej niż w ostatnim dniu terminu.</w:t>
      </w:r>
    </w:p>
    <w:p>
      <w:pPr>
        <w:pStyle w:val="Heading1"/>
      </w:pPr>
      <w:r>
        <w:t>4. Teksty pkt 2.5</w:t>
      </w:r>
    </w:p>
    <w:p>
      <w:pPr>
        <w:pStyle w:val="Heading2"/>
      </w:pPr>
      <w:r>
        <w:t>4.1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[1597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AI): 8 lat stosowanego B+R w AI/ML, w T-Master SA wdrożenie produkcyjne wizji komputerowej. Natalia Wojdat (AI Senior Engineer): 4 lata w SAS Institute, produkcyjne wdrożenia modeli ML. Paweł Maziarz (cyberbezpieczeństwo): 20 lat doświadczenia, wdrożenia bezpieczeństwa systemów IoT, ISO 27001. Patryk Ruciński (IT): Tech Lead w Here Technologies, architektura SaaS i CI/CD. Stanisław Kozioł (IoT): wdrożenia systemów telematycznych dla flot w Orange Polska, montaż zestawów u klientów. Michał Hajduk (sprzedaż): 7 lat sprzedaży technologii telematycznych dla flot w Legaltelematics i INELO.</w:t>
      </w:r>
    </w:p>
    <w:p>
      <w:pPr>
        <w:spacing w:after="60"/>
      </w:pPr>
      <w:r>
        <w:rPr>
          <w:b w:val="0"/>
        </w:rPr>
        <w:t>Skalowanie 2030-2034. Liczba instalacji zestawów wynika z modelu finansowego: 50 (2030), 79 (2031), 135 (2032), 270 (2033), 540 (2034). Przy 3 h na montaż i uruchomienie jednej naczepy daje to od 150 h w 2030 r. do 1 620 h w 2034 r., czyli 0,1 etatu w 2030 r. i 1,0 etatu w 2034 r. Montaż prowadzi Stanisław Kozioł, a drugiego technika instalatora zatrudnimy w 2033 r. (810 h), przed wzrostem do 540 instalacji. Wsparcie techniczne: przy 0,3 h na pojazd miesięcznie obsługa 125 pojazdów w 2031 r. wymaga 450 h rocznie, a 1 000 pojazdów w 2034 r. 3 600 h, czyli 2,3 etatu. Zespół wsparcia rośnie wraz z liczbą pojazdów: pierwszy etat w 2031 r., drugi w 2033 r. i trzeci w 2034 r. Koszty zespołu komercjalizacji (montaż, wsparcie, sprzedaż) są ujęte w modelu finansowym i rosną z 345,6 tys. zł w 2030 r. do 1 036,8 tys. zł w 2034 r.. Wdrożenie usług w TMS prowadzi Patryk Ruciński, a utrzymanie modeli Natalia Wojdat.</w:t>
      </w:r>
    </w:p>
    <w:p>
      <w:pPr>
        <w:pStyle w:val="Heading2"/>
      </w:pPr>
      <w:r>
        <w:t>4.2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[1454 znaków]</w:t>
      </w:r>
    </w:p>
    <w:p>
      <w:pPr>
        <w:spacing w:after="60"/>
      </w:pPr>
      <w:r>
        <w:rPr>
          <w:b w:val="0"/>
        </w:rPr>
        <w:t>Infrastruktura IT. Everest11 posiada własny system TMS jako platformę integracji CargoDT oraz środowisko chmurowe (AWS lub Azure) dla platformy SaaS i API. Szacunek zasobów dla 1 000 pojazdów w 2034 r.: 2 dokumenty PoL i PoC na dobę po 20 MB, razem 40 MB na pojazd na dobę, czyli 40 GB na dobę i ok. 15 TB rocznie, przy przechowywaniu 24 miesięcy ok. 29 TB, baza zdarzeń i telemetrii ok. 2 TB rocznie, dwie instancje aplikacyjne i jedna rezerwowa o parametrach 8 vCPU i 32 GB RAM. Zasoby rosną automatycznie z liczbą pojazdów, a koszt hostingu jest ujęty w kosztach operacyjnych modelu finansowego: 50 zł za pojazd miesięcznie, od 15 tys. zł w 2030 r. do 438 tys. zł w 2034 r.</w:t>
      </w:r>
    </w:p>
    <w:p>
      <w:pPr>
        <w:spacing w:after="60"/>
      </w:pPr>
      <w:r>
        <w:rPr>
          <w:b w:val="0"/>
        </w:rPr>
        <w:t>Produkcja i serwis zestawów. Pierwszą serię zestawów, 50 sztuk w 2029 r. po certyfikacji CE, kompletuje własny zespół Everest11 we własnym zakresie, ręcznie, w małej serii. Everest11 zachowuje nadzór jakości, montaż u klienta i serwis. Zaplecze operacyjne stanowi biuro w Warszawie.</w:t>
      </w:r>
    </w:p>
    <w:p>
      <w:pPr>
        <w:spacing w:after="60"/>
      </w:pPr>
      <w:r>
        <w:rPr>
          <w:b w:val="0"/>
        </w:rPr>
        <w:t>Flota. Testy terenowe w Z9 prowadzimy na co najmniej 3 naczepach floty partnera (Natanek Logistics, umowa partnerska). Egzemplarze prototypowe Z9 służą wyłącznie pracom B+R i po walidacji są wycofane. Demonstracje dla klientów i sprzedaż prowadzimy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finansowanymi ze środków własnych Lidera.</w:t>
      </w:r>
    </w:p>
    <w:p>
      <w:pPr>
        <w:pStyle w:val="Heading2"/>
      </w:pPr>
      <w:r>
        <w:t>4.3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[1367 znaków]</w:t>
      </w:r>
    </w:p>
    <w:p>
      <w:pPr>
        <w:spacing w:after="60"/>
      </w:pPr>
      <w:r>
        <w:rPr>
          <w:b w:val="0"/>
        </w:rPr>
        <w:t xml:space="preserve">Certyfikaty i zgodność. Zestaw retrofit wymaga oznakowania CE: dyrektywa RED 2014/53/UE (moduły radiowe: LTE i radar mmWave </w:t>
      </w:r>
      <w:r>
        <w:rPr>
          <w:b w:val="0"/>
          <w:highlight w:val="yellow"/>
        </w:rPr>
        <w:t>pasmo radaru: 60 GHz czy 77 GHz, wg specyfikacji w Z2</w:t>
      </w:r>
      <w:r>
        <w:rPr>
          <w:b w:val="0"/>
        </w:rPr>
        <w:t xml:space="preserve">), EMC 2014/30/UE oraz RoHS 2011/65/UE, a także homologacji ECE R10 </w:t>
      </w:r>
      <w:r>
        <w:rPr>
          <w:b w:val="0"/>
          <w:highlight w:val="yellow"/>
        </w:rPr>
        <w:t>potwierdzić, czy dotyczy zestawu montowanego w naczepie</w:t>
      </w:r>
      <w:r>
        <w:rPr>
          <w:b w:val="0"/>
        </w:rPr>
        <w:t xml:space="preserve">. Badania wykona akredytowane laboratorium w okresie 05-10/2029. Koszt badań i pierwszej serii zestawów pokrywa kapitał własny Lidera (dokapitalizowanie potwierdzone zobowiązaniem inwestora). Everest11 jako wprowadzający sprzęt elektroniczny zarejestruje się w rejestrze BDO i wypełni obowiązki dotyczące zużytego sprzętu elektronicznego </w:t>
      </w:r>
      <w:r>
        <w:rPr>
          <w:b w:val="0"/>
          <w:highlight w:val="yellow"/>
        </w:rPr>
        <w:t>potwierdzić</w:t>
      </w:r>
      <w:r>
        <w:rPr>
          <w:b w:val="0"/>
        </w:rPr>
        <w:t>. Dla RODO przygotowana zostanie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prawne. Zgłoszenie patentowe EPO metody predykcji ryzyka (Z11), wniosek o prawo ochronne na wzór użytkowy dla konfiguracji sprzętowej ze środków własnych, tajemnica przedsiębiorstwa dla kodu i modeli, prawa autorskie do systemu TMS i modułu CargoDT, prawa do wyników PRz przeniesione za wynagrodzeniem rynkowym do 30.11.2029 (§ 11 umowy konsorcjum). Licencje komponentów: pakiet NVIDIA JetPack, oprogramowanie sterujące kamer i biblioteki o licencjach pozwalających na użycie komercyjne. Normy EN 12195 i dokumenty techniczne eFTI Everest11 nabywa w ramach projektu.</w:t>
      </w:r>
    </w:p>
    <w:p>
      <w:pPr>
        <w:pStyle w:val="Heading2"/>
      </w:pPr>
      <w:r>
        <w:t>4.4 Model zasobów montażu i wsparcia (podstawa liczb w 4.1)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Godziny montażu (3 h/szt.)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Etaty montażu i wsparcia (1 600 h/etat)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0,2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0,4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405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0,8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1,6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3,3</w:t>
            </w:r>
          </w:p>
        </w:tc>
      </w:tr>
    </w:tbl>
    <w:p/>
    <w:p>
      <w:pPr>
        <w:spacing w:after="60"/>
      </w:pPr>
      <w:r>
        <w:rPr>
          <w:b w:val="0"/>
        </w:rPr>
        <w:t>Parametry 3 h i 0,3 h to założenia do potwierdzenia przez zespół (Kozioł, Ruciński).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5. Powiązane zmiany w innych miejscach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ostrożnie, bo takie zdanie łatwo zakwestionować.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6. Do decyzji i potwierdzenia</w:t>
      </w:r>
    </w:p>
    <w:p>
      <w:pPr>
        <w:pStyle w:val="ListBullet"/>
      </w:pPr>
      <w:r>
        <w:rPr>
          <w:b/>
        </w:rPr>
        <w:t>Prawa PRz (D36):</w:t>
      </w:r>
      <w:r>
        <w:rPr>
          <w:b w:val="0"/>
        </w:rPr>
        <w:t xml:space="preserve"> rozstrzygnięte na podstawie § 11 umowy konsorcjum, bez zmian w umowie. Zostaje potwierdzenie z PRz harmonogramu: oświadczenie po odbiorze Z8, wycena do 10/2029, przeniesienie do 30.11.2029.</w:t>
      </w:r>
    </w:p>
    <w:p>
      <w:pPr>
        <w:pStyle w:val="ListBullet"/>
      </w:pPr>
      <w:r>
        <w:rPr>
          <w:b/>
        </w:rPr>
        <w:t>Ocena rzecznika patentowego:</w:t>
      </w:r>
      <w:r>
        <w:rPr>
          <w:b w:val="0"/>
        </w:rPr>
        <w:t xml:space="preserve"> nie będzie zlecana. W tekście 3.1 nie ma już zdania o jej wykonaniu.</w:t>
      </w:r>
    </w:p>
    <w:p>
      <w:pPr>
        <w:pStyle w:val="ListBullet"/>
      </w:pPr>
      <w:r>
        <w:rPr>
          <w:b/>
        </w:rPr>
        <w:t>Podmiot produkcji i kompletacji zestawów</w:t>
      </w:r>
      <w:r>
        <w:rPr>
          <w:b w:val="0"/>
        </w:rPr>
        <w:t xml:space="preserve"> oraz sposób finansowania certyfikacji i pierwszej serii (kwoty).</w:t>
      </w:r>
    </w:p>
    <w:p>
      <w:pPr>
        <w:pStyle w:val="ListBullet"/>
      </w:pPr>
      <w:r>
        <w:rPr>
          <w:b/>
        </w:rPr>
        <w:t>Parametry zasobów:</w:t>
      </w:r>
      <w:r>
        <w:rPr>
          <w:b w:val="0"/>
        </w:rPr>
        <w:t xml:space="preserve"> godziny montażu i wsparcia, wolumen danych na pojazd, parametry instancji chmurowych.</w:t>
      </w:r>
    </w:p>
    <w:p>
      <w:pPr>
        <w:pStyle w:val="ListBullet"/>
      </w:pPr>
      <w:r>
        <w:rPr>
          <w:b/>
        </w:rPr>
        <w:t>Zakres Z11:</w:t>
      </w:r>
      <w:r>
        <w:rPr>
          <w:b w:val="0"/>
        </w:rPr>
        <w:t xml:space="preserve"> czy pozycja patentowa (33,3 tys. PLN) obejmuje wszystko, co opisano w pkt 2.2.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