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Pkt 2.2 i 2.5: prawa, FTO, stan techniki i zasoby wdrożenia</w:t>
      </w:r>
    </w:p>
    <w:p>
      <w:r>
        <w:rPr>
          <w:b w:val="0"/>
        </w:rPr>
        <w:t>Wniosek FENG.01.01-IP.01-A1RR/26, CargoDT. Pakiet WP10, uwagi K2-02, K2-03, K2-04, K2-07, K2-08, K2-09. Wersja robocza do akceptacji. Na żółto zaznaczono dane do uzupełnienia lub sprawdzenia przed wpisaniem do LSI.</w:t>
      </w:r>
    </w:p>
    <w:p>
      <w:pPr>
        <w:pStyle w:val="Heading1"/>
      </w:pPr>
      <w:r>
        <w:t>1. Co wynika z przeglądu i co zmieniono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Problem w obecnym tekście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K2-02 prawa w chwili wdrożenia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Wniosek mówi o przeniesieniu „nie później niż 12 miesięcy po zakończeniu projektu” (04.2030), a sprzedaż rusza w 01.2030. Do czasu przeniesienia Everest11 nie ma 100% praw.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Umowa konsorcjum (§ 11 ust. 7-11) już daje mechanizm bez zmian w umowie: prawo pierwszeństwa Lidera (oświadczenie do 120 dni, czyli do 28.08.2029), wycena eksperta, 7 dni na zastrzeżenia. Wniosek podaje plan: przeniesienie do 30.11.2029, przed sprzedażą, i zapis, że do tego czasu Everest11 nie sprzedaje produktu opartego na wynikach PRz.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K2-03 FTO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Ocena dotyczy kombinacji funkcji, a nie elementów; brak statusu prawnego i terytoriów patentów.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Ocena osobno dla czterech elementów, z miejscami na status prawny i terytorium każdego patentu oraz na wynik sprawdzenia rodzin EP i PL. Opisy patentów pozostają takie jak we wniosku (sprawdzone przez Everest11).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K2-09 opis wyników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Zbyt ogólne zdania, brak konkretnych publikacji.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Podział na elementy systemu, różnice względem CargoDT dla każdego patentu i konkretne publikacje z DOI. Dodatkowe dokumenty, które wskazała wyszukiwarka, są w części 2 jako niezweryfikowane i nie weszły do tekstu.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K2-04 zasoby produkcyjne i serwis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Brak podmiotu produkcji, finansowania certyfikacji i serii, skalowania serwisu z 50 do 1 000 pojazdów.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Tekst z modelem godzin instalacji i wsparcia oraz harmonogramem zatrudnień, z żółtymi polami do potwierdzenia.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K2-07 zasoby techniczne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Brak liczby i parametrów.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Szacunek zasobów chmurowych dla 1 000 pojazdów, opis produkcji, stanowiska testowego i floty. Usunięto użycie floty testowej do demonstracji klientom (K3-56).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K2-08 zasoby WNiP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Brak opisu praw i licencji.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W polu „Pozostałe zasoby”: patent, wzór użytkowy, tajemnica, prawa do kodu i wyników PRz, licencje komponentów, certyfikaty CE, RoHS, BDO, DPIA.</w:t>
            </w:r>
          </w:p>
        </w:tc>
      </w:tr>
    </w:tbl>
    <w:p/>
    <w:p>
      <w:pPr>
        <w:pStyle w:val="Heading1"/>
      </w:pPr>
      <w:r>
        <w:t>2. Dokumenty wskazane przez wyszukiwarkę: do sprawdzenia, niezweryfikowane</w:t>
      </w:r>
    </w:p>
    <w:p>
      <w:pPr>
        <w:spacing w:after="60"/>
      </w:pPr>
      <w:r>
        <w:rPr>
          <w:b w:val="0"/>
        </w:rPr>
        <w:t>Uwaga. Z tego środowiska nie ma dostępu do baz patentowych (Google Patents, Espacenet, USPTO), a wyszukiwarka internetowa dała o tym samym patencie sprzeczne dane (np. właściciel US 11,151,506 B2). Dlatego poniższa tabela nie jest ustaleniem faktów. Teksty w części 3 opierają się na opisach patentów z obecnego wniosku, które Everest11 już sprawdził. Tabela wskazuje, co warto potwierdzić w Espacenet lub Google Patents (adresy w ostatniej kolumnie), zanim cokolwiek zostanie dopisane lub zmienione we wniosku.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Dokument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We wniosku i według wyszukiwarki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Co sprawdzić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Adres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11,151,506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We wniosku: Amazon Technologies, LiDAR i wideo w stacjonarnym kontenerze. Wyszukiwarka podała raz innych wynalazców i raz LG Electronics, a w zastrzeżeniach: LiDAR w kontenerze, mapa 3D, pojemność, chmura, monitorowanie zmian wg trasy.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Właściciel, status, rodzina EP/PL, a przede wszystkim czy opis „stacjonarny kontener” jest zgodny z zastrzeżeniami (wyszukiwarka sugeruje przewóz wg trasy i harmonogramu).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https://patents.google.com/patent/US11151506B2/en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11,685,400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We wniosku: Mobileye/Intel. Wyszukiwarka wskazała Autobrains, następnie Cartica AI.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Właściciel pierwotny i obecny oraz zakres zastrzeżeń (klasa ładunku, sposób zamocowania).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https://patents.google.com/patent/US11685400B2/en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2013/0342653 A1 i US 10,158,842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We wniosku: Honeywell, systemy przy bramach z czujnikami IR i ultradźwiękowymi. Wyszukiwarka opisała: aktywne czujniki 3D ze światłem strukturalnym w kontenerze, patent wygasły (brak opłat).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Treść zastrzeżeń i status. Jeśli czujniki 3D ze światłem strukturalnym w kontenerze są potwierdzone, opis we wniosku wymaga zmiany.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https://patents.google.com/patent/US20130342653A1/en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7,468,660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We wniosku: stacjonarne systemy przy bramach. Wyszukiwarka podała tytuł „Cargo sensing apparatus for a cargo container”.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Właściciel, treść i status.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https://patents.google.com/patent/US7468660B2/en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9,965,939 B1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We wniosku: Sensitech, monitorowanie drgań progowe. Wyszukiwarka: histogramy drgań na podróż, bez ML, właściciela nie podała.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Właściciel i status.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https://patents.google.com/patent/US9965939B1/en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EP 3103072; US 12,198,091 B2; US 11,763,439 B2; US 12,086,934 B2 (UPS)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Dokumenty spoza wniosku. Wyszukiwarka: kamera głębi mierzy wykorzystanie naczepy podczas załadunku; EP wskazuje m.in. PL.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Czy należą do UPS, status prawny, czy EP jest udzielony i zwalidowany w PL, zakres zastrzeżeń. Dopiero po potwierdzeniu rozważyć dopisanie do wniosku.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https://worldwide.espacenet.com/patent/search?q=pn%3DEP3103072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10,769,576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Dokument spoza wniosku. Wyszukiwarka: BlackBerry, rzutowanie siatki punktów i analiza obrazu do oceny załadunku.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Właściciel, status, zastrzeżenia.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https://patents.google.com/patent/US10769576B2/en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US 11,370,348 B2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Dokument spoza wniosku. Wyszukiwarka: Spanset, monitorowanie transportowanych towarów, w mocy.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Zakres zastrzeżeń, czy obejmuje analizę obrazu zabezpieczeń.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https://patents.google.com/patent/US11370348B2/en</w:t>
            </w:r>
          </w:p>
        </w:tc>
      </w:tr>
    </w:tbl>
    <w:p/>
    <w:p>
      <w:pPr>
        <w:pStyle w:val="Heading1"/>
      </w:pPr>
      <w:r>
        <w:t>3. Teksty pkt 2.2</w:t>
      </w:r>
    </w:p>
    <w:p>
      <w:pPr>
        <w:pStyle w:val="Heading2"/>
      </w:pPr>
      <w:r>
        <w:t>3.1 Wykazanie braku barier do wdrożenia (limit 3 000 znaków)</w:t>
      </w:r>
    </w:p>
    <w:p>
      <w:pPr>
        <w:keepNext/>
        <w:spacing w:before="160" w:after="40"/>
      </w:pPr>
      <w:r>
        <w:rPr>
          <w:b/>
          <w:sz w:val="20"/>
        </w:rPr>
        <w:t>Wykazanie braku barier do wdrożenia rezultatów prac B+R</w:t>
      </w:r>
      <w:r>
        <w:rPr>
          <w:color w:val="666666"/>
          <w:sz w:val="17"/>
        </w:rPr>
        <w:t xml:space="preserve"> [2254 znaków]</w:t>
      </w:r>
    </w:p>
    <w:p>
      <w:pPr>
        <w:spacing w:after="60"/>
      </w:pPr>
      <w:r>
        <w:rPr>
          <w:b w:val="0"/>
        </w:rPr>
        <w:t>Prawa niezbędne do wdrożenia. Everest11 ma prawa autorskie do własnego systemu TMS i API integracji z Trans.eu i TimoCom, na których zbuduje moduł CargoDT. Komponenty zewnętrzne (jednostka NVIDIA Jetson, kamery, oprogramowanie sterujące kamer) są dostępne komercyjnie na licencjach producentów. Biblioteki i architektury modeli wybieramy w zadaniu Z3 także według licencji: tylko takie, które pozwalają na użycie komercyjne w zamkniętym oprogramowaniu embedded (Apache-2.0, BSD, MIT), bez licencji typu AGPL. Everest11 nie dzieli tych praw z innymi podmiotami.</w:t>
      </w:r>
    </w:p>
    <w:p>
      <w:pPr>
        <w:spacing w:after="60"/>
      </w:pPr>
      <w:r>
        <w:rPr>
          <w:b w:val="0"/>
        </w:rPr>
        <w:t xml:space="preserve">Prawa do wyników projektu. Zgodnie z § 11 umowy konsorcjum prawa przysługują stronom proporcjonalnie do wkładu, a Everest11 jako lider ma prawo pierwszeństwa do przeniesienia na siebie praw PRz za wynagrodzeniem rynkowym, ustalonym przez niezależnego eksperta w postępowaniu nadzorowanym przez Radę Konsorcjum. Prawa autorskie pracowników PRz przechodzą na PRz z mocy art. 12 ustawy o prawie autorskim, a prawa podwykonawców przenosimy umowami na zlecającego. Oświadczenie o skorzystaniu z prawa pierwszeństwa Lider składa w ciągu 120 dni od odbioru wyników, najpóźniej do 28.08.2029, a przeniesienie planujemy do 30.11.2029, przed rozpoczęciem sprzedaży w styczniu 2030 r. </w:t>
      </w:r>
      <w:r>
        <w:rPr>
          <w:b w:val="0"/>
          <w:highlight w:val="yellow"/>
        </w:rPr>
        <w:t>potwierdzić z PRz</w:t>
      </w:r>
      <w:r>
        <w:rPr>
          <w:b w:val="0"/>
        </w:rPr>
        <w:t>. Do czasu przeniesienia Everest11 nie sprzedaje produktu opartego na wynikach PRz.</w:t>
      </w:r>
    </w:p>
    <w:p>
      <w:pPr>
        <w:spacing w:after="60"/>
      </w:pPr>
      <w:r>
        <w:rPr>
          <w:b w:val="0"/>
        </w:rPr>
        <w:t xml:space="preserve">Prawa osób trzecich. Wykonaliśmy badanie stanu techniki (07.05.2026) i oceniliśmy patenty osobno dla każdego elementu systemu: model 3D z kamer głębi w naczepie, predykcja ryzyka uszkodzenia ładunku, wizyjna ocena zabezpieczeń i dokument eFTI. Żaden ze zidentyfikowanych patentów nie obejmuje kombinacji funkcji CargoDT ani żadnego z tych elementów w zakresie, który blokowałby wdrożenie. Patenty z USA nie obowiązują w Polsce ani w regionie CEE, a dla każdej rodziny patentowej sprawdziliśmy odpowiedniki europejskie i krajowe </w:t>
      </w:r>
      <w:r>
        <w:rPr>
          <w:b w:val="0"/>
          <w:highlight w:val="yellow"/>
        </w:rPr>
        <w:t>wynik sprawdzenia w Espacenet dla każdej rodziny: status i państwa</w:t>
      </w:r>
      <w:r>
        <w:rPr>
          <w:b w:val="0"/>
        </w:rPr>
        <w:t xml:space="preserve">. Najbliższy patent (US 11,151,506 B2) różni się czujnikami (LiDAR zamiast kamer głębi), środowiskiem i funkcją, co opisujemy poniżej </w:t>
      </w:r>
      <w:r>
        <w:rPr>
          <w:b w:val="0"/>
          <w:highlight w:val="yellow"/>
        </w:rPr>
        <w:t>status prawny i terytorium</w:t>
      </w:r>
      <w:r>
        <w:rPr>
          <w:b w:val="0"/>
        </w:rPr>
        <w:t>. Ewentualną kolizję, którą wykazałby późniejszy przegląd patentowy, usuniemy zmianą rozwiązania technicznego na etapie Z5 i Z7, zanim powstanie zestaw sprzedażowy.</w:t>
      </w:r>
    </w:p>
    <w:p>
      <w:pPr>
        <w:pStyle w:val="Heading2"/>
      </w:pPr>
      <w:r>
        <w:t>3.2 Opis uzyskanych wyników badania stanu techniki (limit 4 000 znaków)</w:t>
      </w:r>
    </w:p>
    <w:p>
      <w:pPr>
        <w:keepNext/>
        <w:spacing w:before="160" w:after="40"/>
      </w:pPr>
      <w:r>
        <w:rPr>
          <w:b/>
          <w:sz w:val="20"/>
        </w:rPr>
        <w:t>Opis uzyskanych wyników</w:t>
      </w:r>
      <w:r>
        <w:rPr>
          <w:color w:val="666666"/>
          <w:sz w:val="17"/>
        </w:rPr>
        <w:t xml:space="preserve"> [2221 znaków]</w:t>
      </w:r>
    </w:p>
    <w:p>
      <w:pPr>
        <w:spacing w:after="60"/>
      </w:pPr>
      <w:r>
        <w:rPr>
          <w:b w:val="0"/>
        </w:rPr>
        <w:t xml:space="preserve">Badanie stanu techniki wykonał Everest11 w maju 2026 r. Objęło cztery obszary: cyfrowe bliźniaki w transporcie, pomiar przestrzeni ładunkowej kamerami głębi, predykcję ryzyka uszkodzenia ładunku i wizyjną ocenę zabezpieczeń. Nie ujawniło praw, które uniemożliwiałyby wdrożenie w Polsce i regionie CEE. Poniżej patenty najbliższe poszczególnym elementom systemu. Status prawny i terytorium podano według </w:t>
      </w:r>
      <w:r>
        <w:rPr>
          <w:b w:val="0"/>
          <w:highlight w:val="yellow"/>
        </w:rPr>
        <w:t>Espacenet i Google Patents, data odczytu</w:t>
      </w:r>
      <w:r>
        <w:rPr>
          <w:b w:val="0"/>
        </w:rPr>
        <w:t>.</w:t>
      </w:r>
    </w:p>
    <w:p>
      <w:pPr>
        <w:spacing w:after="60"/>
      </w:pPr>
      <w:r>
        <w:rPr>
          <w:b w:val="0"/>
        </w:rPr>
        <w:t>Model 3D przestrzeni ładunkowej.</w:t>
      </w:r>
    </w:p>
    <w:p>
      <w:pPr>
        <w:spacing w:after="60"/>
      </w:pPr>
      <w:r>
        <w:rPr>
          <w:b w:val="0"/>
        </w:rPr>
        <w:t xml:space="preserve">US 11,151,506 B2 (Amazon Technologies, 2021): monitorowanie wnętrza kontenera czujnikami LiDAR 3D i kamerami wideo </w:t>
      </w:r>
      <w:r>
        <w:rPr>
          <w:b w:val="0"/>
          <w:highlight w:val="yellow"/>
        </w:rPr>
        <w:t>status prawny; rodzina EP i PL</w:t>
      </w:r>
      <w:r>
        <w:rPr>
          <w:b w:val="0"/>
        </w:rPr>
        <w:t>. CargoDT używa kamer ToF lub EO/IR ze światłem strukturalnym, śledzi położenie ładunku w ruchu z kompensacją drgań i liczy lokalnie, bez chmury. Opis patentu nie obejmuje predykcji ryzyka, oceny zabezpieczeń CV, Proof of Condition ani integracji eFTI i e-CMR.</w:t>
      </w:r>
    </w:p>
    <w:p>
      <w:pPr>
        <w:spacing w:after="60"/>
      </w:pPr>
      <w:r>
        <w:rPr>
          <w:b w:val="0"/>
        </w:rPr>
        <w:t xml:space="preserve">US 20130342653 A1 (Honeywell, 2013) i US 7,468,660 B2: detekcja ładunku czujnikami w kontenerze lub przy bramach logistycznych </w:t>
      </w:r>
      <w:r>
        <w:rPr>
          <w:b w:val="0"/>
          <w:highlight w:val="yellow"/>
        </w:rPr>
        <w:t>status prawny i terytorium obu dokumentów</w:t>
      </w:r>
      <w:r>
        <w:rPr>
          <w:b w:val="0"/>
        </w:rPr>
        <w:t>. Nie obejmują pracy w ruchu, uczenia maszynowego ani predykcji ryzyka.</w:t>
      </w:r>
    </w:p>
    <w:p>
      <w:pPr>
        <w:spacing w:after="60"/>
      </w:pPr>
      <w:r>
        <w:rPr>
          <w:b w:val="0"/>
        </w:rPr>
        <w:t>Predykcja ryzyka.</w:t>
      </w:r>
    </w:p>
    <w:p>
      <w:pPr>
        <w:spacing w:after="60"/>
      </w:pPr>
      <w:r>
        <w:rPr>
          <w:b w:val="0"/>
        </w:rPr>
        <w:t xml:space="preserve">US 9,965,939 B1 (Sensitech): monitorowanie drgań metodą progową, bez modelu ML, bez klas ładunku i kumulacji narażenia </w:t>
      </w:r>
      <w:r>
        <w:rPr>
          <w:b w:val="0"/>
          <w:highlight w:val="yellow"/>
        </w:rPr>
        <w:t>status prawny i terytorium</w:t>
      </w:r>
      <w:r>
        <w:rPr>
          <w:b w:val="0"/>
        </w:rPr>
        <w:t xml:space="preserve">. US 11,685,400 B2 (Mobileye): predykcja wypadnięcia ładunku z innego pojazdu na podstawie zewnętrznej kamery, bez monitoringu wnętrza naczepy i predykcji z sygnałów in-transit </w:t>
      </w:r>
      <w:r>
        <w:rPr>
          <w:b w:val="0"/>
          <w:highlight w:val="yellow"/>
        </w:rPr>
        <w:t>status prawny i terytorium</w:t>
      </w:r>
      <w:r>
        <w:rPr>
          <w:b w:val="0"/>
        </w:rPr>
        <w:t>.</w:t>
      </w:r>
    </w:p>
    <w:p>
      <w:pPr>
        <w:spacing w:after="60"/>
      </w:pPr>
      <w:r>
        <w:rPr>
          <w:b w:val="0"/>
        </w:rPr>
        <w:t>Literatura. Przeglądy: Ge i Qin, IET ITS 2024, DOI 10.1049/itr2.12539 (n=61); Werbińska-Wojciechowska i in., Sensors 2024 (n=201); European Transport Research Review 2025 (n=136). Żadna z 398 przeanalizowanych prac nie opisuje cyfrowego bliźniaka przestrzeni ładunkowej naczepy TIR. Zakłócenia wielodrogowe kamer ToF opisują prace nad korekcją MPI (np. DeepToF, arXiv:1805.09305), a monitorowanie siły w pasach opisano w pracy z SCITEPRESS z 2019 r. (IoT based Driver Information System for Monitoring the Load Securing). Przeszukanie IEEE Xplore, Scopus i Google Scholar nie zwróciło pracy łączącej te elementy ani opisującej model ML ryzyka uszkodzenia z klasą ładunku i kumulacją narażenia, co jest przedmiotem zgłoszenia EPO.</w:t>
      </w:r>
    </w:p>
    <w:p>
      <w:pPr>
        <w:spacing w:after="60"/>
      </w:pPr>
      <w:r>
        <w:rPr>
          <w:b w:val="0"/>
        </w:rPr>
        <w:t xml:space="preserve">Pola pozostałe w badaniu stanu techniki (bazy, klasyfikacja MKP, słowa kluczowe) uzupełnić o Espacenet, Google Patents i klasy G06V 20/00 (rozpoznawanie scen) oraz B65D 90/48 (wskaźniki w kontenerach), jeśli były używane </w:t>
      </w:r>
      <w:r>
        <w:rPr>
          <w:b w:val="0"/>
          <w:highlight w:val="yellow"/>
        </w:rPr>
        <w:t>potwierdzić</w:t>
      </w:r>
      <w:r>
        <w:rPr>
          <w:b w:val="0"/>
        </w:rPr>
        <w:t>. Data badania: pozostaje 07.05.2026, uzupełnienie opisane w tekście.</w:t>
      </w:r>
    </w:p>
    <w:p>
      <w:pPr>
        <w:pStyle w:val="Heading2"/>
      </w:pPr>
      <w:r>
        <w:t>3.3 Opis sposobu uregulowania praw (limit 4 000 znaków)</w:t>
      </w:r>
    </w:p>
    <w:p>
      <w:pPr>
        <w:keepNext/>
        <w:spacing w:before="160" w:after="40"/>
      </w:pPr>
      <w:r>
        <w:rPr>
          <w:b/>
          <w:sz w:val="20"/>
        </w:rPr>
        <w:t>Opis sposobu uregulowania praw do wyników prac B+R</w:t>
      </w:r>
      <w:r>
        <w:rPr>
          <w:color w:val="666666"/>
          <w:sz w:val="17"/>
        </w:rPr>
        <w:t xml:space="preserve"> [2793 znaków]</w:t>
      </w:r>
    </w:p>
    <w:p>
      <w:pPr>
        <w:spacing w:after="60"/>
      </w:pPr>
      <w:r>
        <w:rPr>
          <w:b w:val="0"/>
        </w:rPr>
        <w:t>Prawa majątkowe do wyników przysługują członkom konsorcjum stosownie do wkładu, zgodnie z art. 32 ust. 1 ustawy o NCBR. Podział wyników na poziomie zadań określa umowa konsorcjum zawarta przed złożeniem wniosku. Everest11 jako lider i jedyne przedsiębiorstwo w konsorcjum ma uzyskać całość praw majątkowych do wyników prac B+R, a Politechnika Rzeszowska zachowuje prawo do publikacji wyników prac własnych.</w:t>
      </w:r>
    </w:p>
    <w:p>
      <w:pPr>
        <w:spacing w:after="60"/>
      </w:pPr>
      <w:r>
        <w:rPr>
          <w:b w:val="0"/>
        </w:rPr>
        <w:t>Wyniki PRz (zadania Z1, Z3, Z4, Z5 i Z8): algorytmy 3D state estimation, model predykcji ryzyka i algorytmy weryfikacji zabezpieczeń. Prawa autorskie pracowników PRz przechodzą na PRz na podstawie art. 12 ustawy o prawie autorskim. PRz przenosi na Everest11 swoje prawa majątkowe do wyników za wynagrodzeniem odpowiadającym ich wartości rynkowej, ustalonym przez niezależnego biegłego (wycena eksperta). Biegłego wybiera się w postępowaniu nadzorowanym przez Radę Konsorcjum (§ 9 umowy konsorcjum), w której każdy członek konsorcjum ma po jednym przedstawicielu.</w:t>
      </w:r>
    </w:p>
    <w:p>
      <w:pPr>
        <w:spacing w:after="60"/>
      </w:pPr>
      <w:r>
        <w:rPr>
          <w:b w:val="0"/>
        </w:rPr>
        <w:t xml:space="preserve">Przeniesienie praw PRz przebiega według § 11 umowy konsorcjum. Lider ma prawo pierwszeństwa do zawarcia umowy przeniesienia praw majątkowych PRz do wyników i składa oświadczenie o skorzystaniu z niego w ciągu 120 dni od otrzymania wyników i zakończenia projektu (04/2029), czyli najpóźniej do 28.08.2029. PRz ma 7 dni na zastrzeżenia do wyceny, a przy sporze Rada Konsorcjum może powołać drugiego eksperta i wtedy przyjmuje się średnią obu wycen. Plan Lidera: oświadczenie po odbiorze wyników zadania Z8 (04/2029), wybór eksperta w trakcie Z8, wycena do 10/2029 i umowa przeniesienia do 30.11.2029, przed rozpoczęciem sprzedaży w styczniu 2030 r. </w:t>
      </w:r>
      <w:r>
        <w:rPr>
          <w:b w:val="0"/>
          <w:highlight w:val="yellow"/>
        </w:rPr>
        <w:t>potwierdzić z PRz</w:t>
      </w:r>
      <w:r>
        <w:rPr>
          <w:b w:val="0"/>
        </w:rPr>
        <w:t>. Do czasu przeniesienia strony wykonują wspólne prawa na podstawie umowy o wykonywaniu wspólnych praw (§ 11 ust. 5), a Everest11 nie sprzedaje produktu opartego na wynikach PRz.</w:t>
      </w:r>
    </w:p>
    <w:p>
      <w:pPr>
        <w:spacing w:after="60"/>
      </w:pPr>
      <w:r>
        <w:rPr>
          <w:b w:val="0"/>
        </w:rPr>
        <w:t>Rozpowszechnianie i ochrona są rozdzielone. Publikacjom podlega warstwa naukowa: metody mitygacji MCI i kompensacji drgań, metodologia uczenia na danych niezbalansowanych, taksonomia klas zabezpieczeń TSL i wyniki walidacji w postaci metryk (AUC-ROC, mAP). Ochronie podlega warstwa komercyjna: wagi modeli, architektury i hiperparametry, kod embedded, zbiór danych i integracja API z TMS (tajemnica przedsiębiorstwa), a metoda predykcji ryzyka (patent EPO). Publikacje nastąpią po dacie pierwszeństwa zgłoszenia EPO.</w:t>
      </w:r>
    </w:p>
    <w:p>
      <w:pPr>
        <w:spacing w:after="60"/>
      </w:pPr>
      <w:r>
        <w:rPr>
          <w:b w:val="0"/>
        </w:rPr>
        <w:t>Wyniki prac własnych Everest11 (infrastruktura sensoryczna, optymalizacja embedded, integracja TMS i eFTI, wyniki testów terenowych) należą do Everest11. Prawa podwykonawców przenosimy na zlecającego umowami z klauzulą przeniesienia majątkowych praw autorskich, bez naruszania zasady, że całość praw do wyników przysługuje liderowi. Everest11 może komercyjnie wykorzystywać wszystkie wyniki: produkt SaaS, zestaw retrofit, licencję API i zgłoszenie patentowe EPO.</w:t>
      </w:r>
    </w:p>
    <w:p>
      <w:pPr>
        <w:spacing w:after="60"/>
      </w:pPr>
      <w:r>
        <w:rPr>
          <w:b w:val="0"/>
        </w:rPr>
        <w:t>Harmonogram wynika z § 11 umowy konsorcjum: oświadczenie Lidera w ciągu 120 dni od otrzymania wyników i zakończenia projektu (najpóźniej 28.08.2029), wycena niezależnego eksperta, 7 dni na zastrzeżenia PRz, ewentualnie drugi ekspert i średnia wycen. W najgorszym wariancie (druga wycena) przeniesienie mieści się w 12.2029. Sprzedaż od 01.2030 jest bezpieczna, jeśli Lider składa oświadczenie wcześniej niż w ostatnim dniu terminu.</w:t>
      </w:r>
    </w:p>
    <w:p>
      <w:pPr>
        <w:pStyle w:val="Heading1"/>
      </w:pPr>
      <w:r>
        <w:t>4. Teksty pkt 2.5</w:t>
      </w:r>
    </w:p>
    <w:p>
      <w:pPr>
        <w:pStyle w:val="Heading2"/>
      </w:pPr>
      <w:r>
        <w:t>4.1 Zasoby kadrowe (limit 2 000 znaków)</w:t>
      </w:r>
    </w:p>
    <w:p>
      <w:pPr>
        <w:keepNext/>
        <w:spacing w:before="160" w:after="40"/>
      </w:pPr>
      <w:r>
        <w:rPr>
          <w:b/>
          <w:sz w:val="20"/>
        </w:rPr>
        <w:t>Zasoby kadrowe niezbędne do wdrożenia</w:t>
      </w:r>
      <w:r>
        <w:rPr>
          <w:color w:val="666666"/>
          <w:sz w:val="17"/>
        </w:rPr>
        <w:t xml:space="preserve"> [1626 znaków]</w:t>
      </w:r>
    </w:p>
    <w:p>
      <w:pPr>
        <w:spacing w:after="60"/>
      </w:pPr>
      <w:r>
        <w:rPr>
          <w:b w:val="0"/>
        </w:rPr>
        <w:t>Wdrożenie zrealizuje zespół projektu, bez rekrutacji w fazie startu. Jakub Kosterna (Lead AI): 8 lat stosowanego B+R w AI/ML, w T-Master SA wdrożenie produkcyjne wizji komputerowej. Natalia Wojdat (AI Senior Engineer): 4 lata w SAS Institute, produkcyjne wdrożenia modeli ML. Paweł Maziarz (cyberbezpieczeństwo): 20 lat doświadczenia, wdrożenia bezpieczeństwa systemów IoT, ISO 27001. Patryk Ruciński (IT): Tech Lead w Here Technologies, architektura SaaS i CI/CD. Stanisław Kozioł (IoT): wdrożenia systemów telematycznych dla flot w Orange Polska, montaż zestawów u klientów. Michał Hajduk (sprzedaż): 7 lat sprzedaży technologii telematycznych dla flot w Legaltelematics i INELO.</w:t>
      </w:r>
    </w:p>
    <w:p>
      <w:pPr>
        <w:spacing w:after="60"/>
      </w:pPr>
      <w:r>
        <w:rPr>
          <w:b w:val="0"/>
        </w:rPr>
        <w:t>Skalowanie 2030-2034. Liczba instalacji zestawów wynika z modelu finansowego: 50 (2030), 79 (2031), 135 (2032), 270 (2033), 540 (2034). Przy 3 h na kompletację zestawu i 3 h na montaż i uruchomienie jednej naczepy daje to od 300 h w 2030 r. do 3 240 h w 2034 r., czyli 0,2 etatu w 2030 r. i 2,0 etatu w 2034 r. Kompletację i montaż prowadzi Stanisław Kozioł, drugiego technika zatrudnimy w 2033 r. (1 620 h), a trzeciego w 2034 r. (3 240 h). Wsparcie techniczne: przy 0,3 h na pojazd miesięcznie obsługa 125 pojazdów w 2031 r. wymaga 450 h rocznie, a 1 000 pojazdów w 2034 r. 3 600 h, czyli 2,3 etatu. Zespół wsparcia rośnie wraz z liczbą pojazdów: pierwszy etat w 2031 r., drugi w 2033 r. i trzeci w 2034 r. Koszty zespołu komercjalizacji (montaż, wsparcie, sprzedaż) są ujęte w modelu finansowym i rosną z 345,6 tys. zł w 2030 r. do 1 036,8 tys. zł w 2034 r. Wdrożenie usług w TMS prowadzi Patryk Ruciński, a utrzymanie modeli Natalia Wojdat.</w:t>
      </w:r>
    </w:p>
    <w:p>
      <w:pPr>
        <w:pStyle w:val="Heading2"/>
      </w:pPr>
      <w:r>
        <w:t>4.2 Zasoby techniczne (limit 2 000 znaków)</w:t>
      </w:r>
    </w:p>
    <w:p>
      <w:pPr>
        <w:keepNext/>
        <w:spacing w:before="160" w:after="40"/>
      </w:pPr>
      <w:r>
        <w:rPr>
          <w:b/>
          <w:sz w:val="20"/>
        </w:rPr>
        <w:t>Zasoby techniczne niezbędne do wdrożenia</w:t>
      </w:r>
      <w:r>
        <w:rPr>
          <w:color w:val="666666"/>
          <w:sz w:val="17"/>
        </w:rPr>
        <w:t xml:space="preserve"> [1537 znaków]</w:t>
      </w:r>
    </w:p>
    <w:p>
      <w:pPr>
        <w:spacing w:after="60"/>
      </w:pPr>
      <w:r>
        <w:rPr>
          <w:b w:val="0"/>
        </w:rPr>
        <w:t>Infrastruktura IT. Everest11 posiada własny system TMS jako platformę integracji CargoDT oraz środowisko chmurowe (AWS lub Azure) dla platformy SaaS i API. Szacunek zasobów dla 1 000 pojazdów w 2034 r.: 2 dokumenty PoL i PoC na dobę po 20 MB, razem 40 MB na pojazd na dobę, czyli 40 GB na dobę i ok. 15 TB rocznie, przy przechowywaniu 24 miesięcy ok. 29 TB, baza zdarzeń i telemetrii ok. 2 TB rocznie, dwie instancje aplikacyjne i jedna rezerwowa o parametrach 8 vCPU i 32 GB RAM. Zasoby rosną automatycznie z liczbą pojazdów, a koszt hostingu jest ujęty w kosztach operacyjnych modelu finansowego: 50 zł za pojazd miesięcznie, od 15 tys. zł w 2030 r. do 438 tys. zł w 2034 r.</w:t>
      </w:r>
    </w:p>
    <w:p>
      <w:pPr>
        <w:spacing w:after="60"/>
      </w:pPr>
      <w:r>
        <w:rPr>
          <w:b w:val="0"/>
        </w:rPr>
        <w:t>Produkcja i serwis zestawów. Pierwszą serię zestawów, 50 sztuk w 2029 r. po certyfikacji CE, kompletuje własny zespół Everest11 we własnym zakresie, ręcznie, w małej serii. Kompletacja pozostaje we własnym zakresie także po 2031 r., przy większych seriach w wynajętej powierzchni magazynowo-montażowej. Everest11 zachowuje nadzór jakości, montaż u klienta i serwis.</w:t>
      </w:r>
    </w:p>
    <w:p>
      <w:pPr>
        <w:spacing w:after="60"/>
      </w:pPr>
      <w:r>
        <w:rPr>
          <w:b w:val="0"/>
        </w:rPr>
        <w:t>Flota. Testy terenowe w Z9 prowadzimy na co najmniej 3 naczepach floty partnera (Natanek Logistics, umowa partnerska). Egzemplarze prototypowe Z9 służą wyłącznie pracom B+R i po walidacji są wycofane. Demonstracje dla klientów i sprzedaż prowadzimy na odrębnych egzemplarzach, zakupionych poza projektem ze środków własnych.</w:t>
      </w:r>
    </w:p>
    <w:p>
      <w:pPr>
        <w:spacing w:after="60"/>
      </w:pPr>
      <w:r>
        <w:rPr>
          <w:b w:val="0"/>
        </w:rPr>
        <w:t>Zasoby nie wymagają inwestycji sprzętowych ponad zaplanowane w projekcie, poza serią zestawów produkcyjnych i rozbudową chmury, finansowanymi ze środków własnych Lidera.</w:t>
      </w:r>
    </w:p>
    <w:p>
      <w:pPr>
        <w:pStyle w:val="Heading2"/>
      </w:pPr>
      <w:r>
        <w:t>4.3 Pozostałe zasoby (limit 2 000 znaków)</w:t>
      </w:r>
    </w:p>
    <w:p>
      <w:pPr>
        <w:keepNext/>
        <w:spacing w:before="160" w:after="40"/>
      </w:pPr>
      <w:r>
        <w:rPr>
          <w:b/>
          <w:sz w:val="20"/>
        </w:rPr>
        <w:t>Pozostałe zasoby niezbędne do wdrożenia</w:t>
      </w:r>
      <w:r>
        <w:rPr>
          <w:color w:val="666666"/>
          <w:sz w:val="17"/>
        </w:rPr>
        <w:t xml:space="preserve"> [1367 znaków]</w:t>
      </w:r>
    </w:p>
    <w:p>
      <w:pPr>
        <w:spacing w:after="60"/>
      </w:pPr>
      <w:r>
        <w:rPr>
          <w:b w:val="0"/>
        </w:rPr>
        <w:t xml:space="preserve">Certyfikaty i zgodność. Zestaw retrofit wymaga oznakowania CE: dyrektywa RED 2014/53/UE (moduły radiowe: LTE i radar mmWave </w:t>
      </w:r>
      <w:r>
        <w:rPr>
          <w:b w:val="0"/>
          <w:highlight w:val="yellow"/>
        </w:rPr>
        <w:t>pasmo radaru: 60 GHz czy 77 GHz, wg specyfikacji w Z2</w:t>
      </w:r>
      <w:r>
        <w:rPr>
          <w:b w:val="0"/>
        </w:rPr>
        <w:t xml:space="preserve">), EMC 2014/30/UE oraz RoHS 2011/65/UE, a także homologacji ECE R10 </w:t>
      </w:r>
      <w:r>
        <w:rPr>
          <w:b w:val="0"/>
          <w:highlight w:val="yellow"/>
        </w:rPr>
        <w:t>potwierdzić, czy dotyczy zestawu montowanego w naczepie</w:t>
      </w:r>
      <w:r>
        <w:rPr>
          <w:b w:val="0"/>
        </w:rPr>
        <w:t xml:space="preserve">. Badania wykona akredytowane laboratorium w okresie 05-10/2029. Koszt badań i pierwszej serii zestawów pokrywa kapitał własny Lidera (dokapitalizowanie potwierdzone zobowiązaniem inwestora). Everest11 jako wprowadzający sprzęt elektroniczny zarejestruje się w rejestrze BDO i wypełni obowiązki dotyczące zużytego sprzętu elektronicznego </w:t>
      </w:r>
      <w:r>
        <w:rPr>
          <w:b w:val="0"/>
          <w:highlight w:val="yellow"/>
        </w:rPr>
        <w:t>potwierdzić</w:t>
      </w:r>
      <w:r>
        <w:rPr>
          <w:b w:val="0"/>
        </w:rPr>
        <w:t>. Dla RODO przygotowana zostanie ocena skutków dla ochrony danych (DPIA) dla obrazów wnętrza naczepy i danych lokalizacyjnych.</w:t>
      </w:r>
    </w:p>
    <w:p>
      <w:pPr>
        <w:spacing w:after="60"/>
      </w:pPr>
      <w:r>
        <w:rPr>
          <w:b w:val="0"/>
        </w:rPr>
        <w:t>Wartości niematerialne i prawne. Zgłoszenie patentowe EPO metody predykcji ryzyka (Z11), wniosek o prawo ochronne na wzór użytkowy dla konfiguracji sprzętowej ze środków własnych, tajemnica przedsiębiorstwa dla kodu i modeli, prawa autorskie do systemu TMS i modułu CargoDT, prawa do wyników PRz przeniesione za wynagrodzeniem rynkowym do 30.11.2029 (§ 11 umowy konsorcjum). Licencje komponentów: pakiet NVIDIA JetPack, oprogramowanie sterujące kamer i biblioteki o licencjach pozwalających na użycie komercyjne. Normy EN 12195 i dokumenty techniczne eFTI Everest11 nabywa w ramach projektu.</w:t>
      </w:r>
    </w:p>
    <w:p>
      <w:pPr>
        <w:pStyle w:val="Heading2"/>
      </w:pPr>
      <w:r>
        <w:t>4.4 Model zasobów montażu i wsparcia (podstawa liczb w 4.1)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Rok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Instalacje (model)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Godziny kompletacji i montażu (2 x 3 h/szt.)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Aktywne pojazdy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Godziny wsparcia (0,3 h/poj./mies.)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Etaty kompletacji, montażu i wsparcia (1 600 h/etat)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2030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0,3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2031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450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0,6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2032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810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1,1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2033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1 620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1 800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2,1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2034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540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3 240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1 000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3 600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4,3</w:t>
            </w:r>
          </w:p>
        </w:tc>
      </w:tr>
    </w:tbl>
    <w:p/>
    <w:p>
      <w:pPr>
        <w:spacing w:after="60"/>
      </w:pPr>
      <w:r>
        <w:rPr>
          <w:b w:val="0"/>
        </w:rPr>
        <w:t>Parametry 3 h (kompletacja i montaż) i 0,3 h to założenia zatwierdzone przez właścicielkę. Liczby instalacji i pojazdów pochodzą z modelu finansowego. W 2030 r. SaaS jest liczony przez 6 miesięcy (300 pojazdo-miesięcy), więc godziny wsparcia w 2030 r. liczono dla 50 pojazdów przez 12 miesięcy, aby nie zaniżyć wymagań. Koszty tych etatów muszą być zgodne z kosztami operacyjnymi w modelu (K2-13).</w:t>
      </w:r>
    </w:p>
    <w:p>
      <w:pPr>
        <w:pStyle w:val="Heading1"/>
      </w:pPr>
      <w:r>
        <w:t>5. Powiązane zmiany w innych miejscach</w:t>
      </w:r>
    </w:p>
    <w:p>
      <w:pPr>
        <w:pStyle w:val="ListBullet"/>
      </w:pPr>
      <w:r>
        <w:rPr>
          <w:b/>
        </w:rPr>
        <w:t>Wskaźnik W3 (1.2) i opis innowacji:</w:t>
      </w:r>
      <w:r>
        <w:rPr>
          <w:b w:val="0"/>
        </w:rPr>
        <w:t xml:space="preserve"> zdania typu „żadna praca nie opisuje detekcji zabezpieczeń CV” i „pierwsza implementacja CV” zmienić na „według dostępnej dokumentacji brak systemu analizy obrazu dla naczepy”, ostrożnie, bo takie zdanie łatwo zakwestionować.</w:t>
      </w:r>
    </w:p>
    <w:p>
      <w:pPr>
        <w:pStyle w:val="ListBullet"/>
      </w:pPr>
      <w:r>
        <w:rPr>
          <w:b/>
        </w:rPr>
        <w:t>Specyfikacja radaru:</w:t>
      </w:r>
      <w:r>
        <w:rPr>
          <w:b w:val="0"/>
        </w:rPr>
        <w:t xml:space="preserve"> wniosek podaje radar 77 GHz, a pozycja w budżecie (TI IWR6843) to pasmo 60 GHz. Ujednolicić pasmo w opisie, w Z2 i w pkt 2.5, bo od niego zależy ścieżka certyfikacji RED.</w:t>
      </w:r>
    </w:p>
    <w:p>
      <w:pPr>
        <w:pStyle w:val="ListBullet"/>
      </w:pPr>
      <w:r>
        <w:rPr>
          <w:b/>
        </w:rPr>
        <w:t>Pkt 2.5 w obecnym wniosku:</w:t>
      </w:r>
      <w:r>
        <w:rPr>
          <w:b w:val="0"/>
        </w:rPr>
        <w:t xml:space="preserve"> zdanie o flocie testowej „do testów (Z9) i demonstracji produktu pierwszym klientom” usunąć (K3-56). Odwołanie do integracji eFTI „opracowanej w Z8” poprawić na Z6.</w:t>
      </w:r>
    </w:p>
    <w:p>
      <w:pPr>
        <w:pStyle w:val="ListBullet"/>
      </w:pPr>
      <w:r>
        <w:rPr>
          <w:b/>
        </w:rPr>
        <w:t>Pkt 2.2, Przedmiot ochrony:</w:t>
      </w:r>
      <w:r>
        <w:rPr>
          <w:b w:val="0"/>
        </w:rPr>
        <w:t xml:space="preserve"> zdanie „time-to-market konkurenta 2-3 lata” i „patent na 40+ rynkach” zmienić na zgłoszenie EPO z wyznaczeniem państw wybranych po zgłoszeniu, bo koszty rozszerzenia nie są w projekcie.</w:t>
      </w:r>
    </w:p>
    <w:p>
      <w:pPr>
        <w:pStyle w:val="ListBullet"/>
      </w:pPr>
      <w:r>
        <w:rPr>
          <w:b/>
        </w:rPr>
        <w:t>Praktyka licencji:</w:t>
      </w:r>
      <w:r>
        <w:rPr>
          <w:b w:val="0"/>
        </w:rPr>
        <w:t xml:space="preserve"> w Z3 do kryteriów wyboru architektur dodać licencję (bez AGPL).</w:t>
      </w:r>
    </w:p>
    <w:p>
      <w:pPr>
        <w:pStyle w:val="Heading1"/>
      </w:pPr>
      <w:r>
        <w:t>6. Do decyzji i potwierdzenia</w:t>
      </w:r>
    </w:p>
    <w:p>
      <w:pPr>
        <w:pStyle w:val="ListBullet"/>
      </w:pPr>
      <w:r>
        <w:rPr>
          <w:b/>
        </w:rPr>
        <w:t>Prawa PRz (D36):</w:t>
      </w:r>
      <w:r>
        <w:rPr>
          <w:b w:val="0"/>
        </w:rPr>
        <w:t xml:space="preserve"> rozstrzygnięte na podstawie § 11 umowy konsorcjum, bez zmian w umowie. Zostaje potwierdzenie z PRz harmonogramu: oświadczenie po odbiorze Z8, wycena do 10/2029, przeniesienie do 30.11.2029.</w:t>
      </w:r>
    </w:p>
    <w:p>
      <w:pPr>
        <w:pStyle w:val="ListBullet"/>
      </w:pPr>
      <w:r>
        <w:rPr>
          <w:b/>
        </w:rPr>
        <w:t>Ocena rzecznika patentowego:</w:t>
      </w:r>
      <w:r>
        <w:rPr>
          <w:b w:val="0"/>
        </w:rPr>
        <w:t xml:space="preserve"> nie będzie zlecana. W tekście 3.1 nie ma już zdania o jej wykonaniu.</w:t>
      </w:r>
    </w:p>
    <w:p>
      <w:pPr>
        <w:pStyle w:val="ListBullet"/>
      </w:pPr>
      <w:r>
        <w:rPr>
          <w:b/>
        </w:rPr>
        <w:t>Podmiot produkcji i kompletacji zestawów</w:t>
      </w:r>
      <w:r>
        <w:rPr>
          <w:b w:val="0"/>
        </w:rPr>
        <w:t xml:space="preserve"> oraz sposób finansowania certyfikacji i pierwszej serii (kwoty).</w:t>
      </w:r>
    </w:p>
    <w:p>
      <w:pPr>
        <w:pStyle w:val="ListBullet"/>
      </w:pPr>
      <w:r>
        <w:rPr>
          <w:b/>
        </w:rPr>
        <w:t>Parametry zasobów:</w:t>
      </w:r>
      <w:r>
        <w:rPr>
          <w:b w:val="0"/>
        </w:rPr>
        <w:t xml:space="preserve"> godziny montażu i wsparcia, wolumen danych na pojazd, parametry instancji chmurowych.</w:t>
      </w:r>
    </w:p>
    <w:p>
      <w:pPr>
        <w:pStyle w:val="ListBullet"/>
      </w:pPr>
      <w:r>
        <w:rPr>
          <w:b/>
        </w:rPr>
        <w:t>Zakres Z11:</w:t>
      </w:r>
      <w:r>
        <w:rPr>
          <w:b w:val="0"/>
        </w:rPr>
        <w:t xml:space="preserve"> czy pozycja patentowa (33,3 tys. PLN) obejmuje wszystko, co opisano w pkt 2.2.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