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ZAPYTANIE O WSTĘPNĄ WYCENĘ</w:t>
      </w:r>
    </w:p>
    <w:p>
      <w:pPr>
        <w:spacing w:after="60" w:before="0" w:line="264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Opis zakresu i formularz wyceny orientacyjnej</w:t>
      </w:r>
    </w:p>
    <w:p>
      <w:pPr>
        <w:spacing w:after="160" w:before="0" w:line="264"/>
        <w:jc w:val="center"/>
      </w:pPr>
      <w:r>
        <w:rPr>
          <w:rFonts w:ascii="Calibri" w:cs="Calibri" w:eastAsia="Calibri" w:hAnsi="Calibri"/>
          <w:b/>
          <w:bCs/>
        </w:rPr>
        <w:t xml:space="preserve">Dostawa i uruchomienie ogólnodostępnych stacji ładowania DC dla pojazdów ciężarowych (6 szt.) wraz z oprogramowaniem i systemem monitorowania</w:t>
      </w:r>
    </w:p>
    <w:p>
      <w:pPr>
        <w:spacing w:after="100" w:before="0" w:line="264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Niniejsze zapytanie służy wyłącznie oszacowaniu wartości zamówienia. Wycena ma charakter informacyjny i niewiążący; nie jest zapytaniem ofertowym ani zobowiązaniem Zamawiającego do zawarcia umowy.</w:t>
      </w:r>
    </w:p>
    <w:p>
      <w:pPr>
        <w:keepNext/>
        <w:spacing w:after="80" w:before="160" w:line="264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Zamawiający i miejsce realizacji</w:t>
      </w:r>
    </w:p>
    <w:p>
      <w:pPr>
        <w:spacing w:after="100" w:before="0" w:line="264"/>
        <w:jc w:val="both"/>
      </w:pPr>
      <w:r>
        <w:rPr>
          <w:rFonts w:ascii="Calibri" w:cs="Calibri" w:eastAsia="Calibri" w:hAnsi="Calibri"/>
        </w:rPr>
        <w:t xml:space="preserve">MEGALOG Sp. z o.o., ul. Tysiąclecia 1, 06-400 Ciechanów (KRS 0000887792, NIP 5662027377). Miejsce realizacji: baza eksploatacyjna Zamawiającego, ul. Tysiąclecia 1, Ciechanów. Inwestycja jest współfinansowana ze środków NFOŚiGW (Fundusz Modernizacyjny).</w:t>
      </w:r>
    </w:p>
    <w:p>
      <w:pPr>
        <w:keepNext/>
        <w:spacing w:after="80" w:before="160" w:line="264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Zakres zamówienia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dostawa 6 stacji ładowania DC (terminali), każda z jednym punktem ładowania o mocy znamionowej co najmniej 360 kW, do obsługi pojazdów kat. N2/N3; preferowana konfiguracja: 3 jednostki przekształtnikowe 720 kW + 6 terminali 360 kW (dopuszczamy rozwiązania równoważne);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transport, rozładunek, ustawienie, montaż, połączenia wewnętrzne, konfiguracja i uruchomienie;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system OCPP, billing i płatności (płatność kartą debetową/kredytową bez rejestracji, prezentacja ceny za kWh przed sesją), otwarte interfejsy;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System monitorowania i zarządzania danymi dla obwodów zasilających punkty ładowania (element pomiarowy i system centralny);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dokumentacja techniczna i odbiorowa, szkolenie personelu, wsparcie techniczne przy odbiorach i badaniach UDT, gwarancja.</w:t>
      </w:r>
    </w:p>
    <w:p>
      <w:pPr>
        <w:spacing w:after="100" w:before="60" w:line="264"/>
        <w:jc w:val="both"/>
      </w:pPr>
      <w:r>
        <w:rPr>
          <w:rFonts w:ascii="Calibri" w:cs="Calibri" w:eastAsia="Calibri" w:hAnsi="Calibri"/>
          <w:b/>
          <w:bCs/>
        </w:rPr>
        <w:t xml:space="preserve">Poza zakresem:</w:t>
      </w:r>
      <w:r>
        <w:rPr>
          <w:rFonts w:ascii="Calibri" w:cs="Calibri" w:eastAsia="Calibri" w:hAnsi="Calibri"/>
        </w:rPr>
        <w:t xml:space="preserve"> roboty budowlane, fundamenty i stanowiska, trasy kablowe i zewnętrzne instalacje nN/DC, stacja transformatorowa SN/nN i przyłączenie, oświetlenie, infrastruktura teletechniczna (realizowane w odrębnych zamówieniach), uzgodnienia z OSD oraz integracja z nadrzędnym systemem zarządzania energią Zamawiającego (wymagane są wyłącznie otwarte interfejsy).</w:t>
      </w:r>
    </w:p>
    <w:p>
      <w:pPr>
        <w:keepNext/>
        <w:spacing w:after="80" w:before="160" w:line="264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Kluczowe wymagania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złącza CCS2/Combo 2 zgodne z EN 62196-3:2014; przewody o długości użytkowej min. 5 m (preferowane dwa przewody na terminal, w danej chwili aktywny jeden);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moc przyłączeniowa inwestycji ok. 2,2 MW (łączna moc DC 6 × 360 kW = 2,16 MW) – wymagany bilans mocy i zarządzanie mocą;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komunikacja OCPP 1.6-J lub równoważna; możliwość zmiany platformy operatorskiej bez wymiany urządzeń;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System monitorowania: pomiar 3 faz i przewodu neutralnego, klasa A wg IEC 61000-4-30, harmoniczne do co najmniej 50. rzędu, zaburzenia 2–148 kHz, rejestracja przepięć, min. 6 wejść binarnych, alarmowanie, system centralny z archiwizacją, cyberbezpieczeństwo, klasa FI1;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urządzenia fabrycznie nowe, wyprodukowane nie wcześniej niż 24 miesiące przed montażem; zgodność z zasadą DNSH;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gwarancja na całość zakresu co najmniej 60 miesięcy, liczona od protokołu UDT ostatniej stacji.</w:t>
      </w:r>
    </w:p>
    <w:p>
      <w:pPr>
        <w:spacing w:after="100" w:before="60" w:line="264"/>
        <w:jc w:val="both"/>
      </w:pPr>
      <w:r>
        <w:rPr>
          <w:rFonts w:ascii="Calibri" w:cs="Calibri" w:eastAsia="Calibri" w:hAnsi="Calibri"/>
        </w:rPr>
        <w:t xml:space="preserve">Szczegółowe wymagania oraz warunki udziału zostaną określone w zapytaniu ofertowym publikowanym na stronie https://megalog.pl/przetargi/.</w:t>
      </w:r>
    </w:p>
    <w:p>
      <w:pPr>
        <w:keepNext/>
        <w:spacing w:after="80" w:before="160" w:line="264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Terminy i warunki płatności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dostawa sprzętu na miejsce realizacji: nie później niż do 30.11.2026 r.; wykonanie zamówienia (dostawa, montaż, uruchomienie, testy, dokumentacja): do 15.12.2026 r.;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wniosek o badanie techniczne UDT zostanie złożony nie później niż do 31.12.2026 r.;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cena obejmuje koszty ponoszone do 31.12.2026 r. (opłaty za licencje okresowe, abonamenty i usługi za okres po tej dacie nie wchodzą w cenę);</w:t>
      </w:r>
    </w:p>
    <w:p>
      <w:pPr>
        <w:spacing w:after="50" w:before="0" w:line="264"/>
        <w:ind w:left="360" w:hanging="240"/>
        <w:jc w:val="left"/>
      </w:pPr>
      <w:r>
        <w:rPr>
          <w:rFonts w:ascii="Calibri" w:cs="Calibri" w:eastAsia="Calibri" w:hAnsi="Calibri"/>
        </w:rPr>
        <w:t xml:space="preserve">• płatności: zaliczka 50% wartości stacji ładowania (po złożeniu gwarancji zwrotu zaliczki), pozostała część w 14 dni od dostawy, pozostałe pozycje w transzach po odbiorach, 3% wartości po odbiorze końcowym.</w:t>
      </w:r>
    </w:p>
    <w:p>
      <w:pPr>
        <w:keepNext/>
        <w:spacing w:after="80" w:before="160" w:line="264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Formularz wyceny orientacyjnej</w:t>
      </w:r>
    </w:p>
    <w:p>
      <w:pPr>
        <w:spacing w:after="100" w:before="0" w:line="264"/>
        <w:jc w:val="left"/>
      </w:pPr>
      <w:r>
        <w:rPr>
          <w:rFonts w:ascii="Calibri" w:cs="Calibri" w:eastAsia="Calibri" w:hAnsi="Calibri"/>
        </w:rPr>
        <w:t xml:space="preserve">Wykonawca / firma: </w:t>
      </w:r>
      <w:r>
        <w:rPr>
          <w:rFonts w:ascii="Calibri" w:cs="Calibri" w:eastAsia="Calibri" w:hAnsi="Calibri"/>
          <w:highlight w:val="yellow"/>
        </w:rPr>
        <w:t xml:space="preserve">[nazwa, adres]</w:t>
      </w:r>
      <w:r>
        <w:rPr>
          <w:rFonts w:ascii="Calibri" w:cs="Calibri" w:eastAsia="Calibri" w:hAnsi="Calibri"/>
        </w:rPr>
        <w:t xml:space="preserve">     Osoba do kontaktu: </w:t>
      </w:r>
      <w:r>
        <w:rPr>
          <w:rFonts w:ascii="Calibri" w:cs="Calibri" w:eastAsia="Calibri" w:hAnsi="Calibri"/>
          <w:highlight w:val="yellow"/>
        </w:rPr>
        <w:t xml:space="preserve">[imię i nazwisko, telefon, e-mail]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38"/>
        <w:gridCol w:w="1900"/>
        <w:gridCol w:w="15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Lp.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Zakres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Cena netto [zł]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VAT [%]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stacji ładowania DC 360 kW wraz z 3 jednostkami przekształtnikowymi 720 kW lub rozwiązaniem równoważnym, przewodami i złączami CCS2, transportem, rozładunkiem, ustawieniem, montażem, połączeniami wewnętrznymi, konfiguracją i uruchomieniem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Protokół OCPP i billing (oprogramowanie, licencje) oraz system płatności (terminale płatnicze, integracja z operatorem płatności)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monitorowania i zarządzania danymi dla obwodów zasilających punkty ładowania wraz z osprzętem aktywnym (przełączniki, routery) i otwartymi interfejsami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Dokumentacja, szkolenie i wsparcie techniczne przy odbiorach i badaniach UDT (6 stacji)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</w:tr>
      <w:tr>
        <w:tc>
          <w:tcPr>
            <w:tcW w:type="dxa" w:w="62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RAZEM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</w:tr>
    </w:tbl>
    <w:p>
      <w:pPr>
        <w:spacing w:after="80" w:before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Możliwy termin dostawy (dni kalendarzowych od zawarcia umowy)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</w:tr>
      <w:t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Okres gwarancji [miesięcy]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</w:tr>
      <w:t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Producent i model oferowanych stacji / przekształtników (informacyjnie)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</w:tr>
      <w:t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Uwagi do zakresu lub wymagań mogące wpływać na cenę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  <w:jc w:val="left"/>
            </w:pPr>
          </w:p>
        </w:tc>
      </w:tr>
    </w:tbl>
    <w:p>
      <w:pPr>
        <w:spacing w:after="100" w:before="240" w:line="264"/>
        <w:jc w:val="left"/>
      </w:pPr>
      <w:r>
        <w:rPr>
          <w:rFonts w:ascii="Calibri" w:cs="Calibri" w:eastAsia="Calibri" w:hAnsi="Calibri"/>
        </w:rPr>
        <w:t xml:space="preserve">Data: ....................................          Podpis / pieczątka: ....................................</w:t>
      </w:r>
    </w:p>
    <w:p>
      <w:pPr>
        <w:spacing w:after="100" w:before="120" w:line="264"/>
        <w:jc w:val="both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Prosimy o odesłanie wypełnionego formularza na adres zamowienia@megalog.pl w terminie wskazanym w mailu. Dane przekazane w wycenie zostaną wykorzystane wyłącznie do oszacowania wartości zamówienia.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Zapytanie o wstępną wycenę – strona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z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Un-named</cp:lastModifiedBy>
  <cp:revision>1</cp:revision>
  <dcterms:created xsi:type="dcterms:W3CDTF">2026-10-29T08:09:51.976Z</dcterms:created>
  <dcterms:modified xsi:type="dcterms:W3CDTF">2026-10-29T08:09:51.989Z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