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0" w:lineRule="auto"/>
        <w:jc w:val="left"/>
      </w:pPr>
      <w:r>
        <w:rPr>
          <w:rFonts w:ascii="Century Gothic" w:hAnsi="Century Gothic"/>
          <w:b/>
          <w:sz w:val="22"/>
        </w:rPr>
        <w:t xml:space="preserve">Megalog spółka z ograniczoną odpowiedzialnością</w:t>
      </w:r>
    </w:p>
    <w:p>
      <w:pPr>
        <w:spacing w:before="0" w:after="0" w:line="260" w:lineRule="auto"/>
        <w:jc w:val="left"/>
      </w:pPr>
      <w:r>
        <w:rPr>
          <w:rFonts w:ascii="Century Gothic" w:hAnsi="Century Gothic"/>
          <w:sz w:val="22"/>
        </w:rPr>
        <w:t xml:space="preserve">ul. Tysiąclecia 1, 06-400 Ciechanów</w:t>
      </w:r>
    </w:p>
    <w:p>
      <w:pPr>
        <w:spacing w:before="0" w:after="120" w:line="260" w:lineRule="auto"/>
        <w:jc w:val="left"/>
      </w:pPr>
      <w:r>
        <w:rPr>
          <w:rFonts w:ascii="Century Gothic" w:hAnsi="Century Gothic"/>
          <w:sz w:val="22"/>
        </w:rPr>
        <w:t xml:space="preserve">tel. +48 500 415 515, e-mail: info@megalog.pl</w:t>
      </w:r>
    </w:p>
    <w:p>
      <w:pPr>
        <w:spacing w:before="0" w:after="240" w:line="260" w:lineRule="auto"/>
        <w:jc w:val="right"/>
      </w:pPr>
      <w:r>
        <w:rPr>
          <w:rFonts w:ascii="Century Gothic" w:hAnsi="Century Gothic"/>
          <w:sz w:val="22"/>
        </w:rPr>
        <w:t xml:space="preserve">Ciechanów, 14.10.2026 r.</w:t>
      </w:r>
    </w:p>
    <w:p>
      <w:pPr>
        <w:spacing w:before="0" w:after="240" w:line="260" w:lineRule="auto"/>
        <w:jc w:val="center"/>
      </w:pPr>
      <w:r>
        <w:rPr>
          <w:rFonts w:ascii="Century Gothic" w:hAnsi="Century Gothic"/>
          <w:b/>
          <w:sz w:val="22"/>
        </w:rPr>
        <w:t xml:space="preserve">KLAUZULA INFORMACYJNA</w:t>
      </w:r>
    </w:p>
    <w:p>
      <w:pPr>
        <w:spacing w:before="0" w:after="120" w:line="260" w:lineRule="auto"/>
        <w:jc w:val="both"/>
      </w:pPr>
      <w:r>
        <w:rPr>
          <w:rFonts w:ascii="Century Gothic" w:hAnsi="Century Gothic"/>
          <w:sz w:val="22"/>
        </w:rPr>
        <w:t xml:space="preserve">Zgodnie z art. 13 i art. 14 rozporządzenia Parlamentu Europejskiego i Rady (UE) 2016/679 z dnia 27 kwietnia 2016 r. w sprawie ochrony osób fizycznych w związku z przetwarzaniem danych osobowych i w sprawie swobodnego przepływu takich danych oraz uchylenia dyrektywy 95/46/WE (RODO) oraz § 18 Umowy nr 393/2026/Wn7/OA-IN-FM/D o dofinansowanie realizacji inwestycji ze środków NFOŚiGW zgromadzonych na rachunku Funduszu Modernizacyjnego w formie dotacji (dalej: Umowa), zawartej z Narodowym Funduszem Ochrony Środowiska i Gospodarki Wodnej – Krajowym Operatorem Funduszu Modernizacyjnego, z siedzibą w Warszawie, ul. Pańska 97, 00-834 Warszawa (dalej: NFOŚiGW), informujemy, iż:</w:t>
      </w:r>
    </w:p>
    <w:p>
      <w:pPr>
        <w:spacing w:before="0" w:after="120" w:line="260" w:lineRule="auto"/>
        <w:ind w:left="567" w:hanging="425"/>
        <w:jc w:val="both"/>
      </w:pPr>
      <w:r>
        <w:rPr>
          <w:rFonts w:ascii="Century Gothic" w:hAnsi="Century Gothic"/>
          <w:sz w:val="22"/>
        </w:rPr>
        <w:t xml:space="preserve">1.</w:t>
      </w:r>
      <w:r>
        <w:tab/>
      </w:r>
      <w:r>
        <w:rPr>
          <w:rFonts w:ascii="Century Gothic" w:hAnsi="Century Gothic"/>
          <w:sz w:val="22"/>
        </w:rPr>
        <w:t xml:space="preserve">Administratorem danych osobowych jest Megalog spółka z ograniczoną odpowiedzialnością z siedzibą w Ciechanowie, ul. Tysiąclecia 1, 06-400 Ciechanów, wpisana do rejestru przedsiębiorców Krajowego Rejestru Sądowego pod numerem KRS 0000887792, NIP: 5662027377, REGON: 388383405 (dalej: Administrator lub Spółka). Dane kontaktowe: Megalog sp. z o.o., ul. Tysiąclecia 1, 06-400 Ciechanów, tel. +48 500 415 515, e-mail: info@megalog.pl.</w:t>
      </w:r>
    </w:p>
    <w:p>
      <w:pPr>
        <w:spacing w:before="0" w:after="120" w:line="260" w:lineRule="auto"/>
        <w:ind w:left="567" w:hanging="425"/>
        <w:jc w:val="both"/>
      </w:pPr>
      <w:r>
        <w:rPr>
          <w:rFonts w:ascii="Century Gothic" w:hAnsi="Century Gothic"/>
          <w:sz w:val="22"/>
        </w:rPr>
        <w:t xml:space="preserve">2.</w:t>
      </w:r>
      <w:r>
        <w:tab/>
      </w:r>
      <w:r>
        <w:rPr>
          <w:rFonts w:ascii="Century Gothic" w:hAnsi="Century Gothic"/>
          <w:sz w:val="22"/>
        </w:rPr>
        <w:t xml:space="preserve">Administrator nie wyznaczył inspektora ochrony danych. W sprawach dotyczących przetwarzania danych osobowych i wykonywania przysługujących praw można kontaktować się z Administratorem pod adresem e-mail: info@megalog.pl lub pisemnie na adres siedziby Administratora.</w:t>
      </w:r>
    </w:p>
    <w:p>
      <w:pPr>
        <w:spacing w:before="0" w:after="120" w:line="260" w:lineRule="auto"/>
        <w:ind w:left="567" w:hanging="425"/>
        <w:jc w:val="both"/>
      </w:pPr>
      <w:r>
        <w:rPr>
          <w:rFonts w:ascii="Century Gothic" w:hAnsi="Century Gothic"/>
          <w:sz w:val="22"/>
        </w:rPr>
        <w:t xml:space="preserve">3.</w:t>
      </w:r>
      <w:r>
        <w:tab/>
      </w:r>
      <w:r>
        <w:rPr>
          <w:rFonts w:ascii="Century Gothic" w:hAnsi="Century Gothic"/>
          <w:sz w:val="22"/>
        </w:rPr>
        <w:t xml:space="preserve">Dane osobowe reprezentantów, pełnomocników, pracowników i współpracowników NFOŚiGW oraz Spółki, wskazanych do wykonywania Umowy, przetwarzane są w celu realizacji przedsięwzięcia pn. „Budowa stacji ładowania dla pojazdów kat. N2/N3 w bazie eksploatacyjnej MEGALOG sp. z o.o. w Ciechanowie przy ul. Tysiąclecia 1”, tj. w celu:</w:t>
      </w:r>
    </w:p>
    <w:p>
      <w:pPr>
        <w:spacing w:before="0" w:after="60" w:line="260" w:lineRule="auto"/>
        <w:ind w:left="992" w:hanging="425"/>
        <w:jc w:val="both"/>
      </w:pPr>
      <w:r>
        <w:rPr>
          <w:rFonts w:ascii="Century Gothic" w:hAnsi="Century Gothic"/>
          <w:sz w:val="22"/>
        </w:rPr>
        <w:t xml:space="preserve">–</w:t>
      </w:r>
      <w:r>
        <w:tab/>
      </w:r>
      <w:r>
        <w:rPr>
          <w:rFonts w:ascii="Century Gothic" w:hAnsi="Century Gothic"/>
          <w:sz w:val="22"/>
        </w:rPr>
        <w:t xml:space="preserve">udokumentowania, wykonywania i rozliczania Umowy, w tym komunikowania się w jej sprawach, weryfikacji umocowania do działania w imieniu stron oraz realizacji obowiązków informacyjnych, sprawozdawczych i kontrolnych wynikających z Umowy,</w:t>
      </w:r>
    </w:p>
    <w:p>
      <w:pPr>
        <w:spacing w:before="0" w:after="60" w:line="260" w:lineRule="auto"/>
        <w:ind w:left="992" w:hanging="425"/>
        <w:jc w:val="both"/>
      </w:pPr>
      <w:r>
        <w:rPr>
          <w:rFonts w:ascii="Century Gothic" w:hAnsi="Century Gothic"/>
          <w:sz w:val="22"/>
        </w:rPr>
        <w:t xml:space="preserve">–</w:t>
      </w:r>
      <w:r>
        <w:tab/>
      </w:r>
      <w:r>
        <w:rPr>
          <w:rFonts w:ascii="Century Gothic" w:hAnsi="Century Gothic"/>
          <w:sz w:val="22"/>
        </w:rPr>
        <w:t xml:space="preserve">wypełnienia obowiązków prawnych ciążących na Administratorze, w szczególności podatkowych i rachunkowych, w tym archiwizacji dokumentacji związanej z Umową,</w:t>
      </w:r>
    </w:p>
    <w:p>
      <w:pPr>
        <w:spacing w:before="0" w:after="60" w:line="260" w:lineRule="auto"/>
        <w:ind w:left="992" w:hanging="425"/>
        <w:jc w:val="both"/>
      </w:pPr>
      <w:r>
        <w:rPr>
          <w:rFonts w:ascii="Century Gothic" w:hAnsi="Century Gothic"/>
          <w:sz w:val="22"/>
        </w:rPr>
        <w:t xml:space="preserve">–</w:t>
      </w:r>
      <w:r>
        <w:tab/>
      </w:r>
      <w:r>
        <w:rPr>
          <w:rFonts w:ascii="Century Gothic" w:hAnsi="Century Gothic"/>
          <w:sz w:val="22"/>
        </w:rPr>
        <w:t xml:space="preserve">ustalenia, dochodzenia lub obrony roszczeń związanych z Umową.</w:t>
      </w:r>
    </w:p>
    <w:p>
      <w:pPr>
        <w:spacing w:before="0" w:after="120" w:line="260" w:lineRule="auto"/>
        <w:ind w:left="567" w:hanging="425"/>
        <w:jc w:val="both"/>
      </w:pPr>
      <w:r>
        <w:rPr>
          <w:rFonts w:ascii="Century Gothic" w:hAnsi="Century Gothic"/>
          <w:sz w:val="22"/>
        </w:rPr>
        <w:t xml:space="preserve">4.</w:t>
      </w:r>
      <w:r>
        <w:tab/>
      </w:r>
      <w:r>
        <w:rPr>
          <w:rFonts w:ascii="Century Gothic" w:hAnsi="Century Gothic"/>
          <w:sz w:val="22"/>
        </w:rPr>
        <w:t xml:space="preserve">Podstawą przetwarzania danych osobowych jest:</w:t>
      </w:r>
    </w:p>
    <w:p>
      <w:pPr>
        <w:spacing w:before="0" w:after="60" w:line="260" w:lineRule="auto"/>
        <w:ind w:left="992" w:hanging="425"/>
        <w:jc w:val="both"/>
      </w:pPr>
      <w:r>
        <w:rPr>
          <w:rFonts w:ascii="Century Gothic" w:hAnsi="Century Gothic"/>
          <w:sz w:val="22"/>
        </w:rPr>
        <w:t xml:space="preserve">–</w:t>
      </w:r>
      <w:r>
        <w:tab/>
      </w:r>
      <w:r>
        <w:rPr>
          <w:rFonts w:ascii="Century Gothic" w:hAnsi="Century Gothic"/>
          <w:sz w:val="22"/>
        </w:rPr>
        <w:t xml:space="preserve">art. 6 ust. 1 lit. f RODO – prawnie uzasadniony interes Administratora polegający na prawidłowym wykonaniu Umowy oraz na możliwości ustalenia, dochodzenia lub obrony roszczeń,</w:t>
      </w:r>
    </w:p>
    <w:p>
      <w:pPr>
        <w:spacing w:before="0" w:after="60" w:line="260" w:lineRule="auto"/>
        <w:ind w:left="992" w:hanging="425"/>
        <w:jc w:val="both"/>
      </w:pPr>
      <w:r>
        <w:rPr>
          <w:rFonts w:ascii="Century Gothic" w:hAnsi="Century Gothic"/>
          <w:sz w:val="22"/>
        </w:rPr>
        <w:t xml:space="preserve">–</w:t>
      </w:r>
      <w:r>
        <w:tab/>
      </w:r>
      <w:r>
        <w:rPr>
          <w:rFonts w:ascii="Century Gothic" w:hAnsi="Century Gothic"/>
          <w:sz w:val="22"/>
        </w:rPr>
        <w:t xml:space="preserve">art. 6 ust. 1 lit. c RODO – niezbędność wypełnienia przez Administratora obowiązku prawnego wynikającego z przepisów podatkowych i o rachunkowości (w szczególności ustawy z dnia 29 sierpnia 1997 r. – Ordynacja podatkowa oraz ustawy z dnia 29 września 1994 r. o rachunkowości).</w:t>
      </w:r>
    </w:p>
    <w:p>
      <w:pPr>
        <w:spacing w:before="0" w:after="120" w:line="260" w:lineRule="auto"/>
        <w:ind w:left="567" w:hanging="425"/>
        <w:jc w:val="both"/>
      </w:pPr>
      <w:r>
        <w:rPr>
          <w:rFonts w:ascii="Century Gothic" w:hAnsi="Century Gothic"/>
          <w:sz w:val="22"/>
        </w:rPr>
        <w:t xml:space="preserve">5.</w:t>
      </w:r>
      <w:r>
        <w:tab/>
      </w:r>
      <w:r>
        <w:rPr>
          <w:rFonts w:ascii="Century Gothic" w:hAnsi="Century Gothic"/>
          <w:sz w:val="22"/>
        </w:rPr>
        <w:t xml:space="preserve">Administrator przetwarza następujące kategorie danych osobowych: imię i nazwisko, stanowisko lub pełnioną funkcję, służbowe dane kontaktowe (adres e-mail, numer telefonu), podpis lub kwalifikowany podpis elektroniczny oraz dane dotyczące umocowania do działania w imieniu strony Umowy. Dane pochodzą od NFOŚiGW (w odniesieniu do jego reprezentantów, pracowników i współpracowników), bezpośrednio od osoby, której dotyczą, lub od Spółki (w odniesieniu do jej reprezentantów, pracowników i współpracowników) oraz z publicznie dostępnych rejestrów (w szczególności Krajowego Rejestru Sądowego).</w:t>
      </w:r>
    </w:p>
    <w:p>
      <w:pPr>
        <w:spacing w:before="0" w:after="120" w:line="260" w:lineRule="auto"/>
        <w:ind w:left="567" w:hanging="425"/>
        <w:jc w:val="both"/>
      </w:pPr>
      <w:r>
        <w:rPr>
          <w:rFonts w:ascii="Century Gothic" w:hAnsi="Century Gothic"/>
          <w:sz w:val="22"/>
        </w:rPr>
        <w:t xml:space="preserve">6.</w:t>
      </w:r>
      <w:r>
        <w:tab/>
      </w:r>
      <w:r>
        <w:rPr>
          <w:rFonts w:ascii="Century Gothic" w:hAnsi="Century Gothic"/>
          <w:sz w:val="22"/>
        </w:rPr>
        <w:t xml:space="preserve">Dane osobowe będą udostępniane NFOŚiGW jako stronie Umowy oraz podmiotom uprawnionym do kontroli lub audytu wykorzystania dofinansowania, w tym instytucjom kontrolnym i audytowym krajowym oraz Unii Europejskiej, a także innym podmiotom, jeżeli wynika to z realizacji uprawnienia lub obowiązku określonego w przepisach prawa. Administrator powierza przetwarzanie danych osobowych podmiotom świadczącym na jego rzecz usługi informatyczne, księgowo-finansowe i prawne na podstawie umów powierzenia i wyłącznie zgodnie z jego poleceniami. Dane mogą być również udostępniane operatorom pocztowym i firmom kurierskim.</w:t>
      </w:r>
    </w:p>
    <w:p>
      <w:pPr>
        <w:spacing w:before="0" w:after="120" w:line="260" w:lineRule="auto"/>
        <w:ind w:left="567" w:hanging="425"/>
        <w:jc w:val="both"/>
      </w:pPr>
      <w:r>
        <w:rPr>
          <w:rFonts w:ascii="Century Gothic" w:hAnsi="Century Gothic"/>
          <w:sz w:val="22"/>
        </w:rPr>
        <w:t xml:space="preserve">7.</w:t>
      </w:r>
      <w:r>
        <w:tab/>
      </w:r>
      <w:r>
        <w:rPr>
          <w:rFonts w:ascii="Century Gothic" w:hAnsi="Century Gothic"/>
          <w:sz w:val="22"/>
        </w:rPr>
        <w:t xml:space="preserve">Dane osobowe nie będą przekazywane do państw trzecich ani organizacji międzynarodowych.</w:t>
      </w:r>
    </w:p>
    <w:p>
      <w:pPr>
        <w:spacing w:before="0" w:after="120" w:line="260" w:lineRule="auto"/>
        <w:ind w:left="567" w:hanging="425"/>
        <w:jc w:val="both"/>
      </w:pPr>
      <w:r>
        <w:rPr>
          <w:rFonts w:ascii="Century Gothic" w:hAnsi="Century Gothic"/>
          <w:sz w:val="22"/>
        </w:rPr>
        <w:t xml:space="preserve">8.</w:t>
      </w:r>
      <w:r>
        <w:tab/>
      </w:r>
      <w:r>
        <w:rPr>
          <w:rFonts w:ascii="Century Gothic" w:hAnsi="Century Gothic"/>
          <w:sz w:val="22"/>
        </w:rPr>
        <w:t xml:space="preserve">Dane osobowe będą przechowywane w okresie wykonywania Umowy, obejmującym okres trwałości inwestycji określony w Umowie, a następnie przez okres wymagany przepisami prawa, w szczególności przepisami podatkowymi i o rachunkowości (co do zasady 5 lat liczonych od końca roku kalendarzowego, w którym powstał obowiązek podatkowy lub zakończono rok obrotowy, w którym operacja została ostatecznie rozliczona), a w zakresie ustalenia, dochodzenia lub obrony roszczeń – do upływu terminu ich przedawnienia.</w:t>
      </w:r>
    </w:p>
    <w:p>
      <w:pPr>
        <w:spacing w:before="0" w:after="120" w:line="260" w:lineRule="auto"/>
        <w:ind w:left="567" w:hanging="425"/>
        <w:jc w:val="both"/>
      </w:pPr>
      <w:r>
        <w:rPr>
          <w:rFonts w:ascii="Century Gothic" w:hAnsi="Century Gothic"/>
          <w:sz w:val="22"/>
        </w:rPr>
        <w:t xml:space="preserve">9.</w:t>
      </w:r>
      <w:r>
        <w:tab/>
      </w:r>
      <w:r>
        <w:rPr>
          <w:rFonts w:ascii="Century Gothic" w:hAnsi="Century Gothic"/>
          <w:sz w:val="22"/>
        </w:rPr>
        <w:t xml:space="preserve">Osobie, której dane są przetwarzane, przysługuje prawo żądania od Administratora dostępu do danych osobowych jej dotyczących (art. 15 RODO), ich sprostowania (art. 16 RODO), usunięcia (art. 17 RODO) lub ograniczenia przetwarzania (art. 18 RODO) – na warunkach określonych w tych przepisach. Prawa te można zrealizować, pisząc na adres e-mail: info@megalog.pl.</w:t>
      </w:r>
    </w:p>
    <w:p>
      <w:pPr>
        <w:spacing w:before="0" w:after="120" w:line="260" w:lineRule="auto"/>
        <w:ind w:left="567" w:hanging="425"/>
        <w:jc w:val="both"/>
      </w:pPr>
      <w:r>
        <w:rPr>
          <w:rFonts w:ascii="Century Gothic" w:hAnsi="Century Gothic"/>
          <w:sz w:val="22"/>
        </w:rPr>
        <w:t xml:space="preserve">10.</w:t>
      </w:r>
      <w:r>
        <w:tab/>
      </w:r>
      <w:r>
        <w:rPr>
          <w:rFonts w:ascii="Century Gothic" w:hAnsi="Century Gothic"/>
          <w:b/>
          <w:sz w:val="22"/>
        </w:rPr>
        <w:t xml:space="preserve">Osobie, której dane są przetwarzane, przysługuje prawo wniesienia sprzeciwu wobec przetwarzania danych ze względu na jej szczególną sytuację (art. 21 RODO), w zakresie, w jakim dane przetwarzane są na podstawie prawnie uzasadnionego interesu Administratora (art. 6 ust. 1 lit. f RODO).</w:t>
      </w:r>
    </w:p>
    <w:p>
      <w:pPr>
        <w:spacing w:before="0" w:after="120" w:line="260" w:lineRule="auto"/>
        <w:ind w:left="567" w:hanging="425"/>
        <w:jc w:val="both"/>
      </w:pPr>
      <w:r>
        <w:rPr>
          <w:rFonts w:ascii="Century Gothic" w:hAnsi="Century Gothic"/>
          <w:sz w:val="22"/>
        </w:rPr>
        <w:t xml:space="preserve">11.</w:t>
      </w:r>
      <w:r>
        <w:tab/>
      </w:r>
      <w:r>
        <w:rPr>
          <w:rFonts w:ascii="Century Gothic" w:hAnsi="Century Gothic"/>
          <w:sz w:val="22"/>
        </w:rPr>
        <w:t xml:space="preserve">Osobie, której dane są przetwarzane, przysługuje prawo wniesienia skargi do Prezesa Urzędu Ochrony Danych Osobowych (ul. Stawki 2, 00-193 Warszawa) lub do organu nadzorczego innego państwa członkowskiego Unii Europejskiej, właściwego ze względu na miejsce zwykłego pobytu lub pracy lub miejsce domniemanego naruszenia RODO.</w:t>
      </w:r>
    </w:p>
    <w:p>
      <w:pPr>
        <w:spacing w:before="0" w:after="120" w:line="260" w:lineRule="auto"/>
        <w:ind w:left="567" w:hanging="425"/>
        <w:jc w:val="both"/>
      </w:pPr>
      <w:r>
        <w:rPr>
          <w:rFonts w:ascii="Century Gothic" w:hAnsi="Century Gothic"/>
          <w:sz w:val="22"/>
        </w:rPr>
        <w:t xml:space="preserve">12.</w:t>
      </w:r>
      <w:r>
        <w:tab/>
      </w:r>
      <w:r>
        <w:rPr>
          <w:rFonts w:ascii="Century Gothic" w:hAnsi="Century Gothic"/>
          <w:sz w:val="22"/>
        </w:rPr>
        <w:t xml:space="preserve">Dane osobowe nie będą przedmiotem zautomatyzowanego podejmowania decyzji, w tym profilowania, o którym mowa w art. 22 ust. 1 i 4 RODO.</w:t>
      </w:r>
    </w:p>
    <w:p>
      <w:pPr>
        <w:spacing w:before="0" w:after="120" w:line="260" w:lineRule="auto"/>
        <w:ind w:left="567" w:hanging="425"/>
        <w:jc w:val="both"/>
      </w:pPr>
      <w:r>
        <w:rPr>
          <w:rFonts w:ascii="Century Gothic" w:hAnsi="Century Gothic"/>
          <w:sz w:val="22"/>
        </w:rPr>
        <w:t xml:space="preserve">13.</w:t>
      </w:r>
      <w:r>
        <w:tab/>
      </w:r>
      <w:r>
        <w:rPr>
          <w:rFonts w:ascii="Century Gothic" w:hAnsi="Century Gothic"/>
          <w:sz w:val="22"/>
        </w:rPr>
        <w:t xml:space="preserve">Podanie danych osobowych jest dobrowolne, jednak niezbędne do udziału danej osoby w czynnościach związanych z realizacją Umowy w imieniu strony. W przypadku niepodania danych udział tej osoby w realizacji Umowy nie będzie możliwy.</w:t>
      </w:r>
    </w:p>
    <w:p>
      <w:pPr>
        <w:spacing w:before="0" w:after="480" w:line="260" w:lineRule="auto"/>
        <w:jc w:val="both"/>
      </w:pPr>
      <w:r>
        <w:rPr>
          <w:rFonts w:ascii="Century Gothic" w:hAnsi="Century Gothic"/>
          <w:sz w:val="22"/>
        </w:rPr>
        <w:t xml:space="preserve"/>
      </w:r>
    </w:p>
    <w:p>
      <w:pPr>
        <w:spacing w:before="0" w:after="0" w:line="260" w:lineRule="auto"/>
        <w:jc w:val="right"/>
      </w:pPr>
      <w:r>
        <w:rPr>
          <w:rFonts w:ascii="Century Gothic" w:hAnsi="Century Gothic"/>
          <w:b/>
          <w:sz w:val="22"/>
        </w:rPr>
        <w:t xml:space="preserve">Megalog sp. z o.o.</w:t>
      </w:r>
    </w:p>
    <w:sectPr w:rsidR="00625BB6">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EE"/>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550"/>
    <w:multiLevelType w:val="multilevel"/>
    <w:tmpl w:val="7C80C9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5874A7"/>
    <w:multiLevelType w:val="multilevel"/>
    <w:tmpl w:val="FDD2134E"/>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2" w15:restartNumberingAfterBreak="0">
    <w:nsid w:val="588F379F"/>
    <w:multiLevelType w:val="multilevel"/>
    <w:tmpl w:val="F83EFE00"/>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3" w15:restartNumberingAfterBreak="0">
    <w:nsid w:val="614D2007"/>
    <w:multiLevelType w:val="multilevel"/>
    <w:tmpl w:val="E3EA2FE4"/>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abstractNum w:abstractNumId="4" w15:restartNumberingAfterBreak="0">
    <w:nsid w:val="732404FE"/>
    <w:multiLevelType w:val="multilevel"/>
    <w:tmpl w:val="5AA6E6BC"/>
    <w:lvl w:ilvl="0">
      <w:start w:val="1"/>
      <w:numFmt w:val="lowerLetter"/>
      <w:lvlText w:val="%1)"/>
      <w:lvlJc w:val="left"/>
      <w:pPr>
        <w:tabs>
          <w:tab w:val="num" w:pos="0"/>
        </w:tabs>
        <w:ind w:left="153" w:hanging="360"/>
      </w:pPr>
    </w:lvl>
    <w:lvl w:ilvl="1">
      <w:start w:val="1"/>
      <w:numFmt w:val="lowerLetter"/>
      <w:lvlText w:val="%2."/>
      <w:lvlJc w:val="left"/>
      <w:pPr>
        <w:tabs>
          <w:tab w:val="num" w:pos="0"/>
        </w:tabs>
        <w:ind w:left="873" w:hanging="360"/>
      </w:pPr>
    </w:lvl>
    <w:lvl w:ilvl="2">
      <w:start w:val="1"/>
      <w:numFmt w:val="lowerRoman"/>
      <w:lvlText w:val="%3."/>
      <w:lvlJc w:val="right"/>
      <w:pPr>
        <w:tabs>
          <w:tab w:val="num" w:pos="0"/>
        </w:tabs>
        <w:ind w:left="1593" w:hanging="180"/>
      </w:pPr>
    </w:lvl>
    <w:lvl w:ilvl="3">
      <w:start w:val="1"/>
      <w:numFmt w:val="decimal"/>
      <w:lvlText w:val="%4."/>
      <w:lvlJc w:val="left"/>
      <w:pPr>
        <w:tabs>
          <w:tab w:val="num" w:pos="0"/>
        </w:tabs>
        <w:ind w:left="2313" w:hanging="360"/>
      </w:pPr>
    </w:lvl>
    <w:lvl w:ilvl="4">
      <w:start w:val="1"/>
      <w:numFmt w:val="lowerLetter"/>
      <w:lvlText w:val="%5."/>
      <w:lvlJc w:val="left"/>
      <w:pPr>
        <w:tabs>
          <w:tab w:val="num" w:pos="0"/>
        </w:tabs>
        <w:ind w:left="3033" w:hanging="360"/>
      </w:pPr>
    </w:lvl>
    <w:lvl w:ilvl="5">
      <w:start w:val="1"/>
      <w:numFmt w:val="lowerRoman"/>
      <w:lvlText w:val="%6."/>
      <w:lvlJc w:val="right"/>
      <w:pPr>
        <w:tabs>
          <w:tab w:val="num" w:pos="0"/>
        </w:tabs>
        <w:ind w:left="3753" w:hanging="180"/>
      </w:pPr>
    </w:lvl>
    <w:lvl w:ilvl="6">
      <w:start w:val="1"/>
      <w:numFmt w:val="decimal"/>
      <w:lvlText w:val="%7."/>
      <w:lvlJc w:val="left"/>
      <w:pPr>
        <w:tabs>
          <w:tab w:val="num" w:pos="0"/>
        </w:tabs>
        <w:ind w:left="4473" w:hanging="360"/>
      </w:pPr>
    </w:lvl>
    <w:lvl w:ilvl="7">
      <w:start w:val="1"/>
      <w:numFmt w:val="lowerLetter"/>
      <w:lvlText w:val="%8."/>
      <w:lvlJc w:val="left"/>
      <w:pPr>
        <w:tabs>
          <w:tab w:val="num" w:pos="0"/>
        </w:tabs>
        <w:ind w:left="5193" w:hanging="360"/>
      </w:pPr>
    </w:lvl>
    <w:lvl w:ilvl="8">
      <w:start w:val="1"/>
      <w:numFmt w:val="lowerRoman"/>
      <w:lvlText w:val="%9."/>
      <w:lvlJc w:val="right"/>
      <w:pPr>
        <w:tabs>
          <w:tab w:val="num" w:pos="0"/>
        </w:tabs>
        <w:ind w:left="5913" w:hanging="180"/>
      </w:pPr>
    </w:lvl>
  </w:abstractNum>
  <w:num w:numId="1" w16cid:durableId="1135178258">
    <w:abstractNumId w:val="4"/>
  </w:num>
  <w:num w:numId="2" w16cid:durableId="12801554">
    <w:abstractNumId w:val="3"/>
  </w:num>
  <w:num w:numId="3" w16cid:durableId="1287351133">
    <w:abstractNumId w:val="2"/>
  </w:num>
  <w:num w:numId="4" w16cid:durableId="890967086">
    <w:abstractNumId w:val="1"/>
  </w:num>
  <w:num w:numId="5" w16cid:durableId="108287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B6"/>
    <w:rsid w:val="00102030"/>
    <w:rsid w:val="002B0DBB"/>
    <w:rsid w:val="002D45EE"/>
    <w:rsid w:val="0058397D"/>
    <w:rsid w:val="005F2378"/>
    <w:rsid w:val="00625BB6"/>
    <w:rsid w:val="00AB1D71"/>
    <w:rsid w:val="00DA24F1"/>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C45F"/>
  <w15:docId w15:val="{0BB1511F-6215-1F4B-A1FF-9F20A71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279DD"/>
    <w:pPr>
      <w:spacing w:after="200" w:line="276" w:lineRule="auto"/>
    </w:pPr>
    <w:rPr>
      <w:rFonts w:ascii="Calibri" w:eastAsia="Calibri" w:hAnsi="Calibri"/>
      <w:kern w:val="0"/>
      <w:sz w:val="22"/>
      <w:szCs w:val="22"/>
      <w14:ligatures w14:val="none"/>
    </w:rPr>
  </w:style>
  <w:style w:type="paragraph" w:styleId="Nagwek1">
    <w:name w:val="heading 1"/>
    <w:basedOn w:val="Normalny"/>
    <w:next w:val="Normalny"/>
    <w:link w:val="Nagwek1Znak"/>
    <w:uiPriority w:val="9"/>
    <w:qFormat/>
    <w:rsid w:val="00327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327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3279D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3279D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3279D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3279DD"/>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279DD"/>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279DD"/>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279DD"/>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qFormat/>
    <w:rsid w:val="003279D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qFormat/>
    <w:rsid w:val="003279D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qFormat/>
    <w:rsid w:val="003279D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qFormat/>
    <w:rsid w:val="003279D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qFormat/>
    <w:rsid w:val="003279D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qFormat/>
    <w:rsid w:val="003279D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3279D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3279D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3279DD"/>
    <w:rPr>
      <w:rFonts w:eastAsiaTheme="majorEastAsia" w:cstheme="majorBidi"/>
      <w:color w:val="272727" w:themeColor="text1" w:themeTint="D8"/>
    </w:rPr>
  </w:style>
  <w:style w:type="character" w:customStyle="1" w:styleId="TytuZnak">
    <w:name w:val="Tytuł Znak"/>
    <w:basedOn w:val="Domylnaczcionkaakapitu"/>
    <w:link w:val="Tytu"/>
    <w:uiPriority w:val="10"/>
    <w:qFormat/>
    <w:rsid w:val="003279DD"/>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link w:val="Podtytu"/>
    <w:uiPriority w:val="11"/>
    <w:qFormat/>
    <w:rsid w:val="003279DD"/>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3279DD"/>
    <w:rPr>
      <w:i/>
      <w:iCs/>
      <w:color w:val="404040" w:themeColor="text1" w:themeTint="BF"/>
    </w:rPr>
  </w:style>
  <w:style w:type="character" w:styleId="Wyrnienieintensywne">
    <w:name w:val="Intense Emphasis"/>
    <w:basedOn w:val="Domylnaczcionkaakapitu"/>
    <w:uiPriority w:val="21"/>
    <w:qFormat/>
    <w:rsid w:val="003279DD"/>
    <w:rPr>
      <w:i/>
      <w:iCs/>
      <w:color w:val="2F5496" w:themeColor="accent1" w:themeShade="BF"/>
    </w:rPr>
  </w:style>
  <w:style w:type="character" w:customStyle="1" w:styleId="CytatintensywnyZnak">
    <w:name w:val="Cytat intensywny Znak"/>
    <w:basedOn w:val="Domylnaczcionkaakapitu"/>
    <w:link w:val="Cytatintensywny"/>
    <w:uiPriority w:val="30"/>
    <w:qFormat/>
    <w:rsid w:val="003279DD"/>
    <w:rPr>
      <w:i/>
      <w:iCs/>
      <w:color w:val="2F5496" w:themeColor="accent1" w:themeShade="BF"/>
    </w:rPr>
  </w:style>
  <w:style w:type="character" w:styleId="Odwoanieintensywne">
    <w:name w:val="Intense Reference"/>
    <w:basedOn w:val="Domylnaczcionkaakapitu"/>
    <w:uiPriority w:val="32"/>
    <w:qFormat/>
    <w:rsid w:val="003279DD"/>
    <w:rPr>
      <w:b/>
      <w:bCs/>
      <w:smallCaps/>
      <w:color w:val="2F5496" w:themeColor="accent1" w:themeShade="BF"/>
      <w:spacing w:val="5"/>
    </w:rPr>
  </w:style>
  <w:style w:type="character" w:styleId="Hipercze">
    <w:name w:val="Hyperlink"/>
    <w:basedOn w:val="Domylnaczcionkaakapitu"/>
    <w:uiPriority w:val="99"/>
    <w:unhideWhenUsed/>
    <w:rsid w:val="003279DD"/>
    <w:rPr>
      <w:color w:val="0563C1" w:themeColor="hyperlink"/>
      <w:u w:val="single"/>
    </w:rPr>
  </w:style>
  <w:style w:type="character" w:customStyle="1" w:styleId="TekstpodstawowyZnak">
    <w:name w:val="Tekst podstawowy Znak"/>
    <w:basedOn w:val="Domylnaczcionkaakapitu"/>
    <w:link w:val="Tekstpodstawowy"/>
    <w:uiPriority w:val="99"/>
    <w:qFormat/>
    <w:rsid w:val="003279DD"/>
    <w:rPr>
      <w:rFonts w:ascii="Calibri" w:eastAsia="MS Mincho" w:hAnsi="Calibri" w:cs="Times New Roman"/>
      <w:color w:val="000000"/>
      <w:kern w:val="0"/>
      <w:szCs w:val="22"/>
      <w14:ligatures w14:val="none"/>
    </w:rPr>
  </w:style>
  <w:style w:type="character" w:customStyle="1" w:styleId="Znakiprzypiswdolnych">
    <w:name w:val="Znaki przypisów dolnych"/>
    <w:qFormat/>
  </w:style>
  <w:style w:type="character" w:styleId="Odwoanieprzypisudolnego">
    <w:name w:val="footnote reference"/>
    <w:rPr>
      <w:vertAlign w:val="superscript"/>
    </w:rPr>
  </w:style>
  <w:style w:type="character" w:customStyle="1" w:styleId="Znakinumeracji">
    <w:name w:val="Znaki numeracji"/>
    <w:qFormat/>
  </w:style>
  <w:style w:type="paragraph" w:styleId="Nagwek">
    <w:name w:val="header"/>
    <w:basedOn w:val="Normalny"/>
    <w:next w:val="Tekstpodstawowy"/>
    <w:qFormat/>
    <w:pPr>
      <w:keepNext/>
      <w:spacing w:before="240" w:after="120"/>
    </w:pPr>
    <w:rPr>
      <w:rFonts w:ascii="Liberation Sans" w:eastAsia="Microsoft YaHei" w:hAnsi="Liberation Sans" w:cs="Lucida Sans"/>
      <w:sz w:val="28"/>
      <w:szCs w:val="28"/>
    </w:rPr>
  </w:style>
  <w:style w:type="paragraph" w:styleId="Tekstpodstawowy">
    <w:name w:val="Body Text"/>
    <w:basedOn w:val="Normalny"/>
    <w:link w:val="TekstpodstawowyZnak"/>
    <w:uiPriority w:val="99"/>
    <w:unhideWhenUsed/>
    <w:rsid w:val="003279DD"/>
    <w:pPr>
      <w:spacing w:after="120"/>
    </w:pPr>
    <w:rPr>
      <w:rFonts w:eastAsia="MS Mincho" w:cs="Times New Roman"/>
      <w:color w:val="000000"/>
      <w:sz w:val="24"/>
    </w:rPr>
  </w:style>
  <w:style w:type="paragraph" w:styleId="Lista">
    <w:name w:val="List"/>
    <w:basedOn w:val="Tekstpodstawowy"/>
    <w:rPr>
      <w:rFonts w:cs="Lucida Sans"/>
    </w:rPr>
  </w:style>
  <w:style w:type="paragraph" w:styleId="Legenda">
    <w:name w:val="caption"/>
    <w:basedOn w:val="Normalny"/>
    <w:qFormat/>
    <w:pPr>
      <w:suppressLineNumbers/>
      <w:spacing w:before="120" w:after="120"/>
    </w:pPr>
    <w:rPr>
      <w:rFonts w:cs="Lucida Sans"/>
      <w:i/>
      <w:iCs/>
      <w:sz w:val="24"/>
      <w:szCs w:val="24"/>
    </w:rPr>
  </w:style>
  <w:style w:type="paragraph" w:customStyle="1" w:styleId="Indeks">
    <w:name w:val="Indeks"/>
    <w:basedOn w:val="Normalny"/>
    <w:qFormat/>
    <w:pPr>
      <w:suppressLineNumbers/>
    </w:pPr>
    <w:rPr>
      <w:rFonts w:cs="Lucida Sans"/>
    </w:rPr>
  </w:style>
  <w:style w:type="paragraph" w:customStyle="1" w:styleId="Nagwekuser">
    <w:name w:val="Nagłówek (user)"/>
    <w:basedOn w:val="Normalny"/>
    <w:next w:val="Tekstpodstawowy"/>
    <w:qFormat/>
    <w:pPr>
      <w:keepNext/>
      <w:spacing w:before="240" w:after="120"/>
    </w:pPr>
    <w:rPr>
      <w:rFonts w:ascii="Liberation Sans" w:eastAsia="Microsoft YaHei" w:hAnsi="Liberation Sans" w:cs="Lucida Sans"/>
      <w:sz w:val="28"/>
      <w:szCs w:val="28"/>
    </w:rPr>
  </w:style>
  <w:style w:type="paragraph" w:customStyle="1" w:styleId="Indeksuser">
    <w:name w:val="Indeks (user)"/>
    <w:basedOn w:val="Normalny"/>
    <w:qFormat/>
    <w:pPr>
      <w:suppressLineNumbers/>
    </w:pPr>
    <w:rPr>
      <w:rFonts w:cs="Lucida Sans"/>
    </w:rPr>
  </w:style>
  <w:style w:type="paragraph" w:styleId="Tytu">
    <w:name w:val="Title"/>
    <w:basedOn w:val="Normalny"/>
    <w:next w:val="Normalny"/>
    <w:link w:val="TytuZnak"/>
    <w:uiPriority w:val="10"/>
    <w:qFormat/>
    <w:rsid w:val="003279DD"/>
    <w:pPr>
      <w:spacing w:after="80"/>
      <w:contextualSpacing/>
    </w:pPr>
    <w:rPr>
      <w:rFonts w:asciiTheme="majorHAnsi" w:eastAsiaTheme="majorEastAsia" w:hAnsiTheme="majorHAnsi" w:cstheme="majorBidi"/>
      <w:spacing w:val="-10"/>
      <w:kern w:val="2"/>
      <w:sz w:val="56"/>
      <w:szCs w:val="56"/>
    </w:rPr>
  </w:style>
  <w:style w:type="paragraph" w:styleId="Podtytu">
    <w:name w:val="Subtitle"/>
    <w:basedOn w:val="Normalny"/>
    <w:next w:val="Normalny"/>
    <w:link w:val="PodtytuZnak"/>
    <w:uiPriority w:val="11"/>
    <w:qFormat/>
    <w:rsid w:val="003279DD"/>
    <w:pPr>
      <w:spacing w:after="160"/>
    </w:pPr>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279DD"/>
    <w:pPr>
      <w:spacing w:before="160" w:after="160"/>
      <w:jc w:val="center"/>
    </w:pPr>
    <w:rPr>
      <w:i/>
      <w:iCs/>
      <w:color w:val="404040" w:themeColor="text1" w:themeTint="BF"/>
    </w:rPr>
  </w:style>
  <w:style w:type="paragraph" w:styleId="Akapitzlist">
    <w:name w:val="List Paragraph"/>
    <w:basedOn w:val="Normalny"/>
    <w:uiPriority w:val="34"/>
    <w:qFormat/>
    <w:rsid w:val="003279DD"/>
    <w:pPr>
      <w:ind w:left="720"/>
      <w:contextualSpacing/>
    </w:pPr>
  </w:style>
  <w:style w:type="paragraph" w:styleId="Cytatintensywny">
    <w:name w:val="Intense Quote"/>
    <w:basedOn w:val="Normalny"/>
    <w:next w:val="Normalny"/>
    <w:link w:val="CytatintensywnyZnak"/>
    <w:uiPriority w:val="30"/>
    <w:qFormat/>
    <w:rsid w:val="00327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xmsonormal">
    <w:name w:val="x_msonormal"/>
    <w:qFormat/>
    <w:pPr>
      <w:spacing w:beforeAutospacing="1" w:afterAutospacing="1" w:line="259" w:lineRule="auto"/>
    </w:pPr>
    <w:rPr>
      <w:rFonts w:eastAsia="Times New Roman"/>
      <w:lang w:eastAsia="pl-PL"/>
    </w:rPr>
  </w:style>
  <w:style w:type="paragraph" w:styleId="Tekstprzypisudolnego">
    <w:name w:val="footnote text"/>
    <w:basedOn w:val="Normalny"/>
    <w:pPr>
      <w:suppressLineNumbers/>
      <w:ind w:left="340" w:hanging="340"/>
    </w:pPr>
    <w:rPr>
      <w:sz w:val="20"/>
      <w:szCs w:val="20"/>
    </w:rPr>
  </w:style>
  <w:style w:type="paragraph" w:customStyle="1" w:styleId="Komentarz">
    <w:name w:val="Komentarz"/>
    <w:basedOn w:val="Normalny"/>
    <w:qFormat/>
    <w:pPr>
      <w:spacing w:before="56" w:after="0" w:line="240" w:lineRule="auto"/>
      <w:ind w:left="57" w:right="57"/>
    </w:pPr>
    <w:rPr>
      <w:sz w:val="20"/>
      <w:szCs w:val="20"/>
    </w:rPr>
  </w:style>
  <w:style w:type="numbering" w:customStyle="1" w:styleId="Bezlistyuser">
    <w:name w:val="Bez listy (user)"/>
    <w:uiPriority w:val="99"/>
    <w:semiHidden/>
    <w:unhideWhenUsed/>
    <w:qFormat/>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rFonts w:ascii="Calibri" w:eastAsia="Calibri" w:hAnsi="Calibri"/>
      <w:kern w:val="0"/>
      <w:sz w:val="20"/>
      <w:szCs w:val="20"/>
      <w14:ligatures w14:val="none"/>
    </w:rPr>
  </w:style>
  <w:style w:type="character" w:styleId="Odwoaniedokomentarza">
    <w:name w:val="annotation reference"/>
    <w:basedOn w:val="Domylnaczcionkaakapitu"/>
    <w:uiPriority w:val="99"/>
    <w:semiHidden/>
    <w:unhideWhenUsed/>
    <w:rPr>
      <w:sz w:val="16"/>
      <w:szCs w:val="16"/>
    </w:rPr>
  </w:style>
  <w:style w:type="character" w:styleId="Nierozpoznanawzmianka">
    <w:name w:val="Unresolved Mention"/>
    <w:basedOn w:val="Domylnaczcionkaakapitu"/>
    <w:uiPriority w:val="99"/>
    <w:semiHidden/>
    <w:unhideWhenUsed/>
    <w:rsid w:val="005F2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egalog.pl" TargetMode="External"/><Relationship Id="rId5" Type="http://schemas.openxmlformats.org/officeDocument/2006/relationships/hyperlink" Target="mailto:info@megalog.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595</Words>
  <Characters>3570</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Sidorowicz-Bastek</dc:creator>
  <dc:description/>
  <cp:lastModifiedBy>Anastasiia Malchenko</cp:lastModifiedBy>
  <cp:revision>4</cp:revision>
  <dcterms:created xsi:type="dcterms:W3CDTF">2026-10-14T06:45:00Z</dcterms:created>
  <dcterms:modified xsi:type="dcterms:W3CDTF">2026-10-14T06:59:00Z</dcterms:modified>
  <dc:language>pl-PL</dc:language>
</cp:coreProperties>
</file>