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Teksty w częściach 3 i 4 są gotowe do wklejenia do LSI (limity znaków podano przy każdym polu).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Wniosek mówi o przeniesieniu „nie później niż 12 miesięcy po zakończeniu projektu” (04.2030), a sprzedaż rusza w 01.2030. Do czasu przeniesienia Everest11 nie ma 100% praw.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Umowa konsorcjum (§ 11 ust. 7-11) już daje mechanizm bez zmian w umowie: prawo pierwszeństwa Lidera (oświadczenie do 120 dni, czyli do 28.08.2029), wycena eksperta, 7 dni na zastrzeżenia. Wniosek podaje plan: przeniesienie do 30.11.2029, przed sprzedażą, i zapis, że do tego czasu Everest11 nie sprzedaje produktu opartego na wynikach PRz.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Teksty pkt 2.2</w:t>
      </w:r>
    </w:p>
    <w:p>
      <w:pPr>
        <w:pStyle w:val="Heading2"/>
      </w:pPr>
      <w:r>
        <w:t>2.1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[2283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>Prawa do wyników projektu. Zgodnie z § 11 umowy konsorcjum prawa przysługują stronom proporcjonalnie do wkładu, a Everest11 jako lider ma prawo pierwszeństwa do przeniesienia na siebie praw PRz za wynagrodzeniem rynkowym, ustalonym przez niezależnego eksperta w postępowaniu nadzorowanym przez Radę Konsorcjum. Prawa autorskie pracowników PRz przechodzą na PRz z mocy art. 12 ustawy o prawie autorskim, a prawa podwykonawców przenosimy umowami na zlecającego. Oświadczenie o skorzystaniu z prawa pierwszeństwa Lider składa w ciągu 120 dni od odbioru wyników, najpóźniej do 28.08.2029, a przeniesienie planujemy do 30.11.2029, przed rozpoczęciem sprzedaży w styczniu 2030 r.. Do czasu przeniesienia Everest11 nie sprzedaje produktu opartego na wynikach PRz.</w:t>
      </w:r>
    </w:p>
    <w:p>
      <w:pPr>
        <w:spacing w:after="60"/>
      </w:pPr>
      <w:r>
        <w:rPr>
          <w:b w:val="0"/>
        </w:rPr>
        <w:t>Prawa osób trzecich. Wykonaliśmy badanie stanu techniki (07.05.2026) i oceniliśmy patenty osobno dla każdego elementu systemu: model 3D z kamer głębi w naczepie, predykcja ryzyka uszkodzenia ładunku, wizyjna ocena zabezpieczeń i dokument eFTI. Zidentyfikowano pięć dokumentów: US 11,151,506 B2, US 9,965,939 B1, US 11,685,400 B2 i US 7,468,660 B2 to patenty amerykańskie udzielone, a US 2013/0342653 A1 to opublikowane zgłoszenie amerykańskie z 2013 r. Patenty amerykańskie obowiązują tylko w USA, a badanie nie wskazało patentów europejskich ani krajowych tych rodzin, które ograniczałyby wdrożenie w Polsce i regionie CEE. Najbliższy dokument, US 11,151,506 B2, dotyczy czujników LiDAR i monitorowania wnętrza kontenera, a CargoDT używa kamer głębi, śledzi położenie ładunku w ruchu i liczy lokalnie. Ewentualną kolizję, którą wykazałby późniejszy przegląd patentowy, usuniemy zmianą rozwiązania technicznego na etapie Z5 i Z7, zanim powstanie zestaw sprzedażowy.</w:t>
      </w:r>
    </w:p>
    <w:p>
      <w:pPr>
        <w:pStyle w:val="Heading2"/>
      </w:pPr>
      <w:r>
        <w:t>2.2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[2191 znaków]</w:t>
      </w:r>
    </w:p>
    <w:p>
      <w:pPr>
        <w:spacing w:after="60"/>
      </w:pPr>
      <w:r>
        <w:rPr>
          <w:b w:val="0"/>
        </w:rPr>
        <w:t>Badanie stanu techniki wykonał Everest11 w maju 2026 r. Objęło cztery obszary: cyfrowe bliźniaki w transporcie, pomiar przestrzeni ładunkowej kamerami głębi, predykcję ryzyka uszkodzenia ładunku i wizyjną ocenę zabezpieczeń. Nie ujawniło praw, które uniemożliwiałyby wdrożenie w Polsce i regionie CEE. Poniżej patenty najbliższe poszczególnym elementom systemu. Numery z przedrostkiem US oznaczają patenty obowiązujące tylko w Stanach Zjednoczonych, kody B1 i B2 patenty udzielone, a kod A1 opublikowane zgłoszenie.</w:t>
      </w:r>
    </w:p>
    <w:p>
      <w:pPr>
        <w:spacing w:after="60"/>
      </w:pPr>
      <w:r>
        <w:rPr>
          <w:b w:val="0"/>
        </w:rPr>
        <w:t>Model 3D przestrzeni ładunkowej.</w:t>
      </w:r>
    </w:p>
    <w:p>
      <w:pPr>
        <w:spacing w:after="60"/>
      </w:pPr>
      <w:r>
        <w:rPr>
          <w:b w:val="0"/>
        </w:rPr>
        <w:t>US 11,151,506 B2 (Amazon Technologies, 2021): monitorowanie wnętrza kontenera czujnikami LiDAR 3D i kamerami wideo. CargoDT używa kamer ToF lub EO/IR ze światłem strukturalnym, śledzi położenie ładunku w ruchu z kompensacją drgań i liczy lokalnie, bez chmury. Opis patentu nie obejmuje predykcji ryzyka, oceny zabezpieczeń CV, Proof of Condition ani integracji eFTI i e-CMR.</w:t>
      </w:r>
    </w:p>
    <w:p>
      <w:pPr>
        <w:spacing w:after="60"/>
      </w:pPr>
      <w:r>
        <w:rPr>
          <w:b w:val="0"/>
        </w:rPr>
        <w:t>US 2013/0342653 A1 (Honeywell, 2013, zgłoszenie opublikowane) i US 7,468,660 B2: detekcja ładunku czujnikami w kontenerze lub przy bramach logistycznych. Nie obejmują pracy w ruchu, uczenia maszynowego ani predykcji ryzyka.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>US 9,965,939 B1 (Sensitech): monitorowanie drgań metodą progową, bez modelu ML, bez klas ładunku i kumulacji narażenia. US 11,685,400 B2 (Mobileye): predykcja wypadnięcia ładunku z innego pojazdu na podstawie zewnętrznej kamery, bez monitoringu wnętrza naczepy i predykcji z sygnałów in-transit.</w:t>
      </w:r>
    </w:p>
    <w:p>
      <w:pPr>
        <w:spacing w:after="60"/>
      </w:pPr>
      <w:r>
        <w:rPr>
          <w:b w:val="0"/>
        </w:rPr>
        <w:t>Literatura.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>Pola bazy, klasyfikacja MKP, słowa kluczowe i data badania (07.05.2026) pozostają bez zmian.</w:t>
      </w:r>
    </w:p>
    <w:p>
      <w:pPr>
        <w:pStyle w:val="Heading2"/>
      </w:pPr>
      <w:r>
        <w:t>2.3 Opis sposobu uregulowania praw (limit 4 000 znaków)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[2775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>Przeniesienie praw PRz przebiega według § 11 umowy konsorcjum. Lider ma prawo pierwszeństwa do zawarcia umowy przeniesienia praw majątkowych PRz do wyników i składa oświadczenie o skorzystaniu z niego w ciągu 120 dni od otrzymania wyników i zakończenia projektu (04/2029), czyli najpóźniej do 28.08.2029. PRz ma 7 dni na zastrzeżenia do wyceny, a przy sporze Rada Konsorcjum może powołać drugiego eksperta i wtedy przyjmuje się średnią obu wycen. Plan Lidera: oświadczenie po odbiorze wyników zadania Z8 (04/2029), wybór eksperta w trakcie Z8, wycena do 10/2029 i umowa przeniesienia do 30.11.2029, przed rozpoczęciem sprzedaży w styczniu 2030 r.. Do czasu przeniesienia strony wykonują wspólne prawa na podstawie umowy o wykonywaniu wspólnych praw (§ 11 ust. 5), a Everest11 nie sprzedaje produktu opartego na wynikach PRz.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Harmonogram wynika z § 11 umowy konsorcjum: oświadczenie Lidera w ciągu 120 dni od otrzymania wyników i zakończenia projektu (najpóźniej 28.08.2029), wycena niezależnego eksperta, 7 dni na zastrzeżenia PRz, ewentualnie drugi ekspert i średnia wycen. W najgorszym wariancie (druga wycena) przeniesienie mieści się w 12.2029. Sprzedaż od 01.2030 jest bezpieczna, jeśli Lider składa oświadczenie wcześniej niż w ostatnim dniu terminu.</w:t>
      </w:r>
    </w:p>
    <w:p>
      <w:pPr>
        <w:pStyle w:val="Heading1"/>
      </w:pPr>
      <w:r>
        <w:t>3. Teksty pkt 2.5</w:t>
      </w:r>
    </w:p>
    <w:p>
      <w:pPr>
        <w:pStyle w:val="Heading2"/>
      </w:pPr>
      <w:r>
        <w:t>3.1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[1626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>Skalowanie 2030-2034. Liczba instalacji zestawów wynika z modelu finansowego: 50 (2030), 79 (2031), 135 (2032), 270 (2033), 540 (2034). Przy 3 h na kompletację zestawu i 3 h na montaż i uruchomienie jednej naczepy daje to od 300 h w 2030 r. do 3 240 h w 2034 r., czyli 0,2 etatu w 2030 r. i 2,0 etatu w 2034 r. Kompletację i montaż prowadzi Stanisław Kozioł, drugiego technika zatrudnimy w 2033 r. (1 620 h), a trzeciego w 2034 r. (3 240 h). Wsparcie techniczne: przy 0,3 h na pojazd miesięcznie obsługa 125 pojazdów w 2031 r. wymaga 450 h rocznie, a 1 000 pojazdów w 2034 r. 3 600 h, czyli 2,3 etatu. Zespół wsparcia rośnie wraz z liczbą pojazdów: pierwszy etat w 2031 r., drugi w 2033 r. i trzeci w 2034 r. Koszty zespołu komercjalizacji (montaż, wsparcie, sprzedaż) są ujęte w modelu finansowym i rosną z 345,6 tys. zł w 2030 r. do 1 036,8 tys. zł w 2034 r. Wdrożenie usług w TMS prowadzi Patryk Ruciński, a utrzymanie modeli Natalia Wojdat.</w:t>
      </w:r>
    </w:p>
    <w:p>
      <w:pPr>
        <w:pStyle w:val="Heading2"/>
      </w:pPr>
      <w:r>
        <w:t>3.2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[1537 znaków]</w:t>
      </w:r>
    </w:p>
    <w:p>
      <w:pPr>
        <w:spacing w:after="60"/>
      </w:pPr>
      <w:r>
        <w:rPr>
          <w:b w:val="0"/>
        </w:rPr>
        <w:t>Infrastruktura IT. Everest11 posiada własny system TMS jako platformę integracji CargoDT oraz środowisko chmurowe (AWS lub Azure) dla platformy SaaS i API. Szacunek zasobów dla 1 000 pojazdów w 2034 r.: 2 dokumenty PoL i PoC na dobę po 20 MB, razem 40 MB na pojazd na dobę, czyli 40 GB na dobę i ok. 15 TB rocznie, przy przechowywaniu 24 miesięcy ok. 29 TB, baza zdarzeń i telemetrii ok. 2 TB rocznie, dwie instancje aplikacyjne i jedna rezerwowa o parametrach 8 vCPU i 32 GB RAM. Zasoby rosną automatycznie z liczbą pojazdów, a koszt hostingu jest ujęty w kosztach operacyjnych modelu finansowego: 50 zł za pojazd miesięcznie, od 15 tys. zł w 2030 r. do 438 tys. zł w 2034 r.</w:t>
      </w:r>
    </w:p>
    <w:p>
      <w:pPr>
        <w:spacing w:after="60"/>
      </w:pPr>
      <w:r>
        <w:rPr>
          <w:b w:val="0"/>
        </w:rPr>
        <w:t>Produkcja i serwis zestawów. Pierwszą serię zestawów, 50 sztuk w 2029 r. po certyfikacji CE, kompletuje własny zespół Everest11 we własnym zakresie, ręcznie, w małej serii. Kompletacja pozostaje we własnym zakresie także po 2031 r., przy większych seriach w wynajętej powierzchni magazynowo-montażowej. Everest11 zachowuje nadzór jakości, montaż u klienta i serwis.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3.3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[1245 znaków]</w:t>
      </w:r>
    </w:p>
    <w:p>
      <w:pPr>
        <w:spacing w:after="60"/>
      </w:pPr>
      <w:r>
        <w:rPr>
          <w:b w:val="0"/>
        </w:rPr>
        <w:t>Certyfikaty i zgodność. Zestaw retrofit wymaga oznakowania CE: dyrektywa RED 2014/53/UE (moduły radiowe: LTE i radar mmWave), EMC 2014/30/UE oraz RoHS 2011/65/UE, a także homologacji ECE R10. Badania wykona akredytowane laboratorium w okresie 05-10/2029. Koszt badań i pierwszej serii zestawów pokrywa kapitał własny Lidera (dokapitalizowanie potwierdzone zobowiązaniem inwestora). Everest11 jako wprowadzający sprzęt elektroniczny zarejestruje się w rejestrze BDO i wypełni obowiązki dotyczące zużytego sprzętu elektronicznego.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30.11.2029 (§ 11 umowy konsorcjum).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3.4 Model zasobów kompletacji, montażu i wsparcia (podstawa liczb w 3.1)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Godziny kompletacji i montażu (2 x 3 h/szt.)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Etaty kompletacji, montażu i wsparcia (1 600 h/etat)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300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0,3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0,6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1,1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2,1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3 240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4,3</w:t>
            </w:r>
          </w:p>
        </w:tc>
      </w:tr>
    </w:tbl>
    <w:p/>
    <w:p>
      <w:pPr>
        <w:spacing w:after="60"/>
      </w:pPr>
      <w:r>
        <w:rPr>
          <w:b w:val="0"/>
        </w:rPr>
        <w:t>Parametry 3 h (kompletacja i montaż) i 0,3 h to założenia zatwierdzone przez właścicielkę.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4. Powiązane zmiany w innych miejscach wniosku i modelu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Aneks. Dokumenty wskazane przez wyszukiwarkę (nie wchodzą do wniosku)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